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6CF1E2AC" w14:textId="48B04102" w:rsidR="00517579" w:rsidRDefault="00537B19" w:rsidP="007B2341">
          <w:pPr>
            <w:pStyle w:val="Cmnmhh"/>
            <w:jc w:val="center"/>
          </w:pPr>
          <w:r>
            <w:rPr>
              <w:b w:val="0"/>
              <w:noProof/>
              <w:lang w:eastAsia="hu-HU"/>
            </w:rPr>
            <w:drawing>
              <wp:anchor distT="0" distB="1011555" distL="114300" distR="114300" simplePos="0" relativeHeight="251652608" behindDoc="1" locked="0" layoutInCell="1" allowOverlap="1" wp14:anchorId="1CFE83A5" wp14:editId="6B0D210A">
                <wp:simplePos x="0" y="0"/>
                <wp:positionH relativeFrom="page">
                  <wp:posOffset>0</wp:posOffset>
                </wp:positionH>
                <wp:positionV relativeFrom="page">
                  <wp:posOffset>4445</wp:posOffset>
                </wp:positionV>
                <wp:extent cx="7556500" cy="3351530"/>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sdt>
            <w:sdtPr>
              <w:alias w:val="Cím"/>
              <w:tag w:val="Cím"/>
              <w:id w:val="11965258"/>
              <w:placeholder>
                <w:docPart w:val="A7E85A2A3E904405895CBFB5452ECE0A"/>
              </w:placeholder>
            </w:sdtPr>
            <w:sdtContent>
              <w:sdt>
                <w:sdtPr>
                  <w:alias w:val="Cím"/>
                  <w:tag w:val="Cím"/>
                  <w:id w:val="1727338726"/>
                </w:sdtPr>
                <w:sdtContent>
                  <w:sdt>
                    <w:sdtPr>
                      <w:alias w:val="Cím"/>
                      <w:tag w:val="Cím"/>
                      <w:id w:val="27217761"/>
                    </w:sdtPr>
                    <w:sdtContent>
                      <w:r>
                        <w:rPr>
                          <w:bCs/>
                          <w:lang w:val="en-GB"/>
                        </w:rPr>
                        <w:t xml:space="preserve">Band </w:t>
                      </w:r>
                      <w:r w:rsidR="003F76DD">
                        <w:rPr>
                          <w:bCs/>
                          <w:lang w:val="en-GB"/>
                        </w:rPr>
                        <w:t>overview</w:t>
                      </w:r>
                      <w:r>
                        <w:rPr>
                          <w:b w:val="0"/>
                          <w:lang w:val="en-GB"/>
                        </w:rPr>
                        <w:br/>
                      </w:r>
                      <w:r>
                        <w:rPr>
                          <w:bCs/>
                          <w:lang w:val="en-GB"/>
                        </w:rPr>
                        <w:t xml:space="preserve">26 </w:t>
                      </w:r>
                      <w:r w:rsidR="002E222E">
                        <w:rPr>
                          <w:bCs/>
                          <w:lang w:val="en-GB"/>
                        </w:rPr>
                        <w:t>G</w:t>
                      </w:r>
                      <w:r>
                        <w:rPr>
                          <w:bCs/>
                          <w:lang w:val="en-GB"/>
                        </w:rPr>
                        <w:t>Hz frequency band</w:t>
                      </w:r>
                    </w:sdtContent>
                  </w:sdt>
                </w:sdtContent>
              </w:sdt>
            </w:sdtContent>
          </w:sdt>
        </w:p>
        <w:p w14:paraId="556648C6" w14:textId="77777777" w:rsidR="009166F7" w:rsidRDefault="009166F7">
          <w:pPr>
            <w:pStyle w:val="Bortlapegybnmhh"/>
            <w:spacing w:before="240"/>
            <w:rPr>
              <w:rStyle w:val="BortlapegybnmhhChar"/>
            </w:rPr>
          </w:pPr>
        </w:p>
        <w:p w14:paraId="1135F73A" w14:textId="77777777" w:rsidR="009166F7" w:rsidRDefault="009166F7">
          <w:pPr>
            <w:pStyle w:val="Bortlapegybnmhh"/>
            <w:spacing w:before="240"/>
            <w:rPr>
              <w:rStyle w:val="BortlapegybnmhhChar"/>
            </w:rPr>
          </w:pPr>
        </w:p>
        <w:p w14:paraId="41429D80" w14:textId="77777777" w:rsidR="009166F7" w:rsidRDefault="009166F7">
          <w:pPr>
            <w:pStyle w:val="Bortlapegybnmhh"/>
            <w:spacing w:before="240"/>
            <w:rPr>
              <w:rStyle w:val="BortlapegybnmhhChar"/>
            </w:rPr>
          </w:pPr>
        </w:p>
        <w:p w14:paraId="42C76370" w14:textId="77777777" w:rsidR="009166F7" w:rsidRDefault="009166F7">
          <w:pPr>
            <w:pStyle w:val="Bortlapegybnmhh"/>
            <w:spacing w:before="240"/>
            <w:rPr>
              <w:rStyle w:val="BortlapegybnmhhChar"/>
            </w:rPr>
          </w:pPr>
        </w:p>
        <w:p w14:paraId="57F9BFB8" w14:textId="77777777" w:rsidR="009166F7" w:rsidRDefault="009166F7">
          <w:pPr>
            <w:pStyle w:val="Bortlapegybnmhh"/>
            <w:spacing w:before="240"/>
            <w:rPr>
              <w:rStyle w:val="BortlapegybnmhhChar"/>
            </w:rPr>
          </w:pPr>
        </w:p>
        <w:p w14:paraId="6E79C3EF" w14:textId="77777777" w:rsidR="009166F7" w:rsidRDefault="009166F7">
          <w:pPr>
            <w:pStyle w:val="Bortlapegybnmhh"/>
            <w:spacing w:before="240"/>
            <w:rPr>
              <w:rStyle w:val="BortlapegybnmhhChar"/>
            </w:rPr>
          </w:pPr>
        </w:p>
        <w:p w14:paraId="58BD392C" w14:textId="77777777" w:rsidR="009166F7" w:rsidRDefault="009166F7">
          <w:pPr>
            <w:pStyle w:val="Bortlapegybnmhh"/>
            <w:spacing w:before="240"/>
            <w:rPr>
              <w:rStyle w:val="BortlapegybnmhhChar"/>
            </w:rPr>
          </w:pPr>
        </w:p>
        <w:p w14:paraId="776A0802" w14:textId="398B6589" w:rsidR="00517579" w:rsidRDefault="005C584B" w:rsidP="001055DF">
          <w:pPr>
            <w:pStyle w:val="Bortlapegybnmhh"/>
            <w:spacing w:before="240"/>
            <w:jc w:val="center"/>
          </w:pPr>
          <w:sdt>
            <w:sdtPr>
              <w:rPr>
                <w:rStyle w:val="BortlapegybnmhhChar"/>
              </w:rPr>
              <w:alias w:val="Dátum"/>
              <w:tag w:val="Dátum"/>
              <w:id w:val="923614243"/>
              <w:date w:fullDate="2022-02-15T00:00:00Z">
                <w:dateFormat w:val="yyyy. MMMM d."/>
                <w:lid w:val="hu-HU"/>
                <w:storeMappedDataAs w:val="dateTime"/>
                <w:calendar w:val="gregorian"/>
              </w:date>
            </w:sdtPr>
            <w:sdtEndPr>
              <w:rPr>
                <w:rStyle w:val="Bekezdsalapbettpusa"/>
              </w:rPr>
            </w:sdtEndPr>
            <w:sdtContent>
              <w:r w:rsidR="00A54AD1">
                <w:rPr>
                  <w:rStyle w:val="BortlapegybnmhhChar"/>
                  <w:lang w:val="en-GB"/>
                </w:rPr>
                <w:t>15 February 2022</w:t>
              </w:r>
            </w:sdtContent>
          </w:sdt>
        </w:p>
        <w:p w14:paraId="19AC32EB" w14:textId="77777777" w:rsidR="00517579" w:rsidRDefault="005C584B">
          <w:pPr>
            <w:spacing w:after="200"/>
            <w:jc w:val="left"/>
            <w:rPr>
              <w:b/>
              <w:bCs/>
            </w:rPr>
            <w:sectPr w:rsidR="00517579">
              <w:headerReference w:type="even" r:id="rId9"/>
              <w:headerReference w:type="default" r:id="rId10"/>
              <w:footerReference w:type="even" r:id="rId11"/>
              <w:footerReference w:type="default" r:id="rId12"/>
              <w:headerReference w:type="first" r:id="rId13"/>
              <w:pgSz w:w="11906" w:h="16838"/>
              <w:pgMar w:top="1417" w:right="1417" w:bottom="1417" w:left="1417" w:header="1417" w:footer="709" w:gutter="0"/>
              <w:cols w:space="708"/>
              <w:titlePg/>
              <w:docGrid w:linePitch="360"/>
            </w:sectPr>
          </w:pPr>
        </w:p>
      </w:sdtContent>
    </w:sd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Content>
        <w:p w14:paraId="7E2A1DC3" w14:textId="77777777" w:rsidR="00517579" w:rsidRDefault="00537B19">
          <w:pPr>
            <w:pStyle w:val="Tartalomjegyzkcmsoranmhh"/>
          </w:pPr>
          <w:r>
            <w:rPr>
              <w:lang w:val="en-GB"/>
            </w:rPr>
            <w:t>Table of contents</w:t>
          </w:r>
        </w:p>
        <w:p w14:paraId="017D3E1B" w14:textId="5863E99D" w:rsidR="00F42A9E" w:rsidRDefault="00537B19">
          <w:pPr>
            <w:pStyle w:val="TJ1"/>
            <w:tabs>
              <w:tab w:val="left" w:pos="440"/>
              <w:tab w:val="right" w:leader="dot" w:pos="9062"/>
            </w:tabs>
            <w:rPr>
              <w:rFonts w:eastAsiaTheme="minorEastAsia" w:cstheme="minorBidi"/>
              <w:noProof/>
              <w:lang w:eastAsia="hu-HU"/>
            </w:rPr>
          </w:pPr>
          <w:r>
            <w:rPr>
              <w:lang w:val="en-GB"/>
            </w:rPr>
            <w:fldChar w:fldCharType="begin"/>
          </w:r>
          <w:r>
            <w:instrText xml:space="preserve"> TOC \o "1-3" \h \z \u </w:instrText>
          </w:r>
          <w:r>
            <w:fldChar w:fldCharType="separate"/>
          </w:r>
          <w:hyperlink w:anchor="_Toc98343972" w:history="1">
            <w:r w:rsidR="00F42A9E" w:rsidRPr="00643465">
              <w:rPr>
                <w:rStyle w:val="Hiperhivatkozs"/>
                <w:noProof/>
              </w:rPr>
              <w:t>1.</w:t>
            </w:r>
            <w:r w:rsidR="00F42A9E">
              <w:rPr>
                <w:rFonts w:eastAsiaTheme="minorEastAsia" w:cstheme="minorBidi"/>
                <w:noProof/>
                <w:lang w:eastAsia="hu-HU"/>
              </w:rPr>
              <w:tab/>
            </w:r>
            <w:r w:rsidR="00F42A9E" w:rsidRPr="00643465">
              <w:rPr>
                <w:rStyle w:val="Hiperhivatkozs"/>
                <w:bCs/>
                <w:noProof/>
                <w:lang w:val="en-GB"/>
              </w:rPr>
              <w:t>Summary</w:t>
            </w:r>
            <w:r w:rsidR="00F42A9E">
              <w:rPr>
                <w:noProof/>
                <w:webHidden/>
              </w:rPr>
              <w:tab/>
            </w:r>
            <w:r w:rsidR="00F42A9E">
              <w:rPr>
                <w:noProof/>
                <w:webHidden/>
              </w:rPr>
              <w:fldChar w:fldCharType="begin"/>
            </w:r>
            <w:r w:rsidR="00F42A9E">
              <w:rPr>
                <w:noProof/>
                <w:webHidden/>
              </w:rPr>
              <w:instrText xml:space="preserve"> PAGEREF _Toc98343972 \h </w:instrText>
            </w:r>
            <w:r w:rsidR="00F42A9E">
              <w:rPr>
                <w:noProof/>
                <w:webHidden/>
              </w:rPr>
            </w:r>
            <w:r w:rsidR="00F42A9E">
              <w:rPr>
                <w:noProof/>
                <w:webHidden/>
              </w:rPr>
              <w:fldChar w:fldCharType="separate"/>
            </w:r>
            <w:r w:rsidR="00F42A9E">
              <w:rPr>
                <w:noProof/>
                <w:webHidden/>
              </w:rPr>
              <w:t>3</w:t>
            </w:r>
            <w:r w:rsidR="00F42A9E">
              <w:rPr>
                <w:noProof/>
                <w:webHidden/>
              </w:rPr>
              <w:fldChar w:fldCharType="end"/>
            </w:r>
          </w:hyperlink>
        </w:p>
        <w:p w14:paraId="3CC45578" w14:textId="1CC11EE6" w:rsidR="00F42A9E" w:rsidRDefault="00F42A9E">
          <w:pPr>
            <w:pStyle w:val="TJ1"/>
            <w:tabs>
              <w:tab w:val="left" w:pos="440"/>
              <w:tab w:val="right" w:leader="dot" w:pos="9062"/>
            </w:tabs>
            <w:rPr>
              <w:rFonts w:eastAsiaTheme="minorEastAsia" w:cstheme="minorBidi"/>
              <w:noProof/>
              <w:lang w:eastAsia="hu-HU"/>
            </w:rPr>
          </w:pPr>
          <w:hyperlink w:anchor="_Toc98343973" w:history="1">
            <w:r w:rsidRPr="00643465">
              <w:rPr>
                <w:rStyle w:val="Hiperhivatkozs"/>
                <w:noProof/>
              </w:rPr>
              <w:t>2.</w:t>
            </w:r>
            <w:r>
              <w:rPr>
                <w:rFonts w:eastAsiaTheme="minorEastAsia" w:cstheme="minorBidi"/>
                <w:noProof/>
                <w:lang w:eastAsia="hu-HU"/>
              </w:rPr>
              <w:tab/>
            </w:r>
            <w:r w:rsidRPr="00643465">
              <w:rPr>
                <w:rStyle w:val="Hiperhivatkozs"/>
                <w:bCs/>
                <w:noProof/>
                <w:lang w:val="en-GB"/>
              </w:rPr>
              <w:t>Introduction</w:t>
            </w:r>
            <w:r>
              <w:rPr>
                <w:noProof/>
                <w:webHidden/>
              </w:rPr>
              <w:tab/>
            </w:r>
            <w:r>
              <w:rPr>
                <w:noProof/>
                <w:webHidden/>
              </w:rPr>
              <w:fldChar w:fldCharType="begin"/>
            </w:r>
            <w:r>
              <w:rPr>
                <w:noProof/>
                <w:webHidden/>
              </w:rPr>
              <w:instrText xml:space="preserve"> PAGEREF _Toc98343973 \h </w:instrText>
            </w:r>
            <w:r>
              <w:rPr>
                <w:noProof/>
                <w:webHidden/>
              </w:rPr>
            </w:r>
            <w:r>
              <w:rPr>
                <w:noProof/>
                <w:webHidden/>
              </w:rPr>
              <w:fldChar w:fldCharType="separate"/>
            </w:r>
            <w:r>
              <w:rPr>
                <w:noProof/>
                <w:webHidden/>
              </w:rPr>
              <w:t>4</w:t>
            </w:r>
            <w:r>
              <w:rPr>
                <w:noProof/>
                <w:webHidden/>
              </w:rPr>
              <w:fldChar w:fldCharType="end"/>
            </w:r>
          </w:hyperlink>
        </w:p>
        <w:p w14:paraId="530FB742" w14:textId="1D74C04F" w:rsidR="00F42A9E" w:rsidRDefault="00F42A9E">
          <w:pPr>
            <w:pStyle w:val="TJ1"/>
            <w:tabs>
              <w:tab w:val="left" w:pos="440"/>
              <w:tab w:val="right" w:leader="dot" w:pos="9062"/>
            </w:tabs>
            <w:rPr>
              <w:rFonts w:eastAsiaTheme="minorEastAsia" w:cstheme="minorBidi"/>
              <w:noProof/>
              <w:lang w:eastAsia="hu-HU"/>
            </w:rPr>
          </w:pPr>
          <w:hyperlink w:anchor="_Toc98343974" w:history="1">
            <w:r w:rsidRPr="00643465">
              <w:rPr>
                <w:rStyle w:val="Hiperhivatkozs"/>
                <w:noProof/>
              </w:rPr>
              <w:t>3.</w:t>
            </w:r>
            <w:r>
              <w:rPr>
                <w:rFonts w:eastAsiaTheme="minorEastAsia" w:cstheme="minorBidi"/>
                <w:noProof/>
                <w:lang w:eastAsia="hu-HU"/>
              </w:rPr>
              <w:tab/>
            </w:r>
            <w:r w:rsidRPr="00643465">
              <w:rPr>
                <w:rStyle w:val="Hiperhivatkozs"/>
                <w:bCs/>
                <w:noProof/>
                <w:lang w:val="en-GB"/>
              </w:rPr>
              <w:t>Regulation of 26 GHz frequency band</w:t>
            </w:r>
            <w:r>
              <w:rPr>
                <w:noProof/>
                <w:webHidden/>
              </w:rPr>
              <w:tab/>
            </w:r>
            <w:r>
              <w:rPr>
                <w:noProof/>
                <w:webHidden/>
              </w:rPr>
              <w:fldChar w:fldCharType="begin"/>
            </w:r>
            <w:r>
              <w:rPr>
                <w:noProof/>
                <w:webHidden/>
              </w:rPr>
              <w:instrText xml:space="preserve"> PAGEREF _Toc98343974 \h </w:instrText>
            </w:r>
            <w:r>
              <w:rPr>
                <w:noProof/>
                <w:webHidden/>
              </w:rPr>
            </w:r>
            <w:r>
              <w:rPr>
                <w:noProof/>
                <w:webHidden/>
              </w:rPr>
              <w:fldChar w:fldCharType="separate"/>
            </w:r>
            <w:r>
              <w:rPr>
                <w:noProof/>
                <w:webHidden/>
              </w:rPr>
              <w:t>7</w:t>
            </w:r>
            <w:r>
              <w:rPr>
                <w:noProof/>
                <w:webHidden/>
              </w:rPr>
              <w:fldChar w:fldCharType="end"/>
            </w:r>
          </w:hyperlink>
        </w:p>
        <w:p w14:paraId="1CF63C0A" w14:textId="41AF0564" w:rsidR="00F42A9E" w:rsidRDefault="00F42A9E">
          <w:pPr>
            <w:pStyle w:val="TJ2"/>
            <w:tabs>
              <w:tab w:val="left" w:pos="880"/>
              <w:tab w:val="right" w:leader="dot" w:pos="9062"/>
            </w:tabs>
            <w:rPr>
              <w:rFonts w:eastAsiaTheme="minorEastAsia" w:cstheme="minorBidi"/>
              <w:noProof/>
              <w:lang w:eastAsia="hu-HU"/>
            </w:rPr>
          </w:pPr>
          <w:hyperlink w:anchor="_Toc98343975" w:history="1">
            <w:r w:rsidRPr="00643465">
              <w:rPr>
                <w:rStyle w:val="Hiperhivatkozs"/>
                <w:noProof/>
              </w:rPr>
              <w:t>3.1.</w:t>
            </w:r>
            <w:r>
              <w:rPr>
                <w:rFonts w:eastAsiaTheme="minorEastAsia" w:cstheme="minorBidi"/>
                <w:noProof/>
                <w:lang w:eastAsia="hu-HU"/>
              </w:rPr>
              <w:tab/>
            </w:r>
            <w:r w:rsidRPr="00643465">
              <w:rPr>
                <w:rStyle w:val="Hiperhivatkozs"/>
                <w:bCs/>
                <w:noProof/>
                <w:lang w:val="en-GB"/>
              </w:rPr>
              <w:t>International regulation</w:t>
            </w:r>
            <w:r>
              <w:rPr>
                <w:noProof/>
                <w:webHidden/>
              </w:rPr>
              <w:tab/>
            </w:r>
            <w:r>
              <w:rPr>
                <w:noProof/>
                <w:webHidden/>
              </w:rPr>
              <w:fldChar w:fldCharType="begin"/>
            </w:r>
            <w:r>
              <w:rPr>
                <w:noProof/>
                <w:webHidden/>
              </w:rPr>
              <w:instrText xml:space="preserve"> PAGEREF _Toc98343975 \h </w:instrText>
            </w:r>
            <w:r>
              <w:rPr>
                <w:noProof/>
                <w:webHidden/>
              </w:rPr>
            </w:r>
            <w:r>
              <w:rPr>
                <w:noProof/>
                <w:webHidden/>
              </w:rPr>
              <w:fldChar w:fldCharType="separate"/>
            </w:r>
            <w:r>
              <w:rPr>
                <w:noProof/>
                <w:webHidden/>
              </w:rPr>
              <w:t>7</w:t>
            </w:r>
            <w:r>
              <w:rPr>
                <w:noProof/>
                <w:webHidden/>
              </w:rPr>
              <w:fldChar w:fldCharType="end"/>
            </w:r>
          </w:hyperlink>
        </w:p>
        <w:p w14:paraId="2D6A160A" w14:textId="4963055A" w:rsidR="00F42A9E" w:rsidRDefault="00F42A9E">
          <w:pPr>
            <w:pStyle w:val="TJ3"/>
            <w:tabs>
              <w:tab w:val="left" w:pos="1320"/>
              <w:tab w:val="right" w:leader="dot" w:pos="9062"/>
            </w:tabs>
            <w:rPr>
              <w:rFonts w:eastAsiaTheme="minorEastAsia" w:cstheme="minorBidi"/>
              <w:noProof/>
              <w:lang w:eastAsia="hu-HU"/>
            </w:rPr>
          </w:pPr>
          <w:hyperlink w:anchor="_Toc98343976" w:history="1">
            <w:r w:rsidRPr="00643465">
              <w:rPr>
                <w:rStyle w:val="Hiperhivatkozs"/>
                <w:noProof/>
              </w:rPr>
              <w:t>3.1.1.</w:t>
            </w:r>
            <w:r>
              <w:rPr>
                <w:rFonts w:eastAsiaTheme="minorEastAsia" w:cstheme="minorBidi"/>
                <w:noProof/>
                <w:lang w:eastAsia="hu-HU"/>
              </w:rPr>
              <w:tab/>
            </w:r>
            <w:r w:rsidRPr="00643465">
              <w:rPr>
                <w:rStyle w:val="Hiperhivatkozs"/>
                <w:bCs/>
                <w:noProof/>
                <w:lang w:val="en-GB"/>
              </w:rPr>
              <w:t>ITU</w:t>
            </w:r>
            <w:r>
              <w:rPr>
                <w:noProof/>
                <w:webHidden/>
              </w:rPr>
              <w:tab/>
            </w:r>
            <w:r>
              <w:rPr>
                <w:noProof/>
                <w:webHidden/>
              </w:rPr>
              <w:fldChar w:fldCharType="begin"/>
            </w:r>
            <w:r>
              <w:rPr>
                <w:noProof/>
                <w:webHidden/>
              </w:rPr>
              <w:instrText xml:space="preserve"> PAGEREF _Toc98343976 \h </w:instrText>
            </w:r>
            <w:r>
              <w:rPr>
                <w:noProof/>
                <w:webHidden/>
              </w:rPr>
            </w:r>
            <w:r>
              <w:rPr>
                <w:noProof/>
                <w:webHidden/>
              </w:rPr>
              <w:fldChar w:fldCharType="separate"/>
            </w:r>
            <w:r>
              <w:rPr>
                <w:noProof/>
                <w:webHidden/>
              </w:rPr>
              <w:t>7</w:t>
            </w:r>
            <w:r>
              <w:rPr>
                <w:noProof/>
                <w:webHidden/>
              </w:rPr>
              <w:fldChar w:fldCharType="end"/>
            </w:r>
          </w:hyperlink>
        </w:p>
        <w:p w14:paraId="59DC3F45" w14:textId="50D8F6CB" w:rsidR="00F42A9E" w:rsidRDefault="00F42A9E">
          <w:pPr>
            <w:pStyle w:val="TJ3"/>
            <w:tabs>
              <w:tab w:val="left" w:pos="1320"/>
              <w:tab w:val="right" w:leader="dot" w:pos="9062"/>
            </w:tabs>
            <w:rPr>
              <w:rFonts w:eastAsiaTheme="minorEastAsia" w:cstheme="minorBidi"/>
              <w:noProof/>
              <w:lang w:eastAsia="hu-HU"/>
            </w:rPr>
          </w:pPr>
          <w:hyperlink w:anchor="_Toc98343977" w:history="1">
            <w:r w:rsidRPr="00643465">
              <w:rPr>
                <w:rStyle w:val="Hiperhivatkozs"/>
                <w:noProof/>
              </w:rPr>
              <w:t>3.1.2.</w:t>
            </w:r>
            <w:r>
              <w:rPr>
                <w:rFonts w:eastAsiaTheme="minorEastAsia" w:cstheme="minorBidi"/>
                <w:noProof/>
                <w:lang w:eastAsia="hu-HU"/>
              </w:rPr>
              <w:tab/>
            </w:r>
            <w:r w:rsidRPr="00643465">
              <w:rPr>
                <w:rStyle w:val="Hiperhivatkozs"/>
                <w:bCs/>
                <w:noProof/>
                <w:lang w:val="en-GB"/>
              </w:rPr>
              <w:t>CEPT</w:t>
            </w:r>
            <w:r>
              <w:rPr>
                <w:noProof/>
                <w:webHidden/>
              </w:rPr>
              <w:tab/>
            </w:r>
            <w:r>
              <w:rPr>
                <w:noProof/>
                <w:webHidden/>
              </w:rPr>
              <w:fldChar w:fldCharType="begin"/>
            </w:r>
            <w:r>
              <w:rPr>
                <w:noProof/>
                <w:webHidden/>
              </w:rPr>
              <w:instrText xml:space="preserve"> PAGEREF _Toc98343977 \h </w:instrText>
            </w:r>
            <w:r>
              <w:rPr>
                <w:noProof/>
                <w:webHidden/>
              </w:rPr>
            </w:r>
            <w:r>
              <w:rPr>
                <w:noProof/>
                <w:webHidden/>
              </w:rPr>
              <w:fldChar w:fldCharType="separate"/>
            </w:r>
            <w:r>
              <w:rPr>
                <w:noProof/>
                <w:webHidden/>
              </w:rPr>
              <w:t>7</w:t>
            </w:r>
            <w:r>
              <w:rPr>
                <w:noProof/>
                <w:webHidden/>
              </w:rPr>
              <w:fldChar w:fldCharType="end"/>
            </w:r>
          </w:hyperlink>
        </w:p>
        <w:p w14:paraId="71741866" w14:textId="77A3BBC5" w:rsidR="00F42A9E" w:rsidRDefault="00F42A9E">
          <w:pPr>
            <w:pStyle w:val="TJ3"/>
            <w:tabs>
              <w:tab w:val="left" w:pos="1320"/>
              <w:tab w:val="right" w:leader="dot" w:pos="9062"/>
            </w:tabs>
            <w:rPr>
              <w:rFonts w:eastAsiaTheme="minorEastAsia" w:cstheme="minorBidi"/>
              <w:noProof/>
              <w:lang w:eastAsia="hu-HU"/>
            </w:rPr>
          </w:pPr>
          <w:hyperlink w:anchor="_Toc98343978" w:history="1">
            <w:r w:rsidRPr="00643465">
              <w:rPr>
                <w:rStyle w:val="Hiperhivatkozs"/>
                <w:noProof/>
              </w:rPr>
              <w:t>3.1.3.</w:t>
            </w:r>
            <w:r>
              <w:rPr>
                <w:rFonts w:eastAsiaTheme="minorEastAsia" w:cstheme="minorBidi"/>
                <w:noProof/>
                <w:lang w:eastAsia="hu-HU"/>
              </w:rPr>
              <w:tab/>
            </w:r>
            <w:r w:rsidRPr="00643465">
              <w:rPr>
                <w:rStyle w:val="Hiperhivatkozs"/>
                <w:bCs/>
                <w:noProof/>
                <w:lang w:val="en-GB"/>
              </w:rPr>
              <w:t>EU</w:t>
            </w:r>
            <w:r>
              <w:rPr>
                <w:noProof/>
                <w:webHidden/>
              </w:rPr>
              <w:tab/>
            </w:r>
            <w:r>
              <w:rPr>
                <w:noProof/>
                <w:webHidden/>
              </w:rPr>
              <w:fldChar w:fldCharType="begin"/>
            </w:r>
            <w:r>
              <w:rPr>
                <w:noProof/>
                <w:webHidden/>
              </w:rPr>
              <w:instrText xml:space="preserve"> PAGEREF _Toc98343978 \h </w:instrText>
            </w:r>
            <w:r>
              <w:rPr>
                <w:noProof/>
                <w:webHidden/>
              </w:rPr>
            </w:r>
            <w:r>
              <w:rPr>
                <w:noProof/>
                <w:webHidden/>
              </w:rPr>
              <w:fldChar w:fldCharType="separate"/>
            </w:r>
            <w:r>
              <w:rPr>
                <w:noProof/>
                <w:webHidden/>
              </w:rPr>
              <w:t>12</w:t>
            </w:r>
            <w:r>
              <w:rPr>
                <w:noProof/>
                <w:webHidden/>
              </w:rPr>
              <w:fldChar w:fldCharType="end"/>
            </w:r>
          </w:hyperlink>
        </w:p>
        <w:p w14:paraId="0DD8F532" w14:textId="2AB256A6" w:rsidR="00F42A9E" w:rsidRDefault="00F42A9E">
          <w:pPr>
            <w:pStyle w:val="TJ2"/>
            <w:tabs>
              <w:tab w:val="left" w:pos="880"/>
              <w:tab w:val="right" w:leader="dot" w:pos="9062"/>
            </w:tabs>
            <w:rPr>
              <w:rFonts w:eastAsiaTheme="minorEastAsia" w:cstheme="minorBidi"/>
              <w:noProof/>
              <w:lang w:eastAsia="hu-HU"/>
            </w:rPr>
          </w:pPr>
          <w:hyperlink w:anchor="_Toc98343979" w:history="1">
            <w:r w:rsidRPr="00643465">
              <w:rPr>
                <w:rStyle w:val="Hiperhivatkozs"/>
                <w:noProof/>
              </w:rPr>
              <w:t>3.2.</w:t>
            </w:r>
            <w:r>
              <w:rPr>
                <w:rFonts w:eastAsiaTheme="minorEastAsia" w:cstheme="minorBidi"/>
                <w:noProof/>
                <w:lang w:eastAsia="hu-HU"/>
              </w:rPr>
              <w:tab/>
            </w:r>
            <w:r w:rsidRPr="00643465">
              <w:rPr>
                <w:rStyle w:val="Hiperhivatkozs"/>
                <w:bCs/>
                <w:noProof/>
                <w:lang w:val="en-GB"/>
              </w:rPr>
              <w:t>National regulation</w:t>
            </w:r>
            <w:r>
              <w:rPr>
                <w:noProof/>
                <w:webHidden/>
              </w:rPr>
              <w:tab/>
            </w:r>
            <w:r>
              <w:rPr>
                <w:noProof/>
                <w:webHidden/>
              </w:rPr>
              <w:fldChar w:fldCharType="begin"/>
            </w:r>
            <w:r>
              <w:rPr>
                <w:noProof/>
                <w:webHidden/>
              </w:rPr>
              <w:instrText xml:space="preserve"> PAGEREF _Toc98343979 \h </w:instrText>
            </w:r>
            <w:r>
              <w:rPr>
                <w:noProof/>
                <w:webHidden/>
              </w:rPr>
            </w:r>
            <w:r>
              <w:rPr>
                <w:noProof/>
                <w:webHidden/>
              </w:rPr>
              <w:fldChar w:fldCharType="separate"/>
            </w:r>
            <w:r>
              <w:rPr>
                <w:noProof/>
                <w:webHidden/>
              </w:rPr>
              <w:t>15</w:t>
            </w:r>
            <w:r>
              <w:rPr>
                <w:noProof/>
                <w:webHidden/>
              </w:rPr>
              <w:fldChar w:fldCharType="end"/>
            </w:r>
          </w:hyperlink>
        </w:p>
        <w:p w14:paraId="5743479E" w14:textId="7409CE66" w:rsidR="00F42A9E" w:rsidRDefault="00F42A9E">
          <w:pPr>
            <w:pStyle w:val="TJ3"/>
            <w:tabs>
              <w:tab w:val="left" w:pos="1320"/>
              <w:tab w:val="right" w:leader="dot" w:pos="9062"/>
            </w:tabs>
            <w:rPr>
              <w:rFonts w:eastAsiaTheme="minorEastAsia" w:cstheme="minorBidi"/>
              <w:noProof/>
              <w:lang w:eastAsia="hu-HU"/>
            </w:rPr>
          </w:pPr>
          <w:hyperlink w:anchor="_Toc98343980" w:history="1">
            <w:r w:rsidRPr="00643465">
              <w:rPr>
                <w:rStyle w:val="Hiperhivatkozs"/>
                <w:noProof/>
              </w:rPr>
              <w:t>3.2.1.</w:t>
            </w:r>
            <w:r>
              <w:rPr>
                <w:rFonts w:eastAsiaTheme="minorEastAsia" w:cstheme="minorBidi"/>
                <w:noProof/>
                <w:lang w:eastAsia="hu-HU"/>
              </w:rPr>
              <w:tab/>
            </w:r>
            <w:r w:rsidRPr="00643465">
              <w:rPr>
                <w:rStyle w:val="Hiperhivatkozs"/>
                <w:bCs/>
                <w:noProof/>
                <w:lang w:val="en-GB"/>
              </w:rPr>
              <w:t>Current regulation and use</w:t>
            </w:r>
            <w:r>
              <w:rPr>
                <w:noProof/>
                <w:webHidden/>
              </w:rPr>
              <w:tab/>
            </w:r>
            <w:r>
              <w:rPr>
                <w:noProof/>
                <w:webHidden/>
              </w:rPr>
              <w:fldChar w:fldCharType="begin"/>
            </w:r>
            <w:r>
              <w:rPr>
                <w:noProof/>
                <w:webHidden/>
              </w:rPr>
              <w:instrText xml:space="preserve"> PAGEREF _Toc98343980 \h </w:instrText>
            </w:r>
            <w:r>
              <w:rPr>
                <w:noProof/>
                <w:webHidden/>
              </w:rPr>
            </w:r>
            <w:r>
              <w:rPr>
                <w:noProof/>
                <w:webHidden/>
              </w:rPr>
              <w:fldChar w:fldCharType="separate"/>
            </w:r>
            <w:r>
              <w:rPr>
                <w:noProof/>
                <w:webHidden/>
              </w:rPr>
              <w:t>15</w:t>
            </w:r>
            <w:r>
              <w:rPr>
                <w:noProof/>
                <w:webHidden/>
              </w:rPr>
              <w:fldChar w:fldCharType="end"/>
            </w:r>
          </w:hyperlink>
        </w:p>
        <w:p w14:paraId="4B1F6B0A" w14:textId="297476C3" w:rsidR="00F42A9E" w:rsidRDefault="00F42A9E">
          <w:pPr>
            <w:pStyle w:val="TJ3"/>
            <w:tabs>
              <w:tab w:val="left" w:pos="1320"/>
              <w:tab w:val="right" w:leader="dot" w:pos="9062"/>
            </w:tabs>
            <w:rPr>
              <w:rFonts w:eastAsiaTheme="minorEastAsia" w:cstheme="minorBidi"/>
              <w:noProof/>
              <w:lang w:eastAsia="hu-HU"/>
            </w:rPr>
          </w:pPr>
          <w:hyperlink w:anchor="_Toc98343981" w:history="1">
            <w:r w:rsidRPr="00643465">
              <w:rPr>
                <w:rStyle w:val="Hiperhivatkozs"/>
                <w:noProof/>
              </w:rPr>
              <w:t>3.2.2.</w:t>
            </w:r>
            <w:r>
              <w:rPr>
                <w:rFonts w:eastAsiaTheme="minorEastAsia" w:cstheme="minorBidi"/>
                <w:noProof/>
                <w:lang w:eastAsia="hu-HU"/>
              </w:rPr>
              <w:tab/>
            </w:r>
            <w:r w:rsidRPr="00643465">
              <w:rPr>
                <w:rStyle w:val="Hiperhivatkozs"/>
                <w:bCs/>
                <w:noProof/>
                <w:lang w:val="en-GB"/>
              </w:rPr>
              <w:t>Current conditions of usingthe 24.5-26.5 GHz band</w:t>
            </w:r>
            <w:r>
              <w:rPr>
                <w:noProof/>
                <w:webHidden/>
              </w:rPr>
              <w:tab/>
            </w:r>
            <w:r>
              <w:rPr>
                <w:noProof/>
                <w:webHidden/>
              </w:rPr>
              <w:fldChar w:fldCharType="begin"/>
            </w:r>
            <w:r>
              <w:rPr>
                <w:noProof/>
                <w:webHidden/>
              </w:rPr>
              <w:instrText xml:space="preserve"> PAGEREF _Toc98343981 \h </w:instrText>
            </w:r>
            <w:r>
              <w:rPr>
                <w:noProof/>
                <w:webHidden/>
              </w:rPr>
            </w:r>
            <w:r>
              <w:rPr>
                <w:noProof/>
                <w:webHidden/>
              </w:rPr>
              <w:fldChar w:fldCharType="separate"/>
            </w:r>
            <w:r>
              <w:rPr>
                <w:noProof/>
                <w:webHidden/>
              </w:rPr>
              <w:t>16</w:t>
            </w:r>
            <w:r>
              <w:rPr>
                <w:noProof/>
                <w:webHidden/>
              </w:rPr>
              <w:fldChar w:fldCharType="end"/>
            </w:r>
          </w:hyperlink>
        </w:p>
        <w:p w14:paraId="0F5A3507" w14:textId="2F54FF1E" w:rsidR="00F42A9E" w:rsidRDefault="00F42A9E">
          <w:pPr>
            <w:pStyle w:val="TJ1"/>
            <w:tabs>
              <w:tab w:val="left" w:pos="440"/>
              <w:tab w:val="right" w:leader="dot" w:pos="9062"/>
            </w:tabs>
            <w:rPr>
              <w:rFonts w:eastAsiaTheme="minorEastAsia" w:cstheme="minorBidi"/>
              <w:noProof/>
              <w:lang w:eastAsia="hu-HU"/>
            </w:rPr>
          </w:pPr>
          <w:hyperlink w:anchor="_Toc98343982" w:history="1">
            <w:r w:rsidRPr="00643465">
              <w:rPr>
                <w:rStyle w:val="Hiperhivatkozs"/>
                <w:noProof/>
              </w:rPr>
              <w:t>4.</w:t>
            </w:r>
            <w:r>
              <w:rPr>
                <w:rFonts w:eastAsiaTheme="minorEastAsia" w:cstheme="minorBidi"/>
                <w:noProof/>
                <w:lang w:eastAsia="hu-HU"/>
              </w:rPr>
              <w:tab/>
            </w:r>
            <w:r w:rsidRPr="00643465">
              <w:rPr>
                <w:rStyle w:val="Hiperhivatkozs"/>
                <w:bCs/>
                <w:noProof/>
                <w:lang w:val="en-GB"/>
              </w:rPr>
              <w:t>Current use of the 24.5-26.5 GHz frequency band</w:t>
            </w:r>
            <w:r>
              <w:rPr>
                <w:noProof/>
                <w:webHidden/>
              </w:rPr>
              <w:tab/>
            </w:r>
            <w:r>
              <w:rPr>
                <w:noProof/>
                <w:webHidden/>
              </w:rPr>
              <w:fldChar w:fldCharType="begin"/>
            </w:r>
            <w:r>
              <w:rPr>
                <w:noProof/>
                <w:webHidden/>
              </w:rPr>
              <w:instrText xml:space="preserve"> PAGEREF _Toc98343982 \h </w:instrText>
            </w:r>
            <w:r>
              <w:rPr>
                <w:noProof/>
                <w:webHidden/>
              </w:rPr>
            </w:r>
            <w:r>
              <w:rPr>
                <w:noProof/>
                <w:webHidden/>
              </w:rPr>
              <w:fldChar w:fldCharType="separate"/>
            </w:r>
            <w:r>
              <w:rPr>
                <w:noProof/>
                <w:webHidden/>
              </w:rPr>
              <w:t>17</w:t>
            </w:r>
            <w:r>
              <w:rPr>
                <w:noProof/>
                <w:webHidden/>
              </w:rPr>
              <w:fldChar w:fldCharType="end"/>
            </w:r>
          </w:hyperlink>
        </w:p>
        <w:p w14:paraId="12B11195" w14:textId="548E8883" w:rsidR="00F42A9E" w:rsidRDefault="00F42A9E">
          <w:pPr>
            <w:pStyle w:val="TJ1"/>
            <w:tabs>
              <w:tab w:val="left" w:pos="440"/>
              <w:tab w:val="right" w:leader="dot" w:pos="9062"/>
            </w:tabs>
            <w:rPr>
              <w:rFonts w:eastAsiaTheme="minorEastAsia" w:cstheme="minorBidi"/>
              <w:noProof/>
              <w:lang w:eastAsia="hu-HU"/>
            </w:rPr>
          </w:pPr>
          <w:hyperlink w:anchor="_Toc98343983" w:history="1">
            <w:r w:rsidRPr="00643465">
              <w:rPr>
                <w:rStyle w:val="Hiperhivatkozs"/>
                <w:noProof/>
              </w:rPr>
              <w:t>5.</w:t>
            </w:r>
            <w:r>
              <w:rPr>
                <w:rFonts w:eastAsiaTheme="minorEastAsia" w:cstheme="minorBidi"/>
                <w:noProof/>
                <w:lang w:eastAsia="hu-HU"/>
              </w:rPr>
              <w:tab/>
            </w:r>
            <w:r w:rsidRPr="00643465">
              <w:rPr>
                <w:rStyle w:val="Hiperhivatkozs"/>
                <w:bCs/>
                <w:noProof/>
                <w:lang w:val="en-GB"/>
              </w:rPr>
              <w:t>National regulatory plans</w:t>
            </w:r>
            <w:r>
              <w:rPr>
                <w:noProof/>
                <w:webHidden/>
              </w:rPr>
              <w:tab/>
            </w:r>
            <w:r>
              <w:rPr>
                <w:noProof/>
                <w:webHidden/>
              </w:rPr>
              <w:fldChar w:fldCharType="begin"/>
            </w:r>
            <w:r>
              <w:rPr>
                <w:noProof/>
                <w:webHidden/>
              </w:rPr>
              <w:instrText xml:space="preserve"> PAGEREF _Toc98343983 \h </w:instrText>
            </w:r>
            <w:r>
              <w:rPr>
                <w:noProof/>
                <w:webHidden/>
              </w:rPr>
            </w:r>
            <w:r>
              <w:rPr>
                <w:noProof/>
                <w:webHidden/>
              </w:rPr>
              <w:fldChar w:fldCharType="separate"/>
            </w:r>
            <w:r>
              <w:rPr>
                <w:noProof/>
                <w:webHidden/>
              </w:rPr>
              <w:t>18</w:t>
            </w:r>
            <w:r>
              <w:rPr>
                <w:noProof/>
                <w:webHidden/>
              </w:rPr>
              <w:fldChar w:fldCharType="end"/>
            </w:r>
          </w:hyperlink>
        </w:p>
        <w:p w14:paraId="2DFC31E9" w14:textId="64E90E3B" w:rsidR="00F42A9E" w:rsidRDefault="00F42A9E">
          <w:pPr>
            <w:pStyle w:val="TJ2"/>
            <w:tabs>
              <w:tab w:val="left" w:pos="880"/>
              <w:tab w:val="right" w:leader="dot" w:pos="9062"/>
            </w:tabs>
            <w:rPr>
              <w:rFonts w:eastAsiaTheme="minorEastAsia" w:cstheme="minorBidi"/>
              <w:noProof/>
              <w:lang w:eastAsia="hu-HU"/>
            </w:rPr>
          </w:pPr>
          <w:hyperlink w:anchor="_Toc98343984" w:history="1">
            <w:r w:rsidRPr="00643465">
              <w:rPr>
                <w:rStyle w:val="Hiperhivatkozs"/>
                <w:noProof/>
              </w:rPr>
              <w:t>5.1.</w:t>
            </w:r>
            <w:r>
              <w:rPr>
                <w:rFonts w:eastAsiaTheme="minorEastAsia" w:cstheme="minorBidi"/>
                <w:noProof/>
                <w:lang w:eastAsia="hu-HU"/>
              </w:rPr>
              <w:tab/>
            </w:r>
            <w:r w:rsidRPr="00643465">
              <w:rPr>
                <w:rStyle w:val="Hiperhivatkozs"/>
                <w:bCs/>
                <w:noProof/>
                <w:shd w:val="clear" w:color="auto" w:fill="FFFFFF"/>
                <w:lang w:val="en-GB"/>
              </w:rPr>
              <w:t>24.25-24.5 GHz band</w:t>
            </w:r>
            <w:r>
              <w:rPr>
                <w:noProof/>
                <w:webHidden/>
              </w:rPr>
              <w:tab/>
            </w:r>
            <w:r>
              <w:rPr>
                <w:noProof/>
                <w:webHidden/>
              </w:rPr>
              <w:fldChar w:fldCharType="begin"/>
            </w:r>
            <w:r>
              <w:rPr>
                <w:noProof/>
                <w:webHidden/>
              </w:rPr>
              <w:instrText xml:space="preserve"> PAGEREF _Toc98343984 \h </w:instrText>
            </w:r>
            <w:r>
              <w:rPr>
                <w:noProof/>
                <w:webHidden/>
              </w:rPr>
            </w:r>
            <w:r>
              <w:rPr>
                <w:noProof/>
                <w:webHidden/>
              </w:rPr>
              <w:fldChar w:fldCharType="separate"/>
            </w:r>
            <w:r>
              <w:rPr>
                <w:noProof/>
                <w:webHidden/>
              </w:rPr>
              <w:t>19</w:t>
            </w:r>
            <w:r>
              <w:rPr>
                <w:noProof/>
                <w:webHidden/>
              </w:rPr>
              <w:fldChar w:fldCharType="end"/>
            </w:r>
          </w:hyperlink>
        </w:p>
        <w:p w14:paraId="3F1374A3" w14:textId="062B55B8" w:rsidR="00F42A9E" w:rsidRDefault="00F42A9E">
          <w:pPr>
            <w:pStyle w:val="TJ2"/>
            <w:tabs>
              <w:tab w:val="left" w:pos="880"/>
              <w:tab w:val="right" w:leader="dot" w:pos="9062"/>
            </w:tabs>
            <w:rPr>
              <w:rFonts w:eastAsiaTheme="minorEastAsia" w:cstheme="minorBidi"/>
              <w:noProof/>
              <w:lang w:eastAsia="hu-HU"/>
            </w:rPr>
          </w:pPr>
          <w:hyperlink w:anchor="_Toc98343985" w:history="1">
            <w:r w:rsidRPr="00643465">
              <w:rPr>
                <w:rStyle w:val="Hiperhivatkozs"/>
                <w:noProof/>
              </w:rPr>
              <w:t>5.2.</w:t>
            </w:r>
            <w:r>
              <w:rPr>
                <w:rFonts w:eastAsiaTheme="minorEastAsia" w:cstheme="minorBidi"/>
                <w:noProof/>
                <w:lang w:eastAsia="hu-HU"/>
              </w:rPr>
              <w:tab/>
            </w:r>
            <w:r w:rsidRPr="00643465">
              <w:rPr>
                <w:rStyle w:val="Hiperhivatkozs"/>
                <w:bCs/>
                <w:noProof/>
                <w:shd w:val="clear" w:color="auto" w:fill="FFFFFF"/>
                <w:lang w:val="en-GB"/>
              </w:rPr>
              <w:t>24.5-26.5 GHz band</w:t>
            </w:r>
            <w:r>
              <w:rPr>
                <w:noProof/>
                <w:webHidden/>
              </w:rPr>
              <w:tab/>
            </w:r>
            <w:r>
              <w:rPr>
                <w:noProof/>
                <w:webHidden/>
              </w:rPr>
              <w:fldChar w:fldCharType="begin"/>
            </w:r>
            <w:r>
              <w:rPr>
                <w:noProof/>
                <w:webHidden/>
              </w:rPr>
              <w:instrText xml:space="preserve"> PAGEREF _Toc98343985 \h </w:instrText>
            </w:r>
            <w:r>
              <w:rPr>
                <w:noProof/>
                <w:webHidden/>
              </w:rPr>
            </w:r>
            <w:r>
              <w:rPr>
                <w:noProof/>
                <w:webHidden/>
              </w:rPr>
              <w:fldChar w:fldCharType="separate"/>
            </w:r>
            <w:r>
              <w:rPr>
                <w:noProof/>
                <w:webHidden/>
              </w:rPr>
              <w:t>19</w:t>
            </w:r>
            <w:r>
              <w:rPr>
                <w:noProof/>
                <w:webHidden/>
              </w:rPr>
              <w:fldChar w:fldCharType="end"/>
            </w:r>
          </w:hyperlink>
        </w:p>
        <w:p w14:paraId="686E6582" w14:textId="63458A4C" w:rsidR="00F42A9E" w:rsidRDefault="00F42A9E">
          <w:pPr>
            <w:pStyle w:val="TJ3"/>
            <w:tabs>
              <w:tab w:val="left" w:pos="1320"/>
              <w:tab w:val="right" w:leader="dot" w:pos="9062"/>
            </w:tabs>
            <w:rPr>
              <w:rFonts w:eastAsiaTheme="minorEastAsia" w:cstheme="minorBidi"/>
              <w:noProof/>
              <w:lang w:eastAsia="hu-HU"/>
            </w:rPr>
          </w:pPr>
          <w:hyperlink w:anchor="_Toc98343986" w:history="1">
            <w:r w:rsidRPr="00643465">
              <w:rPr>
                <w:rStyle w:val="Hiperhivatkozs"/>
                <w:noProof/>
              </w:rPr>
              <w:t>5.2.1.</w:t>
            </w:r>
            <w:r>
              <w:rPr>
                <w:rFonts w:eastAsiaTheme="minorEastAsia" w:cstheme="minorBidi"/>
                <w:noProof/>
                <w:lang w:eastAsia="hu-HU"/>
              </w:rPr>
              <w:tab/>
            </w:r>
            <w:r w:rsidRPr="00643465">
              <w:rPr>
                <w:rStyle w:val="Hiperhivatkozs"/>
                <w:bCs/>
                <w:noProof/>
                <w:lang w:val="en-GB"/>
              </w:rPr>
              <w:t>Possibility of replacing 24.5-26.5 GHz frequency band systems</w:t>
            </w:r>
            <w:r>
              <w:rPr>
                <w:noProof/>
                <w:webHidden/>
              </w:rPr>
              <w:tab/>
            </w:r>
            <w:r>
              <w:rPr>
                <w:noProof/>
                <w:webHidden/>
              </w:rPr>
              <w:fldChar w:fldCharType="begin"/>
            </w:r>
            <w:r>
              <w:rPr>
                <w:noProof/>
                <w:webHidden/>
              </w:rPr>
              <w:instrText xml:space="preserve"> PAGEREF _Toc98343986 \h </w:instrText>
            </w:r>
            <w:r>
              <w:rPr>
                <w:noProof/>
                <w:webHidden/>
              </w:rPr>
            </w:r>
            <w:r>
              <w:rPr>
                <w:noProof/>
                <w:webHidden/>
              </w:rPr>
              <w:fldChar w:fldCharType="separate"/>
            </w:r>
            <w:r>
              <w:rPr>
                <w:noProof/>
                <w:webHidden/>
              </w:rPr>
              <w:t>19</w:t>
            </w:r>
            <w:r>
              <w:rPr>
                <w:noProof/>
                <w:webHidden/>
              </w:rPr>
              <w:fldChar w:fldCharType="end"/>
            </w:r>
          </w:hyperlink>
        </w:p>
        <w:p w14:paraId="6E391353" w14:textId="2861BA5C" w:rsidR="00F42A9E" w:rsidRDefault="00F42A9E">
          <w:pPr>
            <w:pStyle w:val="TJ3"/>
            <w:tabs>
              <w:tab w:val="left" w:pos="1320"/>
              <w:tab w:val="right" w:leader="dot" w:pos="9062"/>
            </w:tabs>
            <w:rPr>
              <w:rFonts w:eastAsiaTheme="minorEastAsia" w:cstheme="minorBidi"/>
              <w:noProof/>
              <w:lang w:eastAsia="hu-HU"/>
            </w:rPr>
          </w:pPr>
          <w:hyperlink w:anchor="_Toc98343987" w:history="1">
            <w:r w:rsidRPr="00643465">
              <w:rPr>
                <w:rStyle w:val="Hiperhivatkozs"/>
                <w:noProof/>
              </w:rPr>
              <w:t>5.2.2.</w:t>
            </w:r>
            <w:r>
              <w:rPr>
                <w:rFonts w:eastAsiaTheme="minorEastAsia" w:cstheme="minorBidi"/>
                <w:noProof/>
                <w:lang w:eastAsia="hu-HU"/>
              </w:rPr>
              <w:tab/>
            </w:r>
            <w:r w:rsidRPr="00643465">
              <w:rPr>
                <w:rStyle w:val="Hiperhivatkozs"/>
                <w:bCs/>
                <w:noProof/>
                <w:lang w:val="en-GB"/>
              </w:rPr>
              <w:t>Making the 24.5-26.5 GHz band partially available for MFCN purpose</w:t>
            </w:r>
            <w:r>
              <w:rPr>
                <w:noProof/>
                <w:webHidden/>
              </w:rPr>
              <w:tab/>
            </w:r>
            <w:r>
              <w:rPr>
                <w:noProof/>
                <w:webHidden/>
              </w:rPr>
              <w:fldChar w:fldCharType="begin"/>
            </w:r>
            <w:r>
              <w:rPr>
                <w:noProof/>
                <w:webHidden/>
              </w:rPr>
              <w:instrText xml:space="preserve"> PAGEREF _Toc98343987 \h </w:instrText>
            </w:r>
            <w:r>
              <w:rPr>
                <w:noProof/>
                <w:webHidden/>
              </w:rPr>
            </w:r>
            <w:r>
              <w:rPr>
                <w:noProof/>
                <w:webHidden/>
              </w:rPr>
              <w:fldChar w:fldCharType="separate"/>
            </w:r>
            <w:r>
              <w:rPr>
                <w:noProof/>
                <w:webHidden/>
              </w:rPr>
              <w:t>19</w:t>
            </w:r>
            <w:r>
              <w:rPr>
                <w:noProof/>
                <w:webHidden/>
              </w:rPr>
              <w:fldChar w:fldCharType="end"/>
            </w:r>
          </w:hyperlink>
        </w:p>
        <w:p w14:paraId="1EA754F6" w14:textId="33DFAF45" w:rsidR="00F42A9E" w:rsidRDefault="00F42A9E">
          <w:pPr>
            <w:pStyle w:val="TJ2"/>
            <w:tabs>
              <w:tab w:val="left" w:pos="880"/>
              <w:tab w:val="right" w:leader="dot" w:pos="9062"/>
            </w:tabs>
            <w:rPr>
              <w:rFonts w:eastAsiaTheme="minorEastAsia" w:cstheme="minorBidi"/>
              <w:noProof/>
              <w:lang w:eastAsia="hu-HU"/>
            </w:rPr>
          </w:pPr>
          <w:hyperlink w:anchor="_Toc98343988" w:history="1">
            <w:r w:rsidRPr="00643465">
              <w:rPr>
                <w:rStyle w:val="Hiperhivatkozs"/>
                <w:noProof/>
              </w:rPr>
              <w:t>5.3.</w:t>
            </w:r>
            <w:r>
              <w:rPr>
                <w:rFonts w:eastAsiaTheme="minorEastAsia" w:cstheme="minorBidi"/>
                <w:noProof/>
                <w:lang w:eastAsia="hu-HU"/>
              </w:rPr>
              <w:tab/>
            </w:r>
            <w:r w:rsidRPr="00643465">
              <w:rPr>
                <w:rStyle w:val="Hiperhivatkozs"/>
                <w:bCs/>
                <w:noProof/>
                <w:shd w:val="clear" w:color="auto" w:fill="FFFFFF"/>
                <w:lang w:val="en-GB"/>
              </w:rPr>
              <w:t>26.5-27.5 GHz band</w:t>
            </w:r>
            <w:r>
              <w:rPr>
                <w:noProof/>
                <w:webHidden/>
              </w:rPr>
              <w:tab/>
            </w:r>
            <w:r>
              <w:rPr>
                <w:noProof/>
                <w:webHidden/>
              </w:rPr>
              <w:fldChar w:fldCharType="begin"/>
            </w:r>
            <w:r>
              <w:rPr>
                <w:noProof/>
                <w:webHidden/>
              </w:rPr>
              <w:instrText xml:space="preserve"> PAGEREF _Toc98343988 \h </w:instrText>
            </w:r>
            <w:r>
              <w:rPr>
                <w:noProof/>
                <w:webHidden/>
              </w:rPr>
            </w:r>
            <w:r>
              <w:rPr>
                <w:noProof/>
                <w:webHidden/>
              </w:rPr>
              <w:fldChar w:fldCharType="separate"/>
            </w:r>
            <w:r>
              <w:rPr>
                <w:noProof/>
                <w:webHidden/>
              </w:rPr>
              <w:t>20</w:t>
            </w:r>
            <w:r>
              <w:rPr>
                <w:noProof/>
                <w:webHidden/>
              </w:rPr>
              <w:fldChar w:fldCharType="end"/>
            </w:r>
          </w:hyperlink>
        </w:p>
        <w:p w14:paraId="147313F2" w14:textId="7A63C38D" w:rsidR="00F42A9E" w:rsidRDefault="00F42A9E">
          <w:pPr>
            <w:pStyle w:val="TJ2"/>
            <w:tabs>
              <w:tab w:val="left" w:pos="880"/>
              <w:tab w:val="right" w:leader="dot" w:pos="9062"/>
            </w:tabs>
            <w:rPr>
              <w:rFonts w:eastAsiaTheme="minorEastAsia" w:cstheme="minorBidi"/>
              <w:noProof/>
              <w:lang w:eastAsia="hu-HU"/>
            </w:rPr>
          </w:pPr>
          <w:hyperlink w:anchor="_Toc98343989" w:history="1">
            <w:r w:rsidRPr="00643465">
              <w:rPr>
                <w:rStyle w:val="Hiperhivatkozs"/>
                <w:noProof/>
              </w:rPr>
              <w:t>5.4.</w:t>
            </w:r>
            <w:r>
              <w:rPr>
                <w:rFonts w:eastAsiaTheme="minorEastAsia" w:cstheme="minorBidi"/>
                <w:noProof/>
                <w:lang w:eastAsia="hu-HU"/>
              </w:rPr>
              <w:tab/>
            </w:r>
            <w:r w:rsidRPr="00643465">
              <w:rPr>
                <w:rStyle w:val="Hiperhivatkozs"/>
                <w:bCs/>
                <w:noProof/>
                <w:shd w:val="clear" w:color="auto" w:fill="FFFFFF"/>
                <w:lang w:val="en-GB"/>
              </w:rPr>
              <w:t>Regulatory steps</w:t>
            </w:r>
            <w:r>
              <w:rPr>
                <w:noProof/>
                <w:webHidden/>
              </w:rPr>
              <w:tab/>
            </w:r>
            <w:r>
              <w:rPr>
                <w:noProof/>
                <w:webHidden/>
              </w:rPr>
              <w:fldChar w:fldCharType="begin"/>
            </w:r>
            <w:r>
              <w:rPr>
                <w:noProof/>
                <w:webHidden/>
              </w:rPr>
              <w:instrText xml:space="preserve"> PAGEREF _Toc98343989 \h </w:instrText>
            </w:r>
            <w:r>
              <w:rPr>
                <w:noProof/>
                <w:webHidden/>
              </w:rPr>
            </w:r>
            <w:r>
              <w:rPr>
                <w:noProof/>
                <w:webHidden/>
              </w:rPr>
              <w:fldChar w:fldCharType="separate"/>
            </w:r>
            <w:r>
              <w:rPr>
                <w:noProof/>
                <w:webHidden/>
              </w:rPr>
              <w:t>21</w:t>
            </w:r>
            <w:r>
              <w:rPr>
                <w:noProof/>
                <w:webHidden/>
              </w:rPr>
              <w:fldChar w:fldCharType="end"/>
            </w:r>
          </w:hyperlink>
        </w:p>
        <w:p w14:paraId="1DD0F5B2" w14:textId="4771B468" w:rsidR="00F42A9E" w:rsidRDefault="00F42A9E">
          <w:pPr>
            <w:pStyle w:val="TJ1"/>
            <w:tabs>
              <w:tab w:val="left" w:pos="440"/>
              <w:tab w:val="right" w:leader="dot" w:pos="9062"/>
            </w:tabs>
            <w:rPr>
              <w:rFonts w:eastAsiaTheme="minorEastAsia" w:cstheme="minorBidi"/>
              <w:noProof/>
              <w:lang w:eastAsia="hu-HU"/>
            </w:rPr>
          </w:pPr>
          <w:hyperlink w:anchor="_Toc98343990" w:history="1">
            <w:r w:rsidRPr="00643465">
              <w:rPr>
                <w:rStyle w:val="Hiperhivatkozs"/>
                <w:noProof/>
              </w:rPr>
              <w:t>6.</w:t>
            </w:r>
            <w:r>
              <w:rPr>
                <w:rFonts w:eastAsiaTheme="minorEastAsia" w:cstheme="minorBidi"/>
                <w:noProof/>
                <w:lang w:eastAsia="hu-HU"/>
              </w:rPr>
              <w:tab/>
            </w:r>
            <w:r w:rsidRPr="00643465">
              <w:rPr>
                <w:rStyle w:val="Hiperhivatkozs"/>
                <w:bCs/>
                <w:noProof/>
                <w:lang w:val="en-GB"/>
              </w:rPr>
              <w:t>International coordination</w:t>
            </w:r>
            <w:r>
              <w:rPr>
                <w:noProof/>
                <w:webHidden/>
              </w:rPr>
              <w:tab/>
            </w:r>
            <w:r>
              <w:rPr>
                <w:noProof/>
                <w:webHidden/>
              </w:rPr>
              <w:fldChar w:fldCharType="begin"/>
            </w:r>
            <w:r>
              <w:rPr>
                <w:noProof/>
                <w:webHidden/>
              </w:rPr>
              <w:instrText xml:space="preserve"> PAGEREF _Toc98343990 \h </w:instrText>
            </w:r>
            <w:r>
              <w:rPr>
                <w:noProof/>
                <w:webHidden/>
              </w:rPr>
            </w:r>
            <w:r>
              <w:rPr>
                <w:noProof/>
                <w:webHidden/>
              </w:rPr>
              <w:fldChar w:fldCharType="separate"/>
            </w:r>
            <w:r>
              <w:rPr>
                <w:noProof/>
                <w:webHidden/>
              </w:rPr>
              <w:t>21</w:t>
            </w:r>
            <w:r>
              <w:rPr>
                <w:noProof/>
                <w:webHidden/>
              </w:rPr>
              <w:fldChar w:fldCharType="end"/>
            </w:r>
          </w:hyperlink>
        </w:p>
        <w:p w14:paraId="746E6BC7" w14:textId="010B033C" w:rsidR="00F42A9E" w:rsidRDefault="00F42A9E">
          <w:pPr>
            <w:pStyle w:val="TJ2"/>
            <w:tabs>
              <w:tab w:val="left" w:pos="880"/>
              <w:tab w:val="right" w:leader="dot" w:pos="9062"/>
            </w:tabs>
            <w:rPr>
              <w:rFonts w:eastAsiaTheme="minorEastAsia" w:cstheme="minorBidi"/>
              <w:noProof/>
              <w:lang w:eastAsia="hu-HU"/>
            </w:rPr>
          </w:pPr>
          <w:hyperlink w:anchor="_Toc98343991" w:history="1">
            <w:r w:rsidRPr="00643465">
              <w:rPr>
                <w:rStyle w:val="Hiperhivatkozs"/>
                <w:noProof/>
              </w:rPr>
              <w:t>6.1</w:t>
            </w:r>
            <w:r>
              <w:rPr>
                <w:rFonts w:eastAsiaTheme="minorEastAsia" w:cstheme="minorBidi"/>
                <w:noProof/>
                <w:lang w:eastAsia="hu-HU"/>
              </w:rPr>
              <w:tab/>
            </w:r>
            <w:r w:rsidRPr="00643465">
              <w:rPr>
                <w:rStyle w:val="Hiperhivatkozs"/>
                <w:bCs/>
                <w:noProof/>
                <w:lang w:val="en-GB"/>
              </w:rPr>
              <w:t>Radio spectrum usage for current fixed use in cross-border regions</w:t>
            </w:r>
            <w:r>
              <w:rPr>
                <w:noProof/>
                <w:webHidden/>
              </w:rPr>
              <w:tab/>
            </w:r>
            <w:r>
              <w:rPr>
                <w:noProof/>
                <w:webHidden/>
              </w:rPr>
              <w:fldChar w:fldCharType="begin"/>
            </w:r>
            <w:r>
              <w:rPr>
                <w:noProof/>
                <w:webHidden/>
              </w:rPr>
              <w:instrText xml:space="preserve"> PAGEREF _Toc98343991 \h </w:instrText>
            </w:r>
            <w:r>
              <w:rPr>
                <w:noProof/>
                <w:webHidden/>
              </w:rPr>
            </w:r>
            <w:r>
              <w:rPr>
                <w:noProof/>
                <w:webHidden/>
              </w:rPr>
              <w:fldChar w:fldCharType="separate"/>
            </w:r>
            <w:r>
              <w:rPr>
                <w:noProof/>
                <w:webHidden/>
              </w:rPr>
              <w:t>21</w:t>
            </w:r>
            <w:r>
              <w:rPr>
                <w:noProof/>
                <w:webHidden/>
              </w:rPr>
              <w:fldChar w:fldCharType="end"/>
            </w:r>
          </w:hyperlink>
        </w:p>
        <w:p w14:paraId="4B29A163" w14:textId="53745591" w:rsidR="00F42A9E" w:rsidRDefault="00F42A9E">
          <w:pPr>
            <w:pStyle w:val="TJ2"/>
            <w:tabs>
              <w:tab w:val="left" w:pos="880"/>
              <w:tab w:val="right" w:leader="dot" w:pos="9062"/>
            </w:tabs>
            <w:rPr>
              <w:rFonts w:eastAsiaTheme="minorEastAsia" w:cstheme="minorBidi"/>
              <w:noProof/>
              <w:lang w:eastAsia="hu-HU"/>
            </w:rPr>
          </w:pPr>
          <w:hyperlink w:anchor="_Toc98343992" w:history="1">
            <w:r w:rsidRPr="00643465">
              <w:rPr>
                <w:rStyle w:val="Hiperhivatkozs"/>
                <w:noProof/>
              </w:rPr>
              <w:t>6.2</w:t>
            </w:r>
            <w:r>
              <w:rPr>
                <w:rFonts w:eastAsiaTheme="minorEastAsia" w:cstheme="minorBidi"/>
                <w:noProof/>
                <w:lang w:eastAsia="hu-HU"/>
              </w:rPr>
              <w:tab/>
            </w:r>
            <w:r w:rsidRPr="00643465">
              <w:rPr>
                <w:rStyle w:val="Hiperhivatkozs"/>
                <w:bCs/>
                <w:noProof/>
                <w:lang w:val="en-GB"/>
              </w:rPr>
              <w:t>International frequency coordination for future use</w:t>
            </w:r>
            <w:r>
              <w:rPr>
                <w:noProof/>
                <w:webHidden/>
              </w:rPr>
              <w:tab/>
            </w:r>
            <w:r>
              <w:rPr>
                <w:noProof/>
                <w:webHidden/>
              </w:rPr>
              <w:fldChar w:fldCharType="begin"/>
            </w:r>
            <w:r>
              <w:rPr>
                <w:noProof/>
                <w:webHidden/>
              </w:rPr>
              <w:instrText xml:space="preserve"> PAGEREF _Toc98343992 \h </w:instrText>
            </w:r>
            <w:r>
              <w:rPr>
                <w:noProof/>
                <w:webHidden/>
              </w:rPr>
            </w:r>
            <w:r>
              <w:rPr>
                <w:noProof/>
                <w:webHidden/>
              </w:rPr>
              <w:fldChar w:fldCharType="separate"/>
            </w:r>
            <w:r>
              <w:rPr>
                <w:noProof/>
                <w:webHidden/>
              </w:rPr>
              <w:t>22</w:t>
            </w:r>
            <w:r>
              <w:rPr>
                <w:noProof/>
                <w:webHidden/>
              </w:rPr>
              <w:fldChar w:fldCharType="end"/>
            </w:r>
          </w:hyperlink>
        </w:p>
        <w:p w14:paraId="1721229E" w14:textId="536CED4A" w:rsidR="00F42A9E" w:rsidRDefault="00F42A9E">
          <w:pPr>
            <w:pStyle w:val="TJ1"/>
            <w:tabs>
              <w:tab w:val="left" w:pos="440"/>
              <w:tab w:val="right" w:leader="dot" w:pos="9062"/>
            </w:tabs>
            <w:rPr>
              <w:rFonts w:eastAsiaTheme="minorEastAsia" w:cstheme="minorBidi"/>
              <w:noProof/>
              <w:lang w:eastAsia="hu-HU"/>
            </w:rPr>
          </w:pPr>
          <w:hyperlink w:anchor="_Toc98343993" w:history="1">
            <w:r w:rsidRPr="00643465">
              <w:rPr>
                <w:rStyle w:val="Hiperhivatkozs"/>
                <w:noProof/>
              </w:rPr>
              <w:t>7.</w:t>
            </w:r>
            <w:r>
              <w:rPr>
                <w:rFonts w:eastAsiaTheme="minorEastAsia" w:cstheme="minorBidi"/>
                <w:noProof/>
                <w:lang w:eastAsia="hu-HU"/>
              </w:rPr>
              <w:tab/>
            </w:r>
            <w:r w:rsidRPr="00643465">
              <w:rPr>
                <w:rStyle w:val="Hiperhivatkozs"/>
                <w:bCs/>
                <w:noProof/>
                <w:lang w:val="en-GB"/>
              </w:rPr>
              <w:t>Potential sources of interference</w:t>
            </w:r>
            <w:r>
              <w:rPr>
                <w:noProof/>
                <w:webHidden/>
              </w:rPr>
              <w:tab/>
            </w:r>
            <w:r>
              <w:rPr>
                <w:noProof/>
                <w:webHidden/>
              </w:rPr>
              <w:fldChar w:fldCharType="begin"/>
            </w:r>
            <w:r>
              <w:rPr>
                <w:noProof/>
                <w:webHidden/>
              </w:rPr>
              <w:instrText xml:space="preserve"> PAGEREF _Toc98343993 \h </w:instrText>
            </w:r>
            <w:r>
              <w:rPr>
                <w:noProof/>
                <w:webHidden/>
              </w:rPr>
            </w:r>
            <w:r>
              <w:rPr>
                <w:noProof/>
                <w:webHidden/>
              </w:rPr>
              <w:fldChar w:fldCharType="separate"/>
            </w:r>
            <w:r>
              <w:rPr>
                <w:noProof/>
                <w:webHidden/>
              </w:rPr>
              <w:t>22</w:t>
            </w:r>
            <w:r>
              <w:rPr>
                <w:noProof/>
                <w:webHidden/>
              </w:rPr>
              <w:fldChar w:fldCharType="end"/>
            </w:r>
          </w:hyperlink>
        </w:p>
        <w:p w14:paraId="6D39BE18" w14:textId="5ACCA281" w:rsidR="00F42A9E" w:rsidRDefault="00F42A9E">
          <w:pPr>
            <w:pStyle w:val="TJ1"/>
            <w:tabs>
              <w:tab w:val="left" w:pos="440"/>
              <w:tab w:val="right" w:leader="dot" w:pos="9062"/>
            </w:tabs>
            <w:rPr>
              <w:rFonts w:eastAsiaTheme="minorEastAsia" w:cstheme="minorBidi"/>
              <w:noProof/>
              <w:lang w:eastAsia="hu-HU"/>
            </w:rPr>
          </w:pPr>
          <w:hyperlink w:anchor="_Toc98343994" w:history="1">
            <w:r w:rsidRPr="00643465">
              <w:rPr>
                <w:rStyle w:val="Hiperhivatkozs"/>
                <w:noProof/>
              </w:rPr>
              <w:t>8.</w:t>
            </w:r>
            <w:r>
              <w:rPr>
                <w:rFonts w:eastAsiaTheme="minorEastAsia" w:cstheme="minorBidi"/>
                <w:noProof/>
                <w:lang w:eastAsia="hu-HU"/>
              </w:rPr>
              <w:tab/>
            </w:r>
            <w:r w:rsidRPr="00643465">
              <w:rPr>
                <w:rStyle w:val="Hiperhivatkozs"/>
                <w:bCs/>
                <w:noProof/>
                <w:lang w:val="en-GB"/>
              </w:rPr>
              <w:t>Radio spectrum fees</w:t>
            </w:r>
            <w:r>
              <w:rPr>
                <w:noProof/>
                <w:webHidden/>
              </w:rPr>
              <w:tab/>
            </w:r>
            <w:r>
              <w:rPr>
                <w:noProof/>
                <w:webHidden/>
              </w:rPr>
              <w:fldChar w:fldCharType="begin"/>
            </w:r>
            <w:r>
              <w:rPr>
                <w:noProof/>
                <w:webHidden/>
              </w:rPr>
              <w:instrText xml:space="preserve"> PAGEREF _Toc98343994 \h </w:instrText>
            </w:r>
            <w:r>
              <w:rPr>
                <w:noProof/>
                <w:webHidden/>
              </w:rPr>
            </w:r>
            <w:r>
              <w:rPr>
                <w:noProof/>
                <w:webHidden/>
              </w:rPr>
              <w:fldChar w:fldCharType="separate"/>
            </w:r>
            <w:r>
              <w:rPr>
                <w:noProof/>
                <w:webHidden/>
              </w:rPr>
              <w:t>23</w:t>
            </w:r>
            <w:r>
              <w:rPr>
                <w:noProof/>
                <w:webHidden/>
              </w:rPr>
              <w:fldChar w:fldCharType="end"/>
            </w:r>
          </w:hyperlink>
        </w:p>
        <w:p w14:paraId="77FAEE04" w14:textId="6BD2E0E0" w:rsidR="00517579" w:rsidRDefault="00537B19">
          <w:r>
            <w:fldChar w:fldCharType="end"/>
          </w:r>
        </w:p>
      </w:sdtContent>
    </w:sdt>
    <w:p w14:paraId="7089FE0B" w14:textId="77777777" w:rsidR="00517579" w:rsidRDefault="00537B19">
      <w:pPr>
        <w:spacing w:after="200"/>
        <w:jc w:val="left"/>
      </w:pPr>
      <w:r>
        <w:rPr>
          <w:lang w:val="en-GB"/>
        </w:rPr>
        <w:br w:type="page"/>
      </w:r>
    </w:p>
    <w:p w14:paraId="40B479CA" w14:textId="77777777" w:rsidR="008C63E0" w:rsidRPr="004E52FB" w:rsidRDefault="008C63E0" w:rsidP="008C63E0">
      <w:pPr>
        <w:pStyle w:val="Cmsor1szmozottnmhh"/>
        <w:ind w:left="431" w:hanging="431"/>
      </w:pPr>
      <w:bookmarkStart w:id="0" w:name="_Toc92461615"/>
      <w:bookmarkStart w:id="1" w:name="_Toc26254662"/>
      <w:bookmarkStart w:id="2" w:name="_Toc98343972"/>
      <w:bookmarkStart w:id="3" w:name="_Toc451860698"/>
      <w:bookmarkStart w:id="4" w:name="_Toc473880713"/>
      <w:bookmarkStart w:id="5" w:name="_Toc82171057"/>
      <w:bookmarkStart w:id="6" w:name="_Toc89185024"/>
      <w:r>
        <w:rPr>
          <w:bCs/>
          <w:lang w:val="en-GB"/>
        </w:rPr>
        <w:lastRenderedPageBreak/>
        <w:t>Summary</w:t>
      </w:r>
      <w:bookmarkEnd w:id="0"/>
      <w:bookmarkEnd w:id="1"/>
      <w:bookmarkEnd w:id="2"/>
    </w:p>
    <w:p w14:paraId="66B106E2" w14:textId="41FC17B9" w:rsidR="008C63E0" w:rsidRPr="004E52FB" w:rsidRDefault="008C63E0" w:rsidP="008C63E0">
      <w:pPr>
        <w:pStyle w:val="Behzottbekezdsnmhh"/>
      </w:pPr>
      <w:r>
        <w:rPr>
          <w:lang w:val="en-GB"/>
        </w:rPr>
        <w:t xml:space="preserve">In the 24.5-26.5 GHz frequency band, fixed point-to-point and point-to-multipoint systems are currently in operation. The necessary </w:t>
      </w:r>
      <w:r w:rsidR="000A1CA9">
        <w:rPr>
          <w:lang w:val="en-GB"/>
        </w:rPr>
        <w:t xml:space="preserve">entitlements to </w:t>
      </w:r>
      <w:r>
        <w:rPr>
          <w:lang w:val="en-GB"/>
        </w:rPr>
        <w:t xml:space="preserve">radio spectrum </w:t>
      </w:r>
      <w:r w:rsidR="000A1CA9">
        <w:rPr>
          <w:lang w:val="en-GB"/>
        </w:rPr>
        <w:t xml:space="preserve">use </w:t>
      </w:r>
      <w:r>
        <w:rPr>
          <w:lang w:val="en-GB"/>
        </w:rPr>
        <w:t xml:space="preserve">were acquired by the right holders in </w:t>
      </w:r>
      <w:r w:rsidR="000A1CA9">
        <w:rPr>
          <w:lang w:val="en-GB"/>
        </w:rPr>
        <w:t>competitive</w:t>
      </w:r>
      <w:r>
        <w:rPr>
          <w:lang w:val="en-GB"/>
        </w:rPr>
        <w:t xml:space="preserve"> procedures and are mainly used to implement the necessary backhaul network links for mobile services in the frequency band. The </w:t>
      </w:r>
      <w:r w:rsidR="00B2302C">
        <w:rPr>
          <w:lang w:val="en-GB"/>
        </w:rPr>
        <w:t>entitlements to</w:t>
      </w:r>
      <w:r>
        <w:rPr>
          <w:lang w:val="en-GB"/>
        </w:rPr>
        <w:t xml:space="preserve"> radio spectrum </w:t>
      </w:r>
      <w:r w:rsidR="00B2302C">
        <w:rPr>
          <w:lang w:val="en-GB"/>
        </w:rPr>
        <w:t xml:space="preserve">use </w:t>
      </w:r>
      <w:r>
        <w:rPr>
          <w:lang w:val="en-GB"/>
        </w:rPr>
        <w:t xml:space="preserve">will expire in 2024 and 2027 (the vast majority in 2027). </w:t>
      </w:r>
    </w:p>
    <w:p w14:paraId="3061F766" w14:textId="3DFBF306" w:rsidR="008C63E0" w:rsidRDefault="009A59CD" w:rsidP="008C63E0">
      <w:pPr>
        <w:pStyle w:val="Behzottbekezdsnmhh"/>
        <w:rPr>
          <w:color w:val="000000"/>
          <w:shd w:val="clear" w:color="auto" w:fill="FFFFFF"/>
        </w:rPr>
      </w:pPr>
      <w:r>
        <w:rPr>
          <w:color w:val="000000"/>
          <w:shd w:val="clear" w:color="auto" w:fill="FFFFFF"/>
          <w:lang w:val="en-GB"/>
        </w:rPr>
        <w:t>There are a number of international regulatory documents on the future use of the 24.25-27.5 GHz frequency band</w:t>
      </w:r>
      <w:r>
        <w:rPr>
          <w:lang w:val="en-GB"/>
        </w:rPr>
        <w:t xml:space="preserve"> (known as the 26 GHz frequency band </w:t>
      </w:r>
      <w:r>
        <w:rPr>
          <w:color w:val="000000"/>
          <w:shd w:val="clear" w:color="auto" w:fill="FFFFFF"/>
          <w:lang w:val="en-GB"/>
        </w:rPr>
        <w:t>in the context of EU spectrum policy efforts</w:t>
      </w:r>
      <w:r>
        <w:rPr>
          <w:lang w:val="en-GB"/>
        </w:rPr>
        <w:t>).</w:t>
      </w:r>
      <w:r>
        <w:rPr>
          <w:color w:val="000000"/>
          <w:shd w:val="clear" w:color="auto" w:fill="FFFFFF"/>
          <w:lang w:val="en-GB"/>
        </w:rPr>
        <w:t xml:space="preserve"> The most prominent of these from a regulatory point of view are the EU legal acts establishing the obligation to </w:t>
      </w:r>
      <w:r w:rsidR="00DD7A64">
        <w:rPr>
          <w:color w:val="000000"/>
          <w:shd w:val="clear" w:color="auto" w:fill="FFFFFF"/>
          <w:lang w:val="en-GB"/>
        </w:rPr>
        <w:t xml:space="preserve">designate </w:t>
      </w:r>
      <w:r>
        <w:rPr>
          <w:color w:val="000000"/>
          <w:shd w:val="clear" w:color="auto" w:fill="FFFFFF"/>
          <w:lang w:val="en-GB"/>
        </w:rPr>
        <w:t>and make available the 26 GHz frequency band (</w:t>
      </w:r>
      <w:r w:rsidR="00B2302C">
        <w:rPr>
          <w:color w:val="000000"/>
          <w:shd w:val="clear" w:color="auto" w:fill="FFFFFF"/>
          <w:lang w:val="en-GB"/>
        </w:rPr>
        <w:t>which is</w:t>
      </w:r>
      <w:r>
        <w:rPr>
          <w:color w:val="000000"/>
          <w:shd w:val="clear" w:color="auto" w:fill="FFFFFF"/>
          <w:lang w:val="en-GB"/>
        </w:rPr>
        <w:t xml:space="preserve"> wider than the </w:t>
      </w:r>
      <w:r w:rsidR="00B2302C">
        <w:rPr>
          <w:color w:val="000000"/>
          <w:shd w:val="clear" w:color="auto" w:fill="FFFFFF"/>
          <w:lang w:val="en-GB"/>
        </w:rPr>
        <w:t xml:space="preserve">frequency </w:t>
      </w:r>
      <w:r>
        <w:rPr>
          <w:color w:val="000000"/>
          <w:shd w:val="clear" w:color="auto" w:fill="FFFFFF"/>
          <w:lang w:val="en-GB"/>
        </w:rPr>
        <w:t xml:space="preserve">band </w:t>
      </w:r>
      <w:r w:rsidR="00B2302C">
        <w:rPr>
          <w:color w:val="000000"/>
          <w:shd w:val="clear" w:color="auto" w:fill="FFFFFF"/>
          <w:lang w:val="en-GB"/>
        </w:rPr>
        <w:t xml:space="preserve">mentioned in the first paragraph and </w:t>
      </w:r>
      <w:r>
        <w:rPr>
          <w:color w:val="000000"/>
          <w:shd w:val="clear" w:color="auto" w:fill="FFFFFF"/>
          <w:lang w:val="en-GB"/>
        </w:rPr>
        <w:t xml:space="preserve">currently used for fixed links) for terrestrial systems capable of providing wireless broadband electronic communications services over </w:t>
      </w:r>
      <w:r>
        <w:rPr>
          <w:lang w:val="en-GB"/>
        </w:rPr>
        <w:t>mobile and fixed communication</w:t>
      </w:r>
      <w:r w:rsidR="00B2302C">
        <w:rPr>
          <w:lang w:val="en-GB"/>
        </w:rPr>
        <w:t>s</w:t>
      </w:r>
      <w:r>
        <w:rPr>
          <w:lang w:val="en-GB"/>
        </w:rPr>
        <w:t xml:space="preserve"> networks (</w:t>
      </w:r>
      <w:r>
        <w:rPr>
          <w:color w:val="000000"/>
          <w:shd w:val="clear" w:color="auto" w:fill="FFFFFF"/>
          <w:lang w:val="en-GB"/>
        </w:rPr>
        <w:t>MFCN</w:t>
      </w:r>
      <w:r>
        <w:rPr>
          <w:rStyle w:val="Lbjegyzet-hivatkozs"/>
          <w:color w:val="000000"/>
          <w:shd w:val="clear" w:color="auto" w:fill="FFFFFF"/>
          <w:lang w:val="en-GB"/>
        </w:rPr>
        <w:footnoteReference w:id="2"/>
      </w:r>
      <w:r>
        <w:rPr>
          <w:color w:val="000000"/>
          <w:shd w:val="clear" w:color="auto" w:fill="FFFFFF"/>
          <w:lang w:val="en-GB"/>
        </w:rPr>
        <w:t xml:space="preserve">). The 26 GHz frequency band is one of the frequency bands identified by the EU for early 5G deployment (5G pioneer band). </w:t>
      </w:r>
    </w:p>
    <w:p w14:paraId="5E17DEAC" w14:textId="333FDD53" w:rsidR="000E02F4" w:rsidRDefault="008C63E0" w:rsidP="008D30AE">
      <w:pPr>
        <w:pStyle w:val="Behzottbekezdsnmhh"/>
        <w:rPr>
          <w:color w:val="000000"/>
          <w:shd w:val="clear" w:color="auto" w:fill="FFFFFF"/>
        </w:rPr>
      </w:pPr>
      <w:r>
        <w:rPr>
          <w:color w:val="000000"/>
          <w:shd w:val="clear" w:color="auto" w:fill="FFFFFF"/>
          <w:lang w:val="en-GB"/>
        </w:rPr>
        <w:t>Understanding the demands for use of the 26 GHz frequency band for introducing next-generation radio systems (5G NR</w:t>
      </w:r>
      <w:r>
        <w:rPr>
          <w:rStyle w:val="Lbjegyzet-hivatkozs"/>
          <w:color w:val="000000"/>
          <w:shd w:val="clear" w:color="auto" w:fill="FFFFFF"/>
          <w:lang w:val="en-GB"/>
        </w:rPr>
        <w:footnoteReference w:id="3"/>
      </w:r>
      <w:r>
        <w:rPr>
          <w:color w:val="000000"/>
          <w:shd w:val="clear" w:color="auto" w:fill="FFFFFF"/>
          <w:lang w:val="en-GB"/>
        </w:rPr>
        <w:t xml:space="preserve">) is necessary to identify specific future regulatory actions. As a result of the public consultation, a decision can be taken on the future use of the frequency band, in particular on the way the band is </w:t>
      </w:r>
      <w:r w:rsidR="00B2302C">
        <w:rPr>
          <w:color w:val="000000"/>
          <w:shd w:val="clear" w:color="auto" w:fill="FFFFFF"/>
          <w:lang w:val="en-GB"/>
        </w:rPr>
        <w:t xml:space="preserve">distributed </w:t>
      </w:r>
      <w:r>
        <w:rPr>
          <w:color w:val="000000"/>
          <w:shd w:val="clear" w:color="auto" w:fill="FFFFFF"/>
          <w:lang w:val="en-GB"/>
        </w:rPr>
        <w:t>(e.g. making the frequency band fully or partially available for 5G purposes, the possibility of a competitive procedure or other licensing method, meeting national and/or local demands, etc.). Possible steps include the introduction of alternative use, shared use between national and local systems, and a mixed licensing regime adapted to this.</w:t>
      </w:r>
    </w:p>
    <w:p w14:paraId="2091022E" w14:textId="7A22E80B" w:rsidR="00A8047A" w:rsidRDefault="00580851" w:rsidP="00F728B3">
      <w:pPr>
        <w:pStyle w:val="Behzottbekezdsnmhh"/>
        <w:rPr>
          <w:rFonts w:ascii="Arial" w:eastAsia="Calibri" w:hAnsi="Arial" w:cs="Times New Roman"/>
          <w:iCs/>
        </w:rPr>
      </w:pPr>
      <w:r>
        <w:rPr>
          <w:rFonts w:ascii="Arial" w:hAnsi="Arial"/>
          <w:lang w:val="en-GB"/>
        </w:rPr>
        <w:t xml:space="preserve">The National Media and Infocommunications Authority (hereinafter: NMHH) already placed the issue of the 26 GHz frequency band on the agenda of its public consultations in 2017 and 2019. Both public consultations ended with the same result. In order to protect existing networks, </w:t>
      </w:r>
      <w:r w:rsidR="00B2302C">
        <w:rPr>
          <w:rFonts w:ascii="Arial" w:hAnsi="Arial"/>
          <w:lang w:val="en-GB"/>
        </w:rPr>
        <w:t xml:space="preserve">with regard to the </w:t>
      </w:r>
      <w:r>
        <w:rPr>
          <w:rFonts w:ascii="Arial" w:hAnsi="Arial"/>
          <w:lang w:val="en-GB"/>
        </w:rPr>
        <w:t xml:space="preserve">plans </w:t>
      </w:r>
      <w:r w:rsidR="00B2302C">
        <w:rPr>
          <w:rFonts w:ascii="Arial" w:hAnsi="Arial"/>
          <w:lang w:val="en-GB"/>
        </w:rPr>
        <w:t xml:space="preserve">related to </w:t>
      </w:r>
      <w:r>
        <w:rPr>
          <w:rFonts w:ascii="Arial" w:hAnsi="Arial"/>
          <w:lang w:val="en-GB"/>
        </w:rPr>
        <w:t xml:space="preserve">their own mobile services and in the context of the frequency bands available, operators of backhaul networks in the 24.5-26.5 GHz frequency band considered it premature to launch a competitive procedure for the introduction of 5G in the 26 GHz frequency band. No market demand has emerged for use of the band other than from current right holders. </w:t>
      </w:r>
      <w:r>
        <w:rPr>
          <w:color w:val="000000"/>
          <w:shd w:val="clear" w:color="auto" w:fill="FFFFFF"/>
          <w:lang w:val="en-GB"/>
        </w:rPr>
        <w:t>By holding a public consultation, the NMHH aims to find out about the plans and needs of the current right holders and to assess the needs of those outside the current right holders.</w:t>
      </w:r>
    </w:p>
    <w:p w14:paraId="784E30C4" w14:textId="769FE89F" w:rsidR="008C63E0" w:rsidRDefault="008C63E0" w:rsidP="008C63E0">
      <w:pPr>
        <w:pStyle w:val="Behzottbekezdsnmhh"/>
        <w:rPr>
          <w:color w:val="000000"/>
          <w:shd w:val="clear" w:color="auto" w:fill="FFFFFF"/>
        </w:rPr>
      </w:pPr>
      <w:r>
        <w:rPr>
          <w:color w:val="000000"/>
          <w:shd w:val="clear" w:color="auto" w:fill="FFFFFF"/>
          <w:lang w:val="en-GB"/>
        </w:rPr>
        <w:t>The radio spectrum necessary to operate the backhaul network links shall be provided. If rules on the usability of the 26 GHz frequency band change, a different band will have to be made available for the subsequent period and the time needed for migration will also have to be taken into account. The 31.8-33.4 GHz frequency band (hereinafter referred to as: 32 GHz frequency band) could provide a solution for migration, both in terms of the amount of spectrum available and the band characteristics.</w:t>
      </w:r>
    </w:p>
    <w:p w14:paraId="47F92934" w14:textId="77777777" w:rsidR="008C63E0" w:rsidRDefault="008C63E0" w:rsidP="008C63E0">
      <w:pPr>
        <w:pStyle w:val="Cmsor1szmozottnmhh"/>
        <w:ind w:left="431" w:hanging="431"/>
      </w:pPr>
      <w:bookmarkStart w:id="7" w:name="_Toc92461616"/>
      <w:bookmarkStart w:id="8" w:name="_Toc26254663"/>
      <w:bookmarkStart w:id="9" w:name="_Toc98343973"/>
      <w:bookmarkEnd w:id="3"/>
      <w:bookmarkEnd w:id="4"/>
      <w:bookmarkEnd w:id="5"/>
      <w:bookmarkEnd w:id="6"/>
      <w:r>
        <w:rPr>
          <w:bCs/>
          <w:lang w:val="en-GB"/>
        </w:rPr>
        <w:lastRenderedPageBreak/>
        <w:t>Introduction</w:t>
      </w:r>
      <w:bookmarkEnd w:id="7"/>
      <w:bookmarkEnd w:id="8"/>
      <w:bookmarkEnd w:id="9"/>
    </w:p>
    <w:p w14:paraId="3CAE7D24" w14:textId="77777777" w:rsidR="008C63E0" w:rsidRPr="00426D01" w:rsidRDefault="008C63E0" w:rsidP="008C63E0">
      <w:pPr>
        <w:pStyle w:val="Behzottbekezdsnmhh"/>
        <w:tabs>
          <w:tab w:val="left" w:pos="977"/>
        </w:tabs>
      </w:pPr>
      <w:r>
        <w:rPr>
          <w:lang w:val="en-GB"/>
        </w:rPr>
        <w:t xml:space="preserve">Pursuant to Decree No. 7/2015 (XI. 13.) NMHH on the national frequency allocation and the rules of using frequency bands (hereinafter: NFFF Decree), currently fixed point-to-point and point-to-multipoint systems can operate in the 24.5-26.5 GHz frequency band. Operators mainly implement backhaul network links (typically point-to-point) in the frequency band. </w:t>
      </w:r>
    </w:p>
    <w:p w14:paraId="0D03B256" w14:textId="75BC66FF" w:rsidR="008C63E0" w:rsidRDefault="008C63E0" w:rsidP="008C63E0">
      <w:pPr>
        <w:pStyle w:val="Behzottbekezdsnmhh"/>
        <w:tabs>
          <w:tab w:val="left" w:pos="977"/>
        </w:tabs>
      </w:pPr>
      <w:r>
        <w:rPr>
          <w:lang w:val="en-GB"/>
        </w:rPr>
        <w:t xml:space="preserve">The right holders acquired the </w:t>
      </w:r>
      <w:r w:rsidR="00FF6968">
        <w:rPr>
          <w:lang w:val="en-GB"/>
        </w:rPr>
        <w:t xml:space="preserve">entitlements to </w:t>
      </w:r>
      <w:r>
        <w:rPr>
          <w:lang w:val="en-GB"/>
        </w:rPr>
        <w:t xml:space="preserve">radio spectrum </w:t>
      </w:r>
      <w:r w:rsidR="00FF6968">
        <w:rPr>
          <w:lang w:val="en-GB"/>
        </w:rPr>
        <w:t xml:space="preserve">use </w:t>
      </w:r>
      <w:r>
        <w:rPr>
          <w:lang w:val="en-GB"/>
        </w:rPr>
        <w:t>through two competitive procedures in 2008-2009</w:t>
      </w:r>
      <w:r>
        <w:rPr>
          <w:rStyle w:val="Lbjegyzet-hivatkozs"/>
          <w:lang w:val="en-GB"/>
        </w:rPr>
        <w:footnoteReference w:id="4"/>
      </w:r>
      <w:r>
        <w:rPr>
          <w:lang w:val="en-GB"/>
        </w:rPr>
        <w:t xml:space="preserve"> and in 2011-2012</w:t>
      </w:r>
      <w:r>
        <w:rPr>
          <w:rStyle w:val="Lbjegyzet-hivatkozs"/>
          <w:lang w:val="en-GB"/>
        </w:rPr>
        <w:footnoteReference w:id="5"/>
      </w:r>
      <w:r>
        <w:rPr>
          <w:lang w:val="en-GB"/>
        </w:rPr>
        <w:t>. Consequently, the expiration dates of the entitlements differ. The earlier expiration date is 15 May 2024, and the later is 20 April 2027.</w:t>
      </w:r>
    </w:p>
    <w:p w14:paraId="61DD4211" w14:textId="321B68E0" w:rsidR="008C63E0" w:rsidRDefault="008C63E0" w:rsidP="008C63E0">
      <w:pPr>
        <w:pStyle w:val="Behzottbekezdsnmhh"/>
        <w:tabs>
          <w:tab w:val="left" w:pos="977"/>
        </w:tabs>
      </w:pPr>
      <w:r>
        <w:rPr>
          <w:lang w:val="en-GB"/>
        </w:rPr>
        <w:t xml:space="preserve">As a result of the decisions of the 2019 World Radiocommunication Conference (WRC-19), the 26 GHz frequency band has been globally identified for IMT use and the entire 26 GHz frequency band (24.25–27.5 GHz frequency band) planned for IMT has been allocated to the mobile service, allowing the introduction of broadband mobile service applications, including 5G NR, in the frequency band at international level. </w:t>
      </w:r>
    </w:p>
    <w:p w14:paraId="003C6231" w14:textId="036D4C33" w:rsidR="008C63E0" w:rsidRDefault="008C63E0" w:rsidP="008C63E0">
      <w:pPr>
        <w:pStyle w:val="Behzottbekezdsnmhh"/>
        <w:tabs>
          <w:tab w:val="left" w:pos="977"/>
        </w:tabs>
        <w:rPr>
          <w:sz w:val="22"/>
          <w:szCs w:val="22"/>
        </w:rPr>
      </w:pPr>
      <w:r>
        <w:rPr>
          <w:lang w:val="en-GB"/>
        </w:rPr>
        <w:t>Based on the RSPG’s</w:t>
      </w:r>
      <w:r>
        <w:rPr>
          <w:rStyle w:val="Lbjegyzet-hivatkozs"/>
          <w:lang w:val="en-GB"/>
        </w:rPr>
        <w:footnoteReference w:id="6"/>
      </w:r>
      <w:r w:rsidR="00793D16">
        <w:rPr>
          <w:lang w:val="en-GB"/>
        </w:rPr>
        <w:t xml:space="preserve"> </w:t>
      </w:r>
      <w:r w:rsidR="0044740A">
        <w:rPr>
          <w:lang w:val="en-GB"/>
        </w:rPr>
        <w:t>opinion</w:t>
      </w:r>
      <w:r>
        <w:rPr>
          <w:rStyle w:val="Lbjegyzet-hivatkozs"/>
          <w:lang w:val="en-GB"/>
        </w:rPr>
        <w:footnoteReference w:id="7"/>
      </w:r>
      <w:r>
        <w:rPr>
          <w:lang w:val="en-GB"/>
        </w:rPr>
        <w:t xml:space="preserve"> on 5G spectrum issues, an EU mandate</w:t>
      </w:r>
      <w:r>
        <w:rPr>
          <w:rStyle w:val="Lbjegyzet-hivatkozs"/>
          <w:lang w:val="en-GB"/>
        </w:rPr>
        <w:footnoteReference w:id="8"/>
      </w:r>
      <w:r>
        <w:rPr>
          <w:lang w:val="en-GB"/>
        </w:rPr>
        <w:t xml:space="preserve"> was established on 7 December 2016, inviting the CEPT</w:t>
      </w:r>
      <w:r>
        <w:rPr>
          <w:rStyle w:val="Lbjegyzet-hivatkozs"/>
          <w:lang w:val="en-GB"/>
        </w:rPr>
        <w:footnoteReference w:id="9"/>
      </w:r>
      <w:r>
        <w:rPr>
          <w:lang w:val="en-GB"/>
        </w:rPr>
        <w:t xml:space="preserve"> to study 5G deployment for the bands specified in the document, taking into account existing uses. In addition to the 700 MHz and 3400-3800 MHz frequency bands, the mandate identified the 24.25-27.5 GHz range, i.e. the 26 GHz frequency band, as the early 5G frequency band candidate (5G pioneer band) in line with the RSPG</w:t>
      </w:r>
      <w:r w:rsidR="0044740A">
        <w:rPr>
          <w:lang w:val="en-GB"/>
        </w:rPr>
        <w:t xml:space="preserve"> opinion</w:t>
      </w:r>
      <w:r>
        <w:rPr>
          <w:lang w:val="en-GB"/>
        </w:rPr>
        <w:t xml:space="preserve">. The 26 GHz frequency band </w:t>
      </w:r>
      <w:r w:rsidR="001727C7">
        <w:rPr>
          <w:lang w:val="en-GB"/>
        </w:rPr>
        <w:t>made available for</w:t>
      </w:r>
      <w:r>
        <w:rPr>
          <w:lang w:val="en-GB"/>
        </w:rPr>
        <w:t xml:space="preserve"> MFCNs includes, in addition to the frequency band currently used for fixed </w:t>
      </w:r>
      <w:r w:rsidR="001727C7">
        <w:rPr>
          <w:lang w:val="en-GB"/>
        </w:rPr>
        <w:t xml:space="preserve">service </w:t>
      </w:r>
      <w:r>
        <w:rPr>
          <w:lang w:val="en-GB"/>
        </w:rPr>
        <w:t xml:space="preserve">networks (24.5-26.5 GHz), the 26.5-27.5 GHz frequency band currently </w:t>
      </w:r>
      <w:r w:rsidR="00DD7A64">
        <w:rPr>
          <w:lang w:val="en-GB"/>
        </w:rPr>
        <w:t xml:space="preserve">designated </w:t>
      </w:r>
      <w:r>
        <w:rPr>
          <w:lang w:val="en-GB"/>
        </w:rPr>
        <w:t xml:space="preserve">for non-civil purposes, as well as the 24.25-24.5 GHz frequency band. </w:t>
      </w:r>
    </w:p>
    <w:p w14:paraId="278FA760" w14:textId="69C5C6BA" w:rsidR="008C63E0" w:rsidRDefault="008C63E0" w:rsidP="008C63E0">
      <w:pPr>
        <w:pStyle w:val="Behzottbekezdsnmhh"/>
        <w:tabs>
          <w:tab w:val="left" w:pos="977"/>
        </w:tabs>
      </w:pPr>
      <w:r>
        <w:rPr>
          <w:lang w:val="en-GB"/>
        </w:rPr>
        <w:t>In December 2018, the European Electronic Communications Code</w:t>
      </w:r>
      <w:r>
        <w:rPr>
          <w:vertAlign w:val="superscript"/>
          <w:lang w:val="en-GB"/>
        </w:rPr>
        <w:footnoteReference w:id="10"/>
      </w:r>
      <w:r>
        <w:rPr>
          <w:lang w:val="en-GB"/>
        </w:rPr>
        <w:t xml:space="preserve"> (hereinafter: the Code) set out further measures to promote the roll-out of 5G. Article 54 of the Code requires Member States to take the necessary steps by 31 December 2020 to allow the use of at least 1 GHz of the 26 GHz frequency band for electronic communications networks capable of wireless broadband</w:t>
      </w:r>
      <w:r w:rsidR="00DB4D7C" w:rsidRPr="00DB4D7C">
        <w:rPr>
          <w:rFonts w:ascii="Arial" w:eastAsia="Calibri" w:hAnsi="Arial" w:cs="Arial"/>
          <w:sz w:val="22"/>
          <w:szCs w:val="22"/>
          <w:lang w:val="en-GB"/>
        </w:rPr>
        <w:t xml:space="preserve"> </w:t>
      </w:r>
      <w:r w:rsidR="00DB4D7C" w:rsidRPr="00DB4D7C">
        <w:rPr>
          <w:lang w:val="en-GB"/>
        </w:rPr>
        <w:t>data transmission</w:t>
      </w:r>
      <w:r>
        <w:rPr>
          <w:lang w:val="en-GB"/>
        </w:rPr>
        <w:t xml:space="preserve">, where there is clear evidence of market demand and </w:t>
      </w:r>
      <w:r w:rsidR="00DB4D7C">
        <w:rPr>
          <w:lang w:val="en-GB"/>
        </w:rPr>
        <w:t xml:space="preserve">there are </w:t>
      </w:r>
      <w:r>
        <w:rPr>
          <w:lang w:val="en-GB"/>
        </w:rPr>
        <w:t xml:space="preserve">no significant </w:t>
      </w:r>
      <w:r w:rsidR="00DB4D7C">
        <w:rPr>
          <w:rFonts w:ascii="Arial" w:eastAsia="Calibri" w:hAnsi="Arial" w:cs="Arial"/>
          <w:lang w:val="en-GB"/>
        </w:rPr>
        <w:t xml:space="preserve">barriers </w:t>
      </w:r>
      <w:r>
        <w:rPr>
          <w:lang w:val="en-GB"/>
        </w:rPr>
        <w:t xml:space="preserve">for migration of users </w:t>
      </w:r>
      <w:r w:rsidR="00DB4D7C" w:rsidRPr="00DB4D7C">
        <w:rPr>
          <w:lang w:val="en-GB"/>
        </w:rPr>
        <w:t xml:space="preserve">with existing entitlements to radio spectrum use </w:t>
      </w:r>
      <w:r>
        <w:rPr>
          <w:lang w:val="en-GB"/>
        </w:rPr>
        <w:t>or band clearance.</w:t>
      </w:r>
    </w:p>
    <w:p w14:paraId="4D14E2D8" w14:textId="6F93CEA5" w:rsidR="008C63E0" w:rsidRDefault="008C63E0" w:rsidP="008C63E0">
      <w:pPr>
        <w:pStyle w:val="Behzottbekezdsnmhh"/>
        <w:tabs>
          <w:tab w:val="left" w:pos="977"/>
        </w:tabs>
      </w:pPr>
      <w:r>
        <w:rPr>
          <w:lang w:val="en-GB"/>
        </w:rPr>
        <w:t>For the future use of the 26 GHz frequency band, Commission Implementing Decision (EU) 2019/784</w:t>
      </w:r>
      <w:r>
        <w:rPr>
          <w:rStyle w:val="Lbjegyzet-hivatkozs"/>
          <w:lang w:val="en-GB"/>
        </w:rPr>
        <w:footnoteReference w:id="11"/>
      </w:r>
      <w:r>
        <w:rPr>
          <w:lang w:val="en-GB"/>
        </w:rPr>
        <w:t xml:space="preserve"> was adopted in June 2019 (hereinafter: (EU) 2019/784), requiring Member States to designate and make available, on a non-exclusive basis, the 24.25–27.5 GHz frequency band for </w:t>
      </w:r>
      <w:r>
        <w:rPr>
          <w:lang w:val="en-GB"/>
        </w:rPr>
        <w:lastRenderedPageBreak/>
        <w:t>terrestrial systems (MFCN) capable of providing wireless broadband electronic communications services by 30 March 2020. The Commission Decision contains harmonised technical conditions for 5G use and provisions for compatibility with existing applications in the frequency band.</w:t>
      </w:r>
    </w:p>
    <w:p w14:paraId="354F5FF2" w14:textId="1E22C144" w:rsidR="008C63E0" w:rsidRDefault="008C63E0" w:rsidP="008C63E0">
      <w:pPr>
        <w:pStyle w:val="Behzottbekezdsnmhh"/>
        <w:tabs>
          <w:tab w:val="left" w:pos="977"/>
        </w:tabs>
      </w:pPr>
      <w:r>
        <w:rPr>
          <w:lang w:val="en-GB"/>
        </w:rPr>
        <w:t>Decision (EU) 2019/784 contains a new channel arrangement and band-use conditions (e.g. BEM</w:t>
      </w:r>
      <w:r>
        <w:rPr>
          <w:rStyle w:val="Lbjegyzet-hivatkozs"/>
          <w:lang w:val="en-GB"/>
        </w:rPr>
        <w:footnoteReference w:id="12"/>
      </w:r>
      <w:r>
        <w:rPr>
          <w:lang w:val="en-GB"/>
        </w:rPr>
        <w:t>) for the 26 GHz frequency band for the use of broadband MFCN applications (including 5G), as amended by Commission Implementing Decision (EU)2020/590,</w:t>
      </w:r>
      <w:r>
        <w:rPr>
          <w:rStyle w:val="Lbjegyzet-hivatkozs"/>
          <w:lang w:val="en-GB"/>
        </w:rPr>
        <w:footnoteReference w:id="13"/>
      </w:r>
      <w:r>
        <w:rPr>
          <w:lang w:val="en-GB"/>
        </w:rPr>
        <w:t xml:space="preserve"> published in 2020 (hereinafter: Decision (EU) 2020/590). Decision (EU) 2020/590 added a specification for out-of-band emissions to the specifications for use, in line with the decisions taken at WRC-19.</w:t>
      </w:r>
    </w:p>
    <w:p w14:paraId="41209AD6" w14:textId="2C41B2CC" w:rsidR="008C63E0" w:rsidRDefault="00532E5A" w:rsidP="008C63E0">
      <w:pPr>
        <w:pStyle w:val="Behzottbekezdsnmhh"/>
        <w:tabs>
          <w:tab w:val="left" w:pos="977"/>
        </w:tabs>
      </w:pPr>
      <w:r>
        <w:rPr>
          <w:lang w:val="en-GB"/>
        </w:rPr>
        <w:t>Following the decision of the Radio Spectrum Committee (RSC) of 7 December 2016,</w:t>
      </w:r>
      <w:r w:rsidR="00211DC1" w:rsidRPr="00211DC1">
        <w:rPr>
          <w:lang w:val="en-GB"/>
        </w:rPr>
        <w:t xml:space="preserve"> </w:t>
      </w:r>
      <w:r w:rsidR="00211DC1">
        <w:rPr>
          <w:lang w:val="en-GB"/>
        </w:rPr>
        <w:t>based on the opinion of the RSPG of 9 November 2016</w:t>
      </w:r>
      <w:r>
        <w:rPr>
          <w:rStyle w:val="Lbjegyzet-hivatkozs"/>
          <w:lang w:val="en-GB"/>
        </w:rPr>
        <w:footnoteReference w:id="14"/>
      </w:r>
      <w:r>
        <w:rPr>
          <w:lang w:val="en-GB"/>
        </w:rPr>
        <w:t>, the mandate</w:t>
      </w:r>
      <w:r w:rsidR="00211DC1">
        <w:rPr>
          <w:rStyle w:val="Lbjegyzet-hivatkozs"/>
          <w:lang w:val="en-GB"/>
        </w:rPr>
        <w:footnoteReference w:id="15"/>
      </w:r>
      <w:r>
        <w:rPr>
          <w:lang w:val="en-GB"/>
        </w:rPr>
        <w:t xml:space="preserve"> issued by the European Commission to the CEPT</w:t>
      </w:r>
      <w:r w:rsidR="00211DC1">
        <w:rPr>
          <w:rStyle w:val="Lbjegyzet-hivatkozs"/>
          <w:lang w:val="en-GB"/>
        </w:rPr>
        <w:footnoteReference w:id="16"/>
      </w:r>
      <w:r>
        <w:rPr>
          <w:lang w:val="en-GB"/>
        </w:rPr>
        <w:t xml:space="preserve"> (hereinafter: the CEPT mandate) identified the 32 GHz and 42 GHz frequency bands, which had to be </w:t>
      </w:r>
      <w:r w:rsidR="00E32046">
        <w:rPr>
          <w:lang w:val="en-GB"/>
        </w:rPr>
        <w:t>assessed</w:t>
      </w:r>
      <w:r>
        <w:rPr>
          <w:lang w:val="en-GB"/>
        </w:rPr>
        <w:t>, as possible bands for 5G of frequency bands above 6 GHz, but are not among the pioneer bands. Based on WRC-19 preparatory studies, the CEPT did not support the introduction of 5G in the 32 GHz frequency band. As a result of WRC-19 decisions, the 32 GHz frequency band was not identified for IMT, so it is not expected to introduce 5G NR mobile systems in that frequency band in the near future. In the 26 GHz frequency band, existing backhaul networks should be redesigned and, where appropriate, moved to another frequency band in the near future while taking into account market demand. A good solution would be the 32 GHz frequency band</w:t>
      </w:r>
      <w:r>
        <w:rPr>
          <w:rStyle w:val="Lbjegyzet-hivatkozs"/>
          <w:lang w:val="en-GB"/>
        </w:rPr>
        <w:footnoteReference w:id="17"/>
      </w:r>
      <w:r>
        <w:rPr>
          <w:lang w:val="en-GB"/>
        </w:rPr>
        <w:t xml:space="preserve">, which is similar to the 26 GHz frequency band in terms of its application, wave propagation characteristics and spectrum </w:t>
      </w:r>
      <w:r w:rsidR="00E32046">
        <w:rPr>
          <w:lang w:val="en-GB"/>
        </w:rPr>
        <w:t>amount</w:t>
      </w:r>
      <w:r>
        <w:rPr>
          <w:lang w:val="en-GB"/>
        </w:rPr>
        <w:t>.</w:t>
      </w:r>
    </w:p>
    <w:p w14:paraId="6D568FC6" w14:textId="3285CF7E" w:rsidR="00147296" w:rsidRDefault="008C63E0" w:rsidP="008C63E0">
      <w:pPr>
        <w:pStyle w:val="Behzottbekezdsnmhh"/>
        <w:tabs>
          <w:tab w:val="left" w:pos="977"/>
        </w:tabs>
        <w:rPr>
          <w:rFonts w:ascii="Arial" w:eastAsia="Calibri" w:hAnsi="Arial" w:cs="Times New Roman"/>
          <w:iCs/>
        </w:rPr>
      </w:pPr>
      <w:r>
        <w:rPr>
          <w:rFonts w:ascii="Arial" w:hAnsi="Arial"/>
          <w:lang w:val="en-GB"/>
        </w:rPr>
        <w:t xml:space="preserve">The public </w:t>
      </w:r>
      <w:r w:rsidR="00A83B88" w:rsidRPr="00A83B88">
        <w:rPr>
          <w:lang w:val="en-GB"/>
        </w:rPr>
        <w:t>consultation</w:t>
      </w:r>
      <w:r w:rsidR="00A83B88">
        <w:rPr>
          <w:rFonts w:ascii="Arial" w:hAnsi="Arial"/>
          <w:lang w:val="en-GB"/>
        </w:rPr>
        <w:t xml:space="preserve"> </w:t>
      </w:r>
      <w:r>
        <w:rPr>
          <w:rFonts w:ascii="Arial" w:hAnsi="Arial"/>
          <w:lang w:val="en-GB"/>
        </w:rPr>
        <w:t>of the NMHH held on 23 November 2017</w:t>
      </w:r>
      <w:r>
        <w:rPr>
          <w:rStyle w:val="Lbjegyzet-hivatkozs"/>
          <w:rFonts w:ascii="Arial" w:eastAsia="Calibri" w:hAnsi="Arial" w:cs="Times New Roman"/>
          <w:lang w:val="en-GB"/>
        </w:rPr>
        <w:footnoteReference w:id="18"/>
      </w:r>
      <w:r>
        <w:rPr>
          <w:rFonts w:ascii="Arial" w:hAnsi="Arial"/>
          <w:lang w:val="en-GB"/>
        </w:rPr>
        <w:t xml:space="preserve"> and on 13 December 2019</w:t>
      </w:r>
      <w:r>
        <w:rPr>
          <w:rStyle w:val="Lbjegyzet-hivatkozs"/>
          <w:rFonts w:ascii="Arial" w:eastAsia="Calibri" w:hAnsi="Arial" w:cs="Times New Roman"/>
          <w:lang w:val="en-GB"/>
        </w:rPr>
        <w:footnoteReference w:id="19"/>
      </w:r>
      <w:r>
        <w:rPr>
          <w:rFonts w:ascii="Arial" w:hAnsi="Arial"/>
          <w:lang w:val="en-GB"/>
        </w:rPr>
        <w:t xml:space="preserve"> also addressed issues related to the utilisation of the 26 GHz </w:t>
      </w:r>
      <w:r>
        <w:rPr>
          <w:lang w:val="en-GB"/>
        </w:rPr>
        <w:t>frequency</w:t>
      </w:r>
      <w:r>
        <w:rPr>
          <w:rFonts w:ascii="Arial" w:hAnsi="Arial"/>
          <w:lang w:val="en-GB"/>
        </w:rPr>
        <w:t xml:space="preserve"> band. During the previous public </w:t>
      </w:r>
      <w:r w:rsidR="00134888">
        <w:rPr>
          <w:rFonts w:ascii="Arial" w:hAnsi="Arial"/>
          <w:lang w:val="en-GB"/>
        </w:rPr>
        <w:t xml:space="preserve"> </w:t>
      </w:r>
      <w:r w:rsidR="00134888" w:rsidRPr="00A83B88">
        <w:rPr>
          <w:lang w:val="en-GB"/>
        </w:rPr>
        <w:t>consultation</w:t>
      </w:r>
      <w:r w:rsidR="00134888">
        <w:rPr>
          <w:lang w:val="en-GB"/>
        </w:rPr>
        <w:t>s</w:t>
      </w:r>
      <w:r>
        <w:rPr>
          <w:rFonts w:ascii="Arial" w:hAnsi="Arial"/>
          <w:lang w:val="en-GB"/>
        </w:rPr>
        <w:t xml:space="preserve">, no claim was made by the market participants in connection with the use of this </w:t>
      </w:r>
      <w:r>
        <w:rPr>
          <w:lang w:val="en-GB"/>
        </w:rPr>
        <w:t>frequency</w:t>
      </w:r>
      <w:r w:rsidR="00383BD0">
        <w:rPr>
          <w:lang w:val="en-GB"/>
        </w:rPr>
        <w:t xml:space="preserve"> </w:t>
      </w:r>
      <w:r>
        <w:rPr>
          <w:rFonts w:ascii="Arial" w:hAnsi="Arial"/>
          <w:lang w:val="en-GB"/>
        </w:rPr>
        <w:t xml:space="preserve">band for mobile purposes; furthermore, it was considered premature to initiate a sales procedure in order to protect the existing use. </w:t>
      </w:r>
    </w:p>
    <w:p w14:paraId="220D3983" w14:textId="4FCE96D1" w:rsidR="00646E97" w:rsidRDefault="002E1847" w:rsidP="008C63E0">
      <w:pPr>
        <w:pStyle w:val="Behzottbekezdsnmhh"/>
        <w:tabs>
          <w:tab w:val="left" w:pos="977"/>
        </w:tabs>
        <w:rPr>
          <w:rFonts w:ascii="Arial" w:eastAsia="Calibri" w:hAnsi="Arial" w:cs="Times New Roman"/>
          <w:iCs/>
        </w:rPr>
      </w:pPr>
      <w:r>
        <w:rPr>
          <w:rFonts w:ascii="Arial" w:eastAsia="Calibri" w:hAnsi="Arial" w:cs="Times New Roman"/>
          <w:lang w:val="en-GB"/>
        </w:rPr>
        <w:t xml:space="preserve">An important issue for the utilisation of the 26 GHz frequency band is also the possibility of putting into service for 5G the 26.5-27.5 GHz frequency band </w:t>
      </w:r>
      <w:r w:rsidR="00DD7A64">
        <w:rPr>
          <w:rFonts w:ascii="Arial" w:eastAsia="Calibri" w:hAnsi="Arial" w:cs="Times New Roman"/>
          <w:lang w:val="en-GB"/>
        </w:rPr>
        <w:t xml:space="preserve">designated </w:t>
      </w:r>
      <w:r>
        <w:rPr>
          <w:rFonts w:ascii="Arial" w:eastAsia="Calibri" w:hAnsi="Arial" w:cs="Times New Roman"/>
          <w:lang w:val="en-GB"/>
        </w:rPr>
        <w:t xml:space="preserve">for non-civil purposes under the current legislation, which is not used in practice. The utilisation of the </w:t>
      </w:r>
      <w:r w:rsidR="00E32046">
        <w:rPr>
          <w:rFonts w:ascii="Arial" w:eastAsia="Calibri" w:hAnsi="Arial" w:cs="Times New Roman"/>
          <w:lang w:val="en-GB"/>
        </w:rPr>
        <w:t xml:space="preserve">upper </w:t>
      </w:r>
      <w:r>
        <w:rPr>
          <w:rFonts w:ascii="Arial" w:eastAsia="Calibri" w:hAnsi="Arial" w:cs="Times New Roman"/>
          <w:lang w:val="en-GB"/>
        </w:rPr>
        <w:t>1 GHz radio spectrum for 5G purposes requires information on both civil and non-civil needs. The possibility of allowing the existing use, as granted by Article 4 of Decision (EU) 2019/784, is currently being examined by the NMHH.</w:t>
      </w:r>
    </w:p>
    <w:p w14:paraId="2E4E97F9" w14:textId="61C30494" w:rsidR="00561445" w:rsidRDefault="00561445" w:rsidP="008C63E0">
      <w:pPr>
        <w:pStyle w:val="Behzottbekezdsnmhh"/>
        <w:tabs>
          <w:tab w:val="left" w:pos="977"/>
        </w:tabs>
        <w:rPr>
          <w:rFonts w:ascii="Arial" w:eastAsia="Calibri" w:hAnsi="Arial" w:cs="Times New Roman"/>
          <w:iCs/>
        </w:rPr>
      </w:pPr>
      <w:r>
        <w:rPr>
          <w:rFonts w:ascii="Arial" w:eastAsia="Calibri" w:hAnsi="Arial" w:cs="Times New Roman"/>
          <w:lang w:val="en-GB"/>
        </w:rPr>
        <w:t>The NMHH is aware that the military application of the 5G technology has been officially studied within the framework of a NATO-funded project for a year, in which Hungary is also participating as an observer.</w:t>
      </w:r>
    </w:p>
    <w:p w14:paraId="2C24407F" w14:textId="480C6495" w:rsidR="00DD42BE" w:rsidRDefault="00646E97" w:rsidP="008C63E0">
      <w:pPr>
        <w:pStyle w:val="Behzottbekezdsnmhh"/>
        <w:tabs>
          <w:tab w:val="left" w:pos="977"/>
        </w:tabs>
        <w:rPr>
          <w:rFonts w:ascii="Arial" w:eastAsia="Calibri" w:hAnsi="Arial" w:cs="Times New Roman"/>
          <w:iCs/>
        </w:rPr>
      </w:pPr>
      <w:r>
        <w:rPr>
          <w:rFonts w:ascii="Arial" w:hAnsi="Arial"/>
          <w:lang w:val="en-GB"/>
        </w:rPr>
        <w:t>In order to implement Decision (EU) 2019/784 and Decision (EU) 2020/590, the NMHH complete</w:t>
      </w:r>
      <w:r w:rsidR="006D0F5E">
        <w:rPr>
          <w:rFonts w:ascii="Arial" w:hAnsi="Arial"/>
          <w:lang w:val="en-GB"/>
        </w:rPr>
        <w:t>s</w:t>
      </w:r>
      <w:r>
        <w:rPr>
          <w:rFonts w:ascii="Arial" w:hAnsi="Arial"/>
          <w:lang w:val="en-GB"/>
        </w:rPr>
        <w:t xml:space="preserve"> the necessary legislative tasks in two phases. As the first phase of the implementation, the MFCN application was introduced into the legislation with planned status </w:t>
      </w:r>
      <w:r w:rsidR="00505E28">
        <w:rPr>
          <w:rFonts w:ascii="Arial" w:hAnsi="Arial"/>
          <w:lang w:val="en-GB"/>
        </w:rPr>
        <w:t xml:space="preserve">by </w:t>
      </w:r>
      <w:r w:rsidR="006D0F5E">
        <w:rPr>
          <w:rFonts w:ascii="Arial" w:hAnsi="Arial"/>
          <w:lang w:val="en-GB"/>
        </w:rPr>
        <w:t xml:space="preserve">amending </w:t>
      </w:r>
      <w:r>
        <w:rPr>
          <w:rFonts w:ascii="Arial" w:hAnsi="Arial"/>
          <w:lang w:val="en-GB"/>
        </w:rPr>
        <w:t xml:space="preserve">the NFFF Decree. In </w:t>
      </w:r>
      <w:r>
        <w:rPr>
          <w:rFonts w:ascii="Arial" w:hAnsi="Arial"/>
          <w:lang w:val="en-GB"/>
        </w:rPr>
        <w:lastRenderedPageBreak/>
        <w:t xml:space="preserve">the second phase of the implementation, a further NFFF Decree amendment (when the </w:t>
      </w:r>
      <w:r w:rsidR="00505E28">
        <w:rPr>
          <w:rFonts w:ascii="Arial" w:hAnsi="Arial"/>
          <w:lang w:val="en-GB"/>
        </w:rPr>
        <w:t xml:space="preserve">status of the </w:t>
      </w:r>
      <w:r>
        <w:rPr>
          <w:rFonts w:ascii="Arial" w:hAnsi="Arial"/>
          <w:lang w:val="en-GB"/>
        </w:rPr>
        <w:t xml:space="preserve">whole or part of the frequency band </w:t>
      </w:r>
      <w:r w:rsidR="00505E28">
        <w:rPr>
          <w:rFonts w:ascii="Arial" w:hAnsi="Arial"/>
          <w:lang w:val="en-GB"/>
        </w:rPr>
        <w:t>with respect to MFCN use will be upgraded</w:t>
      </w:r>
      <w:r w:rsidR="003F76DD">
        <w:rPr>
          <w:rFonts w:ascii="Arial" w:hAnsi="Arial"/>
          <w:lang w:val="en-GB"/>
        </w:rPr>
        <w:t xml:space="preserve"> </w:t>
      </w:r>
      <w:r w:rsidR="00505E28">
        <w:rPr>
          <w:rFonts w:ascii="Arial" w:hAnsi="Arial"/>
          <w:lang w:val="en-GB"/>
        </w:rPr>
        <w:t>from ‘planned’</w:t>
      </w:r>
      <w:r w:rsidR="00DD7A64">
        <w:rPr>
          <w:rFonts w:ascii="Arial" w:hAnsi="Arial"/>
          <w:lang w:val="en-GB"/>
        </w:rPr>
        <w:t xml:space="preserve"> </w:t>
      </w:r>
      <w:r w:rsidR="00505E28">
        <w:rPr>
          <w:rFonts w:ascii="Arial" w:hAnsi="Arial"/>
          <w:lang w:val="en-GB"/>
        </w:rPr>
        <w:t>to ‘designated’</w:t>
      </w:r>
      <w:r>
        <w:rPr>
          <w:rFonts w:ascii="Arial" w:hAnsi="Arial"/>
          <w:lang w:val="en-GB"/>
        </w:rPr>
        <w:t xml:space="preserve">) will be necessary, which will settle the conceptual issues necessary for the </w:t>
      </w:r>
      <w:r w:rsidR="00150F3A">
        <w:rPr>
          <w:rFonts w:ascii="Arial" w:hAnsi="Arial"/>
          <w:lang w:val="en-GB"/>
        </w:rPr>
        <w:t xml:space="preserve">distribution </w:t>
      </w:r>
      <w:r>
        <w:rPr>
          <w:rFonts w:ascii="Arial" w:hAnsi="Arial"/>
          <w:lang w:val="en-GB"/>
        </w:rPr>
        <w:t xml:space="preserve">of the frequency band, including the launch of the competitive procedure, as well as the regulatory solution for addressing local needs. </w:t>
      </w:r>
    </w:p>
    <w:p w14:paraId="1AE0C801" w14:textId="4DA11035" w:rsidR="008C63E0" w:rsidRDefault="004942E2" w:rsidP="008C63E0">
      <w:pPr>
        <w:pStyle w:val="Behzottbekezdsnmhh"/>
        <w:tabs>
          <w:tab w:val="left" w:pos="977"/>
        </w:tabs>
        <w:rPr>
          <w:rFonts w:ascii="Arial" w:eastAsia="Calibri" w:hAnsi="Arial" w:cs="Times New Roman"/>
          <w:iCs/>
        </w:rPr>
      </w:pPr>
      <w:r>
        <w:rPr>
          <w:rFonts w:ascii="Arial" w:hAnsi="Arial"/>
          <w:lang w:val="en-GB"/>
        </w:rPr>
        <w:t>During the preparation of the draft amend</w:t>
      </w:r>
      <w:r w:rsidR="00150F3A">
        <w:rPr>
          <w:rFonts w:ascii="Arial" w:hAnsi="Arial"/>
          <w:lang w:val="en-GB"/>
        </w:rPr>
        <w:t>ment</w:t>
      </w:r>
      <w:r>
        <w:rPr>
          <w:rFonts w:ascii="Arial" w:hAnsi="Arial"/>
          <w:lang w:val="en-GB"/>
        </w:rPr>
        <w:t xml:space="preserve"> </w:t>
      </w:r>
      <w:r w:rsidR="00150F3A">
        <w:rPr>
          <w:rFonts w:ascii="Arial" w:hAnsi="Arial"/>
          <w:lang w:val="en-GB"/>
        </w:rPr>
        <w:t xml:space="preserve">to </w:t>
      </w:r>
      <w:r>
        <w:rPr>
          <w:rFonts w:ascii="Arial" w:hAnsi="Arial"/>
          <w:lang w:val="en-GB"/>
        </w:rPr>
        <w:t>the NFFF Decree sent for technical notification procedure</w:t>
      </w:r>
      <w:r>
        <w:rPr>
          <w:rStyle w:val="Lbjegyzet-hivatkozs"/>
          <w:rFonts w:ascii="Arial" w:eastAsia="Calibri" w:hAnsi="Arial" w:cs="Times New Roman"/>
          <w:lang w:val="en-GB"/>
        </w:rPr>
        <w:footnoteReference w:id="20"/>
      </w:r>
      <w:r>
        <w:rPr>
          <w:rFonts w:ascii="Arial" w:hAnsi="Arial"/>
          <w:lang w:val="en-GB"/>
        </w:rPr>
        <w:t xml:space="preserve"> in December 2021, the NMHH took further steps to facilitate the introduction of 5G. In the 24.25-24.5 GHz</w:t>
      </w:r>
      <w:r>
        <w:rPr>
          <w:lang w:val="en-GB"/>
        </w:rPr>
        <w:t xml:space="preserve"> frequency</w:t>
      </w:r>
      <w:r>
        <w:rPr>
          <w:rFonts w:ascii="Arial" w:hAnsi="Arial"/>
          <w:lang w:val="en-GB"/>
        </w:rPr>
        <w:t xml:space="preserve"> band, the </w:t>
      </w:r>
      <w:r w:rsidR="003E7ADE">
        <w:rPr>
          <w:rFonts w:ascii="Arial" w:hAnsi="Arial"/>
          <w:lang w:val="en-GB"/>
        </w:rPr>
        <w:t xml:space="preserve">programme </w:t>
      </w:r>
      <w:r>
        <w:rPr>
          <w:rFonts w:ascii="Arial" w:hAnsi="Arial"/>
          <w:lang w:val="en-GB"/>
        </w:rPr>
        <w:t>and news transmission application has been deleted and the relevant footnotes of the International Radio Regulations (</w:t>
      </w:r>
      <w:r>
        <w:rPr>
          <w:lang w:val="en-GB"/>
        </w:rPr>
        <w:t>RR</w:t>
      </w:r>
      <w:r>
        <w:rPr>
          <w:rStyle w:val="Lbjegyzet-hivatkozs"/>
          <w:lang w:val="en-GB"/>
        </w:rPr>
        <w:footnoteReference w:id="21"/>
      </w:r>
      <w:r>
        <w:rPr>
          <w:rFonts w:ascii="Arial" w:hAnsi="Arial"/>
          <w:lang w:val="en-GB"/>
        </w:rPr>
        <w:t xml:space="preserve">) on the use of the 24.25-27.5 GHz frequency band for IMT have been included in line with the WRC-19 decision. </w:t>
      </w:r>
    </w:p>
    <w:p w14:paraId="1FED675A" w14:textId="6E3F27F1" w:rsidR="008C63E0" w:rsidRDefault="008C63E0" w:rsidP="008C63E0">
      <w:pPr>
        <w:pStyle w:val="Behzottbekezdsnmhh"/>
        <w:tabs>
          <w:tab w:val="left" w:pos="977"/>
        </w:tabs>
      </w:pPr>
      <w:r>
        <w:rPr>
          <w:lang w:val="en-GB"/>
        </w:rPr>
        <w:t xml:space="preserve">In the 26 GHz frequency band, the regulatory </w:t>
      </w:r>
      <w:r w:rsidR="00601430">
        <w:rPr>
          <w:lang w:val="en-GB"/>
        </w:rPr>
        <w:t xml:space="preserve">background </w:t>
      </w:r>
      <w:r>
        <w:rPr>
          <w:lang w:val="en-GB"/>
        </w:rPr>
        <w:t xml:space="preserve">for mobile use is almost complete, but an important element, i.e. the </w:t>
      </w:r>
      <w:r w:rsidR="00601430">
        <w:rPr>
          <w:lang w:val="en-GB"/>
        </w:rPr>
        <w:t>work related to</w:t>
      </w:r>
      <w:r>
        <w:rPr>
          <w:lang w:val="en-GB"/>
        </w:rPr>
        <w:t xml:space="preserve"> </w:t>
      </w:r>
      <w:r w:rsidR="00601430">
        <w:rPr>
          <w:lang w:val="en-GB"/>
        </w:rPr>
        <w:t xml:space="preserve">the </w:t>
      </w:r>
      <w:r>
        <w:rPr>
          <w:lang w:val="en-GB"/>
        </w:rPr>
        <w:t xml:space="preserve">international coordination, has not yet been </w:t>
      </w:r>
      <w:r w:rsidR="00601430">
        <w:rPr>
          <w:lang w:val="en-GB"/>
        </w:rPr>
        <w:t>elaborated</w:t>
      </w:r>
      <w:r>
        <w:rPr>
          <w:lang w:val="en-GB"/>
        </w:rPr>
        <w:t xml:space="preserve">. The recommendation on international coordination is expected by mid-2022. Studies show that the co-existence of existing fixed </w:t>
      </w:r>
      <w:r w:rsidR="00601430">
        <w:rPr>
          <w:lang w:val="en-GB"/>
        </w:rPr>
        <w:t xml:space="preserve">service </w:t>
      </w:r>
      <w:r>
        <w:rPr>
          <w:lang w:val="en-GB"/>
        </w:rPr>
        <w:t xml:space="preserve">and potential future MFCN systems can cause compatibility issues. Co-existence can be ensured by using various mitigation techniques, but this would in any case reduce the amount of frequency that can be used and the geographical area covered, so it would be less efficient to use. In the event of the introduction of 5G, due to the increasing data transmission, </w:t>
      </w:r>
      <w:r w:rsidR="000569C0">
        <w:rPr>
          <w:lang w:val="en-GB"/>
        </w:rPr>
        <w:t xml:space="preserve">dense deployment of base stations </w:t>
      </w:r>
      <w:r>
        <w:rPr>
          <w:lang w:val="en-GB"/>
        </w:rPr>
        <w:t xml:space="preserve">will be necessary, which implies a more significant use of the backhaul network links, therefore it is inevitable to provide another band. </w:t>
      </w:r>
    </w:p>
    <w:p w14:paraId="71A2BD1C" w14:textId="2FCA2C8E" w:rsidR="008C63E0" w:rsidRDefault="008C63E0" w:rsidP="008C63E0">
      <w:pPr>
        <w:pStyle w:val="Behzottbekezdsnmhh"/>
        <w:tabs>
          <w:tab w:val="left" w:pos="977"/>
        </w:tabs>
      </w:pPr>
      <w:r>
        <w:rPr>
          <w:lang w:val="en-GB"/>
        </w:rPr>
        <w:t xml:space="preserve">Based on the above, the NMHH concluded that it is only possible to make the entire 26 GHz frequency band available to MFCN if we ensure the continuous operation of backhaul networks by allowing the use of another frequency band. </w:t>
      </w:r>
      <w:r w:rsidR="000569C0">
        <w:rPr>
          <w:lang w:val="en-GB"/>
        </w:rPr>
        <w:t xml:space="preserve">It was confirmed by the stakeholders </w:t>
      </w:r>
      <w:r>
        <w:rPr>
          <w:lang w:val="en-GB"/>
        </w:rPr>
        <w:t xml:space="preserve">at </w:t>
      </w:r>
      <w:r w:rsidR="000569C0">
        <w:rPr>
          <w:lang w:val="en-GB"/>
        </w:rPr>
        <w:t xml:space="preserve">former </w:t>
      </w:r>
      <w:r>
        <w:rPr>
          <w:lang w:val="en-GB"/>
        </w:rPr>
        <w:t xml:space="preserve">public </w:t>
      </w:r>
      <w:r w:rsidR="00134888" w:rsidRPr="00A83B88">
        <w:rPr>
          <w:lang w:val="en-GB"/>
        </w:rPr>
        <w:t>consultation</w:t>
      </w:r>
      <w:r w:rsidR="000569C0">
        <w:rPr>
          <w:lang w:val="en-GB"/>
        </w:rPr>
        <w:t>s</w:t>
      </w:r>
      <w:r>
        <w:rPr>
          <w:lang w:val="en-GB"/>
        </w:rPr>
        <w:t xml:space="preserve">. Accordingly, the 32 GHz frequency band, for which the band-use conditions are defined in the NFFF Decree, has been </w:t>
      </w:r>
      <w:r w:rsidR="00DD7A64">
        <w:rPr>
          <w:lang w:val="en-GB"/>
        </w:rPr>
        <w:t xml:space="preserve">designated </w:t>
      </w:r>
      <w:r>
        <w:rPr>
          <w:lang w:val="en-GB"/>
        </w:rPr>
        <w:t xml:space="preserve">for this purpose. </w:t>
      </w:r>
    </w:p>
    <w:p w14:paraId="17ACA7BC" w14:textId="6AFE87BB" w:rsidR="00D37C1D" w:rsidRDefault="00D37C1D" w:rsidP="00D37C1D">
      <w:pPr>
        <w:pStyle w:val="Behzottbekezdsnmhh"/>
        <w:tabs>
          <w:tab w:val="left" w:pos="977"/>
        </w:tabs>
      </w:pPr>
      <w:r>
        <w:rPr>
          <w:lang w:val="en-GB"/>
        </w:rPr>
        <w:t>Considerations in the relevant CEPT Decision include the need for at least 800-1000 MHz worth of continuous user blocks per network operator to enable the full capability of IMT-2020/5G systems. The NMHH intends to limit the number of potential right holders and considers a competitive procedure justified, at least for a significant part of the band, with regard to the potential use of the 26 GHz frequency band, i.e. the operation of terrestrial systems capable of providing wireless broadband electronic communications services, in particular the planned 5G use, the ability to provide services nationwide and the amount of radio spectrum available. The number of licenses needs to be restricted in order to safeguard efficient use of spectrum. In addition, the NMHH considers it possible to satisfy local needs if there is a well-founded market demand, with the provision of other distribution methods.</w:t>
      </w:r>
    </w:p>
    <w:p w14:paraId="6F791130" w14:textId="4AE00BEF" w:rsidR="001C76E1" w:rsidRDefault="001C76E1" w:rsidP="008C63E0">
      <w:pPr>
        <w:pStyle w:val="Behzottbekezdsnmhh"/>
        <w:tabs>
          <w:tab w:val="left" w:pos="977"/>
        </w:tabs>
      </w:pPr>
      <w:r>
        <w:rPr>
          <w:lang w:val="en-GB"/>
        </w:rPr>
        <w:t>Pursuant to Section 55/B (4) of the Electronic Communications Act</w:t>
      </w:r>
      <w:r w:rsidR="00E11A68">
        <w:rPr>
          <w:rStyle w:val="Lbjegyzet-hivatkozs"/>
          <w:lang w:val="en-GB"/>
        </w:rPr>
        <w:footnoteReference w:id="22"/>
      </w:r>
      <w:r>
        <w:rPr>
          <w:lang w:val="en-GB"/>
        </w:rPr>
        <w:t xml:space="preserve">, the implementation of the Code enables the NMHH to authorize temporarily in the bands specified by decree of the President, for a period not exceeding three years, an alternative use of all or part of a radio spectrum, where there are </w:t>
      </w:r>
      <w:r w:rsidR="00D8382D">
        <w:rPr>
          <w:lang w:val="en-GB"/>
        </w:rPr>
        <w:t xml:space="preserve">entitlements to </w:t>
      </w:r>
      <w:r>
        <w:rPr>
          <w:lang w:val="en-GB"/>
        </w:rPr>
        <w:t>radio spectrum</w:t>
      </w:r>
      <w:r w:rsidR="00D8382D">
        <w:rPr>
          <w:lang w:val="en-GB"/>
        </w:rPr>
        <w:t xml:space="preserve"> use</w:t>
      </w:r>
      <w:r>
        <w:rPr>
          <w:lang w:val="en-GB"/>
        </w:rPr>
        <w:t xml:space="preserve">, instead of the harmonized use of that spectrum. This will be subject to the condition that there no justified need for harmonised use is presented at the </w:t>
      </w:r>
      <w:r w:rsidRPr="00A83B88">
        <w:rPr>
          <w:lang w:val="en-GB"/>
        </w:rPr>
        <w:t xml:space="preserve">public </w:t>
      </w:r>
      <w:r w:rsidR="00A83B88" w:rsidRPr="00A83B88">
        <w:rPr>
          <w:lang w:val="en-GB"/>
        </w:rPr>
        <w:t>consultation</w:t>
      </w:r>
      <w:r w:rsidR="00A83B88">
        <w:rPr>
          <w:lang w:val="en-GB"/>
        </w:rPr>
        <w:t xml:space="preserve"> </w:t>
      </w:r>
      <w:r>
        <w:rPr>
          <w:lang w:val="en-GB"/>
        </w:rPr>
        <w:t xml:space="preserve">and that the intended use does not hinder the harmonised use of neighbouring Member States. </w:t>
      </w:r>
    </w:p>
    <w:p w14:paraId="2D064166" w14:textId="5D06B0E9" w:rsidR="001C76E1" w:rsidRDefault="001C76E1" w:rsidP="008C63E0">
      <w:pPr>
        <w:pStyle w:val="Behzottbekezdsnmhh"/>
        <w:tabs>
          <w:tab w:val="left" w:pos="977"/>
        </w:tabs>
      </w:pPr>
      <w:r>
        <w:rPr>
          <w:lang w:val="en-GB"/>
        </w:rPr>
        <w:t xml:space="preserve">By holding a </w:t>
      </w:r>
      <w:r w:rsidRPr="00A83B88">
        <w:rPr>
          <w:lang w:val="en-GB"/>
        </w:rPr>
        <w:t>public consultation</w:t>
      </w:r>
      <w:r>
        <w:rPr>
          <w:lang w:val="en-GB"/>
        </w:rPr>
        <w:t>, the NMHH aims to find out about the plans and needs of the current right holders, and to assess the needs of those outside the current right holders. After studying the requirements, the NMHH decides on the possible and necessary regulatory steps.</w:t>
      </w:r>
    </w:p>
    <w:p w14:paraId="033DD9AA" w14:textId="77777777" w:rsidR="004942E2" w:rsidRDefault="004942E2">
      <w:pPr>
        <w:spacing w:after="200"/>
        <w:jc w:val="left"/>
        <w:rPr>
          <w:sz w:val="20"/>
          <w:szCs w:val="20"/>
        </w:rPr>
      </w:pPr>
      <w:r>
        <w:rPr>
          <w:lang w:val="en-GB"/>
        </w:rPr>
        <w:br w:type="page"/>
      </w:r>
    </w:p>
    <w:p w14:paraId="6B95CEAD" w14:textId="77777777" w:rsidR="008C63E0" w:rsidRPr="00B54752" w:rsidRDefault="008C63E0" w:rsidP="008C63E0">
      <w:pPr>
        <w:pStyle w:val="Behzottbekezdsnmhh"/>
        <w:tabs>
          <w:tab w:val="left" w:pos="977"/>
        </w:tabs>
      </w:pPr>
    </w:p>
    <w:p w14:paraId="5F7D3EF7" w14:textId="2B43FAA8" w:rsidR="008C63E0" w:rsidRDefault="008C63E0" w:rsidP="008C63E0">
      <w:pPr>
        <w:pStyle w:val="Cmsor1szmozottnmhh"/>
        <w:pageBreakBefore w:val="0"/>
        <w:ind w:left="431" w:hanging="431"/>
      </w:pPr>
      <w:bookmarkStart w:id="10" w:name="_Toc92461617"/>
      <w:bookmarkStart w:id="11" w:name="_Toc26254664"/>
      <w:bookmarkStart w:id="12" w:name="_Toc98343974"/>
      <w:r>
        <w:rPr>
          <w:bCs/>
          <w:lang w:val="en-GB"/>
        </w:rPr>
        <w:t>Regulation of 26 GHz frequency band</w:t>
      </w:r>
      <w:bookmarkEnd w:id="10"/>
      <w:bookmarkEnd w:id="11"/>
      <w:bookmarkEnd w:id="12"/>
    </w:p>
    <w:p w14:paraId="62E56F2E" w14:textId="77777777" w:rsidR="008C63E0" w:rsidRDefault="008C63E0" w:rsidP="008C63E0">
      <w:pPr>
        <w:pStyle w:val="Cmsor2szmozottnmhh"/>
        <w:ind w:left="578" w:hanging="578"/>
      </w:pPr>
      <w:bookmarkStart w:id="13" w:name="_Toc92461618"/>
      <w:bookmarkStart w:id="14" w:name="_Toc26254665"/>
      <w:bookmarkStart w:id="15" w:name="_Toc473880715"/>
      <w:bookmarkStart w:id="16" w:name="_Toc98343975"/>
      <w:r>
        <w:rPr>
          <w:bCs/>
          <w:lang w:val="en-GB"/>
        </w:rPr>
        <w:t>International regulation</w:t>
      </w:r>
      <w:bookmarkEnd w:id="13"/>
      <w:bookmarkEnd w:id="14"/>
      <w:bookmarkEnd w:id="15"/>
      <w:bookmarkEnd w:id="16"/>
    </w:p>
    <w:p w14:paraId="16E735AB" w14:textId="77777777" w:rsidR="008C63E0" w:rsidRDefault="008C63E0" w:rsidP="008C63E0">
      <w:pPr>
        <w:pStyle w:val="Cmsor3szmozottnmhh"/>
        <w:ind w:left="1996"/>
      </w:pPr>
      <w:bookmarkStart w:id="17" w:name="_Toc92461619"/>
      <w:bookmarkStart w:id="18" w:name="_Toc26254666"/>
      <w:bookmarkStart w:id="19" w:name="_Toc473880717"/>
      <w:bookmarkStart w:id="20" w:name="_Toc98343976"/>
      <w:bookmarkStart w:id="21" w:name="_Toc473880716"/>
      <w:r>
        <w:rPr>
          <w:bCs/>
          <w:lang w:val="en-GB"/>
        </w:rPr>
        <w:t>ITU</w:t>
      </w:r>
      <w:bookmarkEnd w:id="17"/>
      <w:bookmarkEnd w:id="18"/>
      <w:bookmarkEnd w:id="19"/>
      <w:bookmarkEnd w:id="20"/>
    </w:p>
    <w:p w14:paraId="3F02A18F" w14:textId="633911C3" w:rsidR="008C63E0" w:rsidRDefault="00D26F49" w:rsidP="008C63E0">
      <w:pPr>
        <w:pStyle w:val="Behzottbekezdsnmhh"/>
      </w:pPr>
      <w:r>
        <w:rPr>
          <w:lang w:val="en-GB"/>
        </w:rPr>
        <w:t>The international regulation is based on the Radio Regulations (RR) adopted</w:t>
      </w:r>
      <w:r w:rsidR="008B5529" w:rsidRPr="008B5529">
        <w:rPr>
          <w:lang w:val="en-GB"/>
        </w:rPr>
        <w:t xml:space="preserve"> </w:t>
      </w:r>
      <w:r w:rsidR="008B5529">
        <w:rPr>
          <w:lang w:val="en-GB"/>
        </w:rPr>
        <w:t>by the ITU</w:t>
      </w:r>
      <w:r>
        <w:rPr>
          <w:rStyle w:val="Lbjegyzet-hivatkozs"/>
          <w:lang w:val="en-GB"/>
        </w:rPr>
        <w:footnoteReference w:id="23"/>
      </w:r>
      <w:r>
        <w:rPr>
          <w:lang w:val="en-GB"/>
        </w:rPr>
        <w:t xml:space="preserve">, according to which </w:t>
      </w:r>
      <w:r w:rsidR="0092062C">
        <w:rPr>
          <w:lang w:val="en-GB"/>
        </w:rPr>
        <w:t xml:space="preserve">in </w:t>
      </w:r>
      <w:r>
        <w:rPr>
          <w:lang w:val="en-GB"/>
        </w:rPr>
        <w:t xml:space="preserve">Region 1, which includes Europe, the frequency band 24.25-27.5 GHz is </w:t>
      </w:r>
      <w:r w:rsidR="0092062C">
        <w:rPr>
          <w:lang w:val="en-GB"/>
        </w:rPr>
        <w:t>allocated</w:t>
      </w:r>
      <w:r>
        <w:rPr>
          <w:lang w:val="en-GB"/>
        </w:rPr>
        <w:t xml:space="preserve">, inter alia, ito fixed and mobile services on a primary basis, allowing the operation of MFCN systems </w:t>
      </w:r>
      <w:r w:rsidR="0092062C">
        <w:rPr>
          <w:lang w:val="en-GB"/>
        </w:rPr>
        <w:t xml:space="preserve">in </w:t>
      </w:r>
      <w:r>
        <w:rPr>
          <w:lang w:val="en-GB"/>
        </w:rPr>
        <w:t xml:space="preserve">the </w:t>
      </w:r>
      <w:r w:rsidR="0092062C">
        <w:rPr>
          <w:lang w:val="en-GB"/>
        </w:rPr>
        <w:t xml:space="preserve">whole </w:t>
      </w:r>
      <w:r>
        <w:rPr>
          <w:lang w:val="en-GB"/>
        </w:rPr>
        <w:t xml:space="preserve">band. </w:t>
      </w:r>
    </w:p>
    <w:p w14:paraId="62FCCCE1" w14:textId="7176AF24" w:rsidR="008C63E0" w:rsidRDefault="008C63E0" w:rsidP="008C63E0">
      <w:pPr>
        <w:pStyle w:val="Behzottbekezdsnmhh"/>
        <w:rPr>
          <w:i/>
        </w:rPr>
      </w:pPr>
      <w:r>
        <w:rPr>
          <w:lang w:val="en-GB"/>
        </w:rPr>
        <w:t xml:space="preserve">The RR allocation table is set out in Annex 1 to the NFFF Decree. </w:t>
      </w:r>
    </w:p>
    <w:p w14:paraId="7FCFD262" w14:textId="49EA4458" w:rsidR="008C63E0" w:rsidRDefault="008C63E0" w:rsidP="008C63E0">
      <w:pPr>
        <w:pStyle w:val="Behzottbekezdsnmhh"/>
      </w:pPr>
      <w:r>
        <w:rPr>
          <w:lang w:val="en-GB"/>
        </w:rPr>
        <w:t>At WRC-15 it was decided to include in the agenda items of WRC-19 an investigation of the possibility of identifying higher frequency bands for IMT</w:t>
      </w:r>
      <w:r>
        <w:rPr>
          <w:rStyle w:val="Lbjegyzet-hivatkozs"/>
          <w:lang w:val="en-GB"/>
        </w:rPr>
        <w:footnoteReference w:id="24"/>
      </w:r>
      <w:r>
        <w:rPr>
          <w:lang w:val="en-GB"/>
        </w:rPr>
        <w:t xml:space="preserve"> systems (WRC-19 agenda item 1.13). Within this context, the frequency bands that had to be </w:t>
      </w:r>
      <w:r w:rsidR="003C5031">
        <w:rPr>
          <w:lang w:val="en-GB"/>
        </w:rPr>
        <w:t xml:space="preserve">studied </w:t>
      </w:r>
      <w:r>
        <w:rPr>
          <w:lang w:val="en-GB"/>
        </w:rPr>
        <w:t>during the WRC-19 preparation period, including the 26 GHz frequency band, were identified. According to the WRC-19 decision, the frequency band 24.25-25.25 GHz (</w:t>
      </w:r>
      <w:r w:rsidR="003C5031">
        <w:rPr>
          <w:lang w:val="en-GB"/>
        </w:rPr>
        <w:t xml:space="preserve">which was not allocated to </w:t>
      </w:r>
      <w:r>
        <w:rPr>
          <w:lang w:val="en-GB"/>
        </w:rPr>
        <w:t xml:space="preserve">mobile service </w:t>
      </w:r>
      <w:r w:rsidR="003C5031">
        <w:rPr>
          <w:lang w:val="en-GB"/>
        </w:rPr>
        <w:t>earlier</w:t>
      </w:r>
      <w:r>
        <w:rPr>
          <w:lang w:val="en-GB"/>
        </w:rPr>
        <w:t xml:space="preserve"> in Region 1), </w:t>
      </w:r>
      <w:r w:rsidR="003C5031">
        <w:rPr>
          <w:lang w:val="en-GB"/>
        </w:rPr>
        <w:t xml:space="preserve">has been </w:t>
      </w:r>
      <w:r>
        <w:rPr>
          <w:lang w:val="en-GB"/>
        </w:rPr>
        <w:t xml:space="preserve">allocated </w:t>
      </w:r>
      <w:r w:rsidR="006245BC">
        <w:rPr>
          <w:lang w:val="en-GB"/>
        </w:rPr>
        <w:t xml:space="preserve">to </w:t>
      </w:r>
      <w:r>
        <w:rPr>
          <w:lang w:val="en-GB"/>
        </w:rPr>
        <w:t xml:space="preserve">mobile service, except </w:t>
      </w:r>
      <w:r w:rsidR="008B5529">
        <w:rPr>
          <w:lang w:val="en-GB"/>
        </w:rPr>
        <w:t xml:space="preserve">aeronautical </w:t>
      </w:r>
      <w:r>
        <w:rPr>
          <w:lang w:val="en-GB"/>
        </w:rPr>
        <w:t xml:space="preserve">mobile service, </w:t>
      </w:r>
      <w:r w:rsidR="006245BC">
        <w:rPr>
          <w:lang w:val="en-GB"/>
        </w:rPr>
        <w:t xml:space="preserve">on a primary basis </w:t>
      </w:r>
      <w:r>
        <w:rPr>
          <w:lang w:val="en-GB"/>
        </w:rPr>
        <w:t xml:space="preserve">and footnote 5.532AB has been entered in the RR for the whole frequency band 24.25-27.5 GHz. According to the footnote, the frequency band </w:t>
      </w:r>
      <w:r>
        <w:rPr>
          <w:color w:val="000000" w:themeColor="text1"/>
          <w:lang w:val="en-GB"/>
        </w:rPr>
        <w:t>24.25</w:t>
      </w:r>
      <w:r>
        <w:rPr>
          <w:color w:val="000000" w:themeColor="text1"/>
          <w:lang w:val="en-GB"/>
        </w:rPr>
        <w:sym w:font="Symbol" w:char="F02D"/>
      </w:r>
      <w:r>
        <w:rPr>
          <w:color w:val="000000" w:themeColor="text1"/>
          <w:lang w:val="en-GB"/>
        </w:rPr>
        <w:t xml:space="preserve">27.5 GHz is identified for use by administrations wishing to implement the </w:t>
      </w:r>
      <w:r w:rsidR="00F01B09">
        <w:rPr>
          <w:color w:val="000000" w:themeColor="text1"/>
          <w:lang w:val="en-GB"/>
        </w:rPr>
        <w:t xml:space="preserve">terrestrial </w:t>
      </w:r>
      <w:r>
        <w:rPr>
          <w:color w:val="000000" w:themeColor="text1"/>
          <w:lang w:val="en-GB"/>
        </w:rPr>
        <w:t xml:space="preserve">component of International Mobile Telecommunications (IMT). This identification does not preclude the use of this frequency band by any application of the services to which it is allocated and does not establish priority in the Radio Regulations. Resolution </w:t>
      </w:r>
      <w:r>
        <w:rPr>
          <w:b/>
          <w:bCs/>
          <w:color w:val="000000" w:themeColor="text1"/>
          <w:lang w:val="en-GB"/>
        </w:rPr>
        <w:t>242 (WRC-19)</w:t>
      </w:r>
      <w:r>
        <w:rPr>
          <w:color w:val="000000" w:themeColor="text1"/>
          <w:lang w:val="en-GB"/>
        </w:rPr>
        <w:t xml:space="preserve"> shall apply. As a</w:t>
      </w:r>
      <w:r>
        <w:rPr>
          <w:lang w:val="en-GB"/>
        </w:rPr>
        <w:t xml:space="preserve"> result, from an international regulatory perspective, it became possible to introduce 5G worldwide in the 24.25-27.5 GHz frequency band.</w:t>
      </w:r>
    </w:p>
    <w:p w14:paraId="62C6E353" w14:textId="77777777" w:rsidR="008C63E0" w:rsidRDefault="008C63E0" w:rsidP="008C63E0">
      <w:pPr>
        <w:pStyle w:val="Behzottbekezdsnmhh"/>
      </w:pPr>
    </w:p>
    <w:p w14:paraId="030BCC62" w14:textId="77777777" w:rsidR="008C63E0" w:rsidRDefault="008C63E0" w:rsidP="008C63E0">
      <w:pPr>
        <w:pStyle w:val="Cmsor3szmozottnmhh"/>
        <w:ind w:left="1996"/>
      </w:pPr>
      <w:bookmarkStart w:id="22" w:name="_Toc92461620"/>
      <w:bookmarkStart w:id="23" w:name="_Toc26254667"/>
      <w:bookmarkStart w:id="24" w:name="_Toc473880718"/>
      <w:bookmarkStart w:id="25" w:name="_Toc98343977"/>
      <w:r>
        <w:rPr>
          <w:bCs/>
          <w:lang w:val="en-GB"/>
        </w:rPr>
        <w:t>CEPT</w:t>
      </w:r>
      <w:bookmarkEnd w:id="22"/>
      <w:bookmarkEnd w:id="23"/>
      <w:bookmarkEnd w:id="24"/>
      <w:bookmarkEnd w:id="25"/>
    </w:p>
    <w:p w14:paraId="76AC8E49" w14:textId="75AC9F2C" w:rsidR="008C63E0" w:rsidRDefault="008C63E0" w:rsidP="008C63E0">
      <w:pPr>
        <w:pStyle w:val="Cmsor4szmozottnmhh"/>
      </w:pPr>
      <w:r>
        <w:rPr>
          <w:bCs/>
          <w:lang w:val="en-GB"/>
        </w:rPr>
        <w:t xml:space="preserve">CEPT regulation for existing fixed </w:t>
      </w:r>
      <w:r w:rsidR="003C5031">
        <w:rPr>
          <w:bCs/>
          <w:lang w:val="en-GB"/>
        </w:rPr>
        <w:t xml:space="preserve">service </w:t>
      </w:r>
      <w:r>
        <w:rPr>
          <w:bCs/>
          <w:lang w:val="en-GB"/>
        </w:rPr>
        <w:t>systems</w:t>
      </w:r>
    </w:p>
    <w:p w14:paraId="54DB79B0" w14:textId="07F2C047" w:rsidR="008C63E0" w:rsidRDefault="008C63E0" w:rsidP="008C63E0">
      <w:pPr>
        <w:pStyle w:val="Behzottbekezdsnmhh"/>
      </w:pPr>
      <w:r>
        <w:rPr>
          <w:lang w:val="en-GB"/>
        </w:rPr>
        <w:t xml:space="preserve">The following CEPT documents constitute the regulatory framework for the primary fixed service applications currently used in the 24.5-26.5 GHz frequency band. </w:t>
      </w:r>
      <w:r w:rsidR="003C5031">
        <w:rPr>
          <w:lang w:val="en-GB"/>
        </w:rPr>
        <w:t xml:space="preserve">The national spectrum management requirements have </w:t>
      </w:r>
      <w:r w:rsidR="00A84EED">
        <w:rPr>
          <w:lang w:val="en-GB"/>
        </w:rPr>
        <w:t>been developed b</w:t>
      </w:r>
      <w:r>
        <w:rPr>
          <w:lang w:val="en-GB"/>
        </w:rPr>
        <w:t>ased on these</w:t>
      </w:r>
      <w:r w:rsidR="00A84EED">
        <w:rPr>
          <w:lang w:val="en-GB"/>
        </w:rPr>
        <w:t>.</w:t>
      </w:r>
      <w:r>
        <w:rPr>
          <w:lang w:val="en-GB"/>
        </w:rPr>
        <w:t xml:space="preserve"> .</w:t>
      </w:r>
    </w:p>
    <w:p w14:paraId="02D82663" w14:textId="2C15E89A" w:rsidR="008C63E0" w:rsidRDefault="008C63E0" w:rsidP="008C63E0">
      <w:pPr>
        <w:pStyle w:val="Behzottbekezdsnmhh"/>
        <w:rPr>
          <w:i/>
        </w:rPr>
      </w:pPr>
      <w:r>
        <w:rPr>
          <w:lang w:val="en-GB"/>
        </w:rPr>
        <w:t xml:space="preserve">At the CEPT level, </w:t>
      </w:r>
      <w:r>
        <w:rPr>
          <w:i/>
          <w:iCs/>
          <w:lang w:val="en-GB"/>
        </w:rPr>
        <w:t>Recommendation T/R 13-02</w:t>
      </w:r>
      <w:r>
        <w:rPr>
          <w:rStyle w:val="Lbjegyzet-hivatkozs"/>
          <w:i/>
          <w:iCs/>
          <w:lang w:val="en-GB"/>
        </w:rPr>
        <w:footnoteReference w:id="25"/>
      </w:r>
      <w:r>
        <w:rPr>
          <w:i/>
          <w:iCs/>
          <w:lang w:val="en-GB"/>
        </w:rPr>
        <w:t xml:space="preserve"> </w:t>
      </w:r>
      <w:r w:rsidR="00A65CB7">
        <w:rPr>
          <w:lang w:val="en-GB"/>
        </w:rPr>
        <w:t xml:space="preserve">provides </w:t>
      </w:r>
      <w:bookmarkStart w:id="26" w:name="_GoBack"/>
      <w:bookmarkEnd w:id="26"/>
      <w:r>
        <w:rPr>
          <w:lang w:val="en-GB"/>
        </w:rPr>
        <w:t xml:space="preserve">channel arrangement for digital fixed point-to-point systems in the 22-29.5 GHz frequency range. The Recommendation was last amended in May 2019 to allow the use of channels with a bandwidth of 224 MHz, which can be </w:t>
      </w:r>
      <w:r w:rsidR="00A65CB7">
        <w:rPr>
          <w:lang w:val="en-GB"/>
        </w:rPr>
        <w:t xml:space="preserve">created </w:t>
      </w:r>
      <w:r>
        <w:rPr>
          <w:lang w:val="en-GB"/>
        </w:rPr>
        <w:t xml:space="preserve">by merging two adjacent channels with a bandwidth of 112 MHz each (in Hungary 112 MHz is the largest bandwidth that can be used). </w:t>
      </w:r>
    </w:p>
    <w:p w14:paraId="39456873" w14:textId="7E1A3922" w:rsidR="008C63E0" w:rsidRDefault="008C63E0" w:rsidP="008C63E0">
      <w:pPr>
        <w:pStyle w:val="Behzottbekezdsnmhh"/>
      </w:pPr>
      <w:r>
        <w:rPr>
          <w:i/>
          <w:iCs/>
          <w:lang w:val="en-GB"/>
        </w:rPr>
        <w:lastRenderedPageBreak/>
        <w:t>Recommendation</w:t>
      </w:r>
      <w:r>
        <w:rPr>
          <w:lang w:val="en-GB"/>
        </w:rPr>
        <w:t xml:space="preserve"> </w:t>
      </w:r>
      <w:r>
        <w:rPr>
          <w:i/>
          <w:iCs/>
          <w:lang w:val="en-GB"/>
        </w:rPr>
        <w:t>ECC/REC/(11)01</w:t>
      </w:r>
      <w:r>
        <w:rPr>
          <w:rStyle w:val="Lbjegyzet-hivatkozs"/>
          <w:lang w:val="en-GB"/>
        </w:rPr>
        <w:footnoteReference w:id="26"/>
      </w:r>
      <w:r>
        <w:rPr>
          <w:lang w:val="en-GB"/>
        </w:rPr>
        <w:t xml:space="preserve"> sets out guidelines for the assignment of frequency blocks for fixed wireless point-to-multipoint systems in the frequency bands 24.5-26.5 GHz, 27.5-29.5 GHz and 31.8-33.4 GHz. This regulatory document states that: </w:t>
      </w:r>
    </w:p>
    <w:p w14:paraId="36C4DE5E" w14:textId="77777777" w:rsidR="008C63E0" w:rsidRDefault="008C63E0" w:rsidP="008C63E0">
      <w:pPr>
        <w:pStyle w:val="Behzottbekezdsnmhh"/>
        <w:numPr>
          <w:ilvl w:val="0"/>
          <w:numId w:val="34"/>
        </w:numPr>
      </w:pPr>
      <w:r>
        <w:rPr>
          <w:lang w:val="en-GB"/>
        </w:rPr>
        <w:t xml:space="preserve">the size of the basic block is 28 MHz, </w:t>
      </w:r>
    </w:p>
    <w:p w14:paraId="39939DC8" w14:textId="77777777" w:rsidR="008C63E0" w:rsidRDefault="008C63E0" w:rsidP="008C63E0">
      <w:pPr>
        <w:pStyle w:val="Behzottbekezdsnmhh"/>
        <w:numPr>
          <w:ilvl w:val="0"/>
          <w:numId w:val="34"/>
        </w:numPr>
      </w:pPr>
      <w:r>
        <w:rPr>
          <w:lang w:val="en-GB"/>
        </w:rPr>
        <w:t xml:space="preserve">based on this, the sizes of assigned frequency blocks may be multiples of 28 MHz, </w:t>
      </w:r>
    </w:p>
    <w:p w14:paraId="6F18CF21" w14:textId="295F33E9" w:rsidR="008C63E0" w:rsidRDefault="008C63E0" w:rsidP="008C63E0">
      <w:pPr>
        <w:pStyle w:val="Behzottbekezdsnmhh"/>
        <w:numPr>
          <w:ilvl w:val="0"/>
          <w:numId w:val="34"/>
        </w:numPr>
      </w:pPr>
      <w:r>
        <w:rPr>
          <w:lang w:val="en-GB"/>
        </w:rPr>
        <w:t xml:space="preserve">the size of the </w:t>
      </w:r>
      <w:r w:rsidR="00F52B33">
        <w:rPr>
          <w:lang w:val="en-GB"/>
        </w:rPr>
        <w:t>guard band</w:t>
      </w:r>
      <w:r>
        <w:rPr>
          <w:lang w:val="en-GB"/>
        </w:rPr>
        <w:t xml:space="preserve"> between the assigned frequency blocks (for both FDD and TDD), and </w:t>
      </w:r>
    </w:p>
    <w:p w14:paraId="25CF1E26" w14:textId="77777777" w:rsidR="008C63E0" w:rsidRDefault="008C63E0" w:rsidP="008C63E0">
      <w:pPr>
        <w:pStyle w:val="Behzottbekezdsnmhh"/>
        <w:numPr>
          <w:ilvl w:val="0"/>
          <w:numId w:val="34"/>
        </w:numPr>
      </w:pPr>
      <w:r>
        <w:rPr>
          <w:lang w:val="en-GB"/>
        </w:rPr>
        <w:t>the way in which the frequency blocks can be used when different polarizations are used.</w:t>
      </w:r>
    </w:p>
    <w:p w14:paraId="13EB3464" w14:textId="77777777" w:rsidR="008C63E0" w:rsidRDefault="008C63E0" w:rsidP="008C63E0">
      <w:pPr>
        <w:pStyle w:val="Behzottbekezdsnmhh"/>
        <w:rPr>
          <w:i/>
        </w:rPr>
      </w:pPr>
    </w:p>
    <w:p w14:paraId="41459E38" w14:textId="0F9450AC" w:rsidR="008C63E0" w:rsidRDefault="009F3A19" w:rsidP="008C63E0">
      <w:pPr>
        <w:pStyle w:val="Cmsor4szmozottnmhh"/>
      </w:pPr>
      <w:r>
        <w:rPr>
          <w:bCs/>
          <w:lang w:val="en-GB"/>
        </w:rPr>
        <w:t>CEPT regulation for planned MFCN systems</w:t>
      </w:r>
    </w:p>
    <w:p w14:paraId="26D3A589" w14:textId="33202673" w:rsidR="008C63E0" w:rsidRDefault="008C63E0" w:rsidP="008C63E0">
      <w:pPr>
        <w:pStyle w:val="Behzottbekezdsnmhh"/>
      </w:pPr>
      <w:r>
        <w:rPr>
          <w:lang w:val="en-GB"/>
        </w:rPr>
        <w:t>Regarding the use of future MFCN systems, the most important documents that form the basis of the regulation were adopted at CEPT level, and they provide the basis for the regulation required for the introduction of 5G NR systems.</w:t>
      </w:r>
    </w:p>
    <w:p w14:paraId="20822E6C" w14:textId="77777777" w:rsidR="008C63E0" w:rsidRDefault="008C63E0" w:rsidP="008C63E0">
      <w:pPr>
        <w:spacing w:after="200"/>
        <w:jc w:val="left"/>
        <w:rPr>
          <w:sz w:val="20"/>
          <w:szCs w:val="20"/>
        </w:rPr>
      </w:pPr>
    </w:p>
    <w:p w14:paraId="3D3B9ACF" w14:textId="0D5EF3DE" w:rsidR="008C63E0" w:rsidRDefault="008C63E0" w:rsidP="008C63E0">
      <w:pPr>
        <w:pStyle w:val="Cmsor4szmozottnmhh"/>
        <w:numPr>
          <w:ilvl w:val="4"/>
          <w:numId w:val="29"/>
        </w:numPr>
      </w:pPr>
      <w:r>
        <w:rPr>
          <w:bCs/>
          <w:lang w:val="en-GB"/>
        </w:rPr>
        <w:t xml:space="preserve">MFCN </w:t>
      </w:r>
      <w:r w:rsidR="00BA35FB">
        <w:rPr>
          <w:bCs/>
          <w:lang w:val="en-GB"/>
        </w:rPr>
        <w:t>related decision</w:t>
      </w:r>
    </w:p>
    <w:p w14:paraId="32AECC2B" w14:textId="3A5B95B6" w:rsidR="008C63E0" w:rsidRDefault="009D6950" w:rsidP="008C63E0">
      <w:pPr>
        <w:pStyle w:val="Behzottbekezdsnmhh"/>
      </w:pPr>
      <w:r>
        <w:rPr>
          <w:lang w:val="en-GB"/>
        </w:rPr>
        <w:t>On the basis of the Commission’s mandate issued to CEPT</w:t>
      </w:r>
      <w:r>
        <w:rPr>
          <w:rStyle w:val="Lbjegyzet-hivatkozs"/>
          <w:lang w:val="en-GB"/>
        </w:rPr>
        <w:footnoteReference w:id="27"/>
      </w:r>
      <w:r>
        <w:rPr>
          <w:lang w:val="en-GB"/>
        </w:rPr>
        <w:t>, the ECC/PT1 Working Group conducted investigations within CEPT, which resulted in the establishment of harmonised technical conditions for the use of 5G NR systems. It also studied the conditions for MFCN systems to be compatible with different applications currently operating in the band and adjacent bands, such as point-to-point, point-to-multipoint or satellite systems. In accordance with the Commission’s mandate, the final report was drawn up by June 2018 (CEPT Report 68</w:t>
      </w:r>
      <w:r>
        <w:rPr>
          <w:rStyle w:val="Lbjegyzet-hivatkozs"/>
          <w:lang w:val="en-GB"/>
        </w:rPr>
        <w:footnoteReference w:id="28"/>
      </w:r>
      <w:r>
        <w:rPr>
          <w:lang w:val="en-GB"/>
        </w:rPr>
        <w:t xml:space="preserve">) to the Commission. The specifications for </w:t>
      </w:r>
      <w:r w:rsidR="00FB2E38">
        <w:rPr>
          <w:lang w:val="en-GB"/>
        </w:rPr>
        <w:t xml:space="preserve">making </w:t>
      </w:r>
      <w:r>
        <w:rPr>
          <w:lang w:val="en-GB"/>
        </w:rPr>
        <w:t>availa</w:t>
      </w:r>
      <w:r w:rsidR="00FB2E38">
        <w:rPr>
          <w:lang w:val="en-GB"/>
        </w:rPr>
        <w:t>ble</w:t>
      </w:r>
      <w:r>
        <w:rPr>
          <w:lang w:val="en-GB"/>
        </w:rPr>
        <w:t xml:space="preserve"> and </w:t>
      </w:r>
      <w:r w:rsidR="00FB2E38">
        <w:rPr>
          <w:lang w:val="en-GB"/>
        </w:rPr>
        <w:t>designation</w:t>
      </w:r>
      <w:r>
        <w:rPr>
          <w:lang w:val="en-GB"/>
        </w:rPr>
        <w:t xml:space="preserve"> of the 26 GHz frequency band to MFCN systems (including 5G) and the relevant harmonised technical conditions are set out in Decision ECC/DEC/(18)06</w:t>
      </w:r>
      <w:r>
        <w:rPr>
          <w:rStyle w:val="Lbjegyzet-hivatkozs"/>
          <w:lang w:val="en-GB"/>
        </w:rPr>
        <w:footnoteReference w:id="29"/>
      </w:r>
      <w:r>
        <w:rPr>
          <w:lang w:val="en-GB"/>
        </w:rPr>
        <w:t xml:space="preserve"> (amended twice, latest version 20.11.2020).</w:t>
      </w:r>
    </w:p>
    <w:p w14:paraId="76DB66B5" w14:textId="77777777" w:rsidR="008C63E0" w:rsidRDefault="008C63E0" w:rsidP="008C63E0">
      <w:pPr>
        <w:pStyle w:val="Behzottbekezdsnmhh"/>
        <w:rPr>
          <w:u w:val="single"/>
        </w:rPr>
      </w:pPr>
    </w:p>
    <w:p w14:paraId="5A002CD5" w14:textId="4C26D5CE" w:rsidR="008C63E0" w:rsidRPr="00F31BF8" w:rsidRDefault="008C63E0" w:rsidP="008C63E0">
      <w:pPr>
        <w:pStyle w:val="Behzottbekezdsnmhh"/>
        <w:rPr>
          <w:u w:val="single"/>
        </w:rPr>
      </w:pPr>
      <w:r>
        <w:rPr>
          <w:u w:val="single"/>
          <w:lang w:val="en-GB"/>
        </w:rPr>
        <w:t>Key points of Decision ECC/DEC/(18)06:</w:t>
      </w:r>
    </w:p>
    <w:p w14:paraId="53C4C39D" w14:textId="44FFCAE3" w:rsidR="008C63E0" w:rsidRDefault="008C63E0" w:rsidP="008C63E0">
      <w:pPr>
        <w:pStyle w:val="Behzottbekezdsnmhh"/>
        <w:numPr>
          <w:ilvl w:val="0"/>
          <w:numId w:val="59"/>
        </w:numPr>
      </w:pPr>
      <w:r>
        <w:rPr>
          <w:lang w:val="en-GB"/>
        </w:rPr>
        <w:t xml:space="preserve">CEPT administrations </w:t>
      </w:r>
      <w:r w:rsidR="00617295">
        <w:rPr>
          <w:lang w:val="en-GB"/>
        </w:rPr>
        <w:t xml:space="preserve">shall </w:t>
      </w:r>
      <w:r w:rsidR="00DD7A64">
        <w:rPr>
          <w:lang w:val="en-GB"/>
        </w:rPr>
        <w:t>designate</w:t>
      </w:r>
      <w:r>
        <w:rPr>
          <w:lang w:val="en-GB"/>
        </w:rPr>
        <w:t>, on a non-exclusive basis, the frequency band 24.25-27.5 GHz for MFCN systems, taking into account existing and future earth stations in the space research, Earth exploration-satellite and fixed-satellite service.</w:t>
      </w:r>
    </w:p>
    <w:p w14:paraId="3E914EE1" w14:textId="77777777" w:rsidR="008C63E0" w:rsidRDefault="008C63E0" w:rsidP="008C63E0">
      <w:pPr>
        <w:pStyle w:val="Behzottbekezdsnmhh"/>
        <w:numPr>
          <w:ilvl w:val="0"/>
          <w:numId w:val="59"/>
        </w:numPr>
      </w:pPr>
      <w:r>
        <w:rPr>
          <w:lang w:val="en-GB"/>
        </w:rPr>
        <w:t>CEPT administrations shall make available at least 1 GHz of spectrum by 2020 for MFCN systems, depending on market demand.</w:t>
      </w:r>
    </w:p>
    <w:p w14:paraId="678BD657" w14:textId="77777777" w:rsidR="008C63E0" w:rsidRDefault="008C63E0" w:rsidP="008C63E0">
      <w:pPr>
        <w:pStyle w:val="Behzottbekezdsnmhh"/>
        <w:numPr>
          <w:ilvl w:val="0"/>
          <w:numId w:val="59"/>
        </w:numPr>
      </w:pPr>
      <w:r>
        <w:rPr>
          <w:lang w:val="en-GB"/>
        </w:rPr>
        <w:t>Only TDD systems can be operated, with unpaired frequency arrangement.</w:t>
      </w:r>
    </w:p>
    <w:p w14:paraId="7AAAC82E" w14:textId="77777777" w:rsidR="008C63E0" w:rsidRDefault="008C63E0" w:rsidP="008C63E0">
      <w:pPr>
        <w:pStyle w:val="Behzottbekezdsnmhh"/>
        <w:numPr>
          <w:ilvl w:val="0"/>
          <w:numId w:val="59"/>
        </w:numPr>
      </w:pPr>
      <w:r>
        <w:rPr>
          <w:lang w:val="en-GB"/>
        </w:rPr>
        <w:lastRenderedPageBreak/>
        <w:t>According to the harmonised frequency arrangement, blocks of 200 MHz can be assigned (smaller blocks that are multiplies of 50 MHz can be assigned for efficient use of the spectrum). For other uses, the blocks can be shifted in 10 MHz steps.</w:t>
      </w:r>
    </w:p>
    <w:p w14:paraId="04CE813A" w14:textId="68193992" w:rsidR="008C63E0" w:rsidRDefault="008C63E0" w:rsidP="008C63E0">
      <w:pPr>
        <w:pStyle w:val="Behzottbekezdsnmhh"/>
        <w:numPr>
          <w:ilvl w:val="0"/>
          <w:numId w:val="59"/>
        </w:numPr>
      </w:pPr>
      <w:r>
        <w:rPr>
          <w:lang w:val="en-GB"/>
        </w:rPr>
        <w:t>The Block Edge Masks (BEM) and more detailed technical conditions are set out in Annex 2 to this Decision (the current version of the Decision sets out different values for out-of-band emissions in the 23.6-24 GHz frequency range).</w:t>
      </w:r>
    </w:p>
    <w:p w14:paraId="014052EF" w14:textId="0E83AEEF" w:rsidR="008C63E0" w:rsidRDefault="008C63E0" w:rsidP="008C63E0">
      <w:pPr>
        <w:pStyle w:val="Behzottbekezdsnmhh"/>
        <w:numPr>
          <w:ilvl w:val="0"/>
          <w:numId w:val="59"/>
        </w:numPr>
      </w:pPr>
      <w:r>
        <w:rPr>
          <w:lang w:val="en-GB"/>
        </w:rPr>
        <w:t xml:space="preserve">The use of high-density mobile service and Fixed Wireless Access (FWA) systems in the 22-23.6 GHz frequency band </w:t>
      </w:r>
      <w:r w:rsidR="00617295">
        <w:rPr>
          <w:lang w:val="en-GB"/>
        </w:rPr>
        <w:t xml:space="preserve">shall </w:t>
      </w:r>
      <w:r>
        <w:rPr>
          <w:lang w:val="en-GB"/>
        </w:rPr>
        <w:t>be avoided.</w:t>
      </w:r>
    </w:p>
    <w:p w14:paraId="1BBA4B88" w14:textId="5F30AB77" w:rsidR="008C63E0" w:rsidRDefault="008C63E0" w:rsidP="008C63E0">
      <w:pPr>
        <w:pStyle w:val="Behzottbekezdsnmhh"/>
        <w:numPr>
          <w:ilvl w:val="0"/>
          <w:numId w:val="59"/>
        </w:numPr>
      </w:pPr>
      <w:r>
        <w:rPr>
          <w:lang w:val="en-GB"/>
        </w:rPr>
        <w:t xml:space="preserve">The frequency band </w:t>
      </w:r>
      <w:r w:rsidR="00617295">
        <w:rPr>
          <w:lang w:val="en-GB"/>
        </w:rPr>
        <w:t xml:space="preserve">shall </w:t>
      </w:r>
      <w:r>
        <w:rPr>
          <w:lang w:val="en-GB"/>
        </w:rPr>
        <w:t>not be used for downlink transmission between a base station and an aircraft-based user station, and for uplink transmission it can only be used if studies show that coexistence with other services operating in the frequency band can be ensured.</w:t>
      </w:r>
    </w:p>
    <w:p w14:paraId="54F0566E" w14:textId="77777777" w:rsidR="008C63E0" w:rsidRDefault="008C63E0" w:rsidP="008C63E0">
      <w:pPr>
        <w:pStyle w:val="Behzottbekezdsnmhh"/>
        <w:ind w:left="1077" w:firstLine="0"/>
      </w:pPr>
    </w:p>
    <w:p w14:paraId="23309DE1" w14:textId="77777777" w:rsidR="008C63E0" w:rsidRDefault="008C63E0" w:rsidP="008C63E0">
      <w:pPr>
        <w:pStyle w:val="Behzottbekezdsnmhh"/>
        <w:keepNext/>
        <w:ind w:left="709" w:firstLine="0"/>
        <w:jc w:val="center"/>
      </w:pPr>
      <w:r>
        <w:rPr>
          <w:noProof/>
          <w:lang w:eastAsia="hu-HU"/>
        </w:rPr>
        <w:drawing>
          <wp:inline distT="0" distB="0" distL="0" distR="0" wp14:anchorId="45855700" wp14:editId="27678181">
            <wp:extent cx="5760720" cy="59824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598245"/>
                    </a:xfrm>
                    <a:prstGeom prst="rect">
                      <a:avLst/>
                    </a:prstGeom>
                  </pic:spPr>
                </pic:pic>
              </a:graphicData>
            </a:graphic>
          </wp:inline>
        </w:drawing>
      </w:r>
    </w:p>
    <w:p w14:paraId="1B258FB7" w14:textId="6D38375A" w:rsidR="008C63E0" w:rsidRDefault="00A54AD1" w:rsidP="008C63E0">
      <w:pPr>
        <w:pStyle w:val="Kpalrs"/>
        <w:jc w:val="center"/>
      </w:pPr>
      <w:r>
        <w:rPr>
          <w:lang w:val="en-GB"/>
        </w:rPr>
        <w:t xml:space="preserve">Figure </w:t>
      </w:r>
      <w:r>
        <w:rPr>
          <w:lang w:val="en-GB"/>
        </w:rPr>
        <w:fldChar w:fldCharType="begin"/>
      </w:r>
      <w:r>
        <w:rPr>
          <w:lang w:val="en-GB"/>
        </w:rPr>
        <w:instrText xml:space="preserve"> SEQ ábra \* ARABIC </w:instrText>
      </w:r>
      <w:r>
        <w:rPr>
          <w:lang w:val="en-GB"/>
        </w:rPr>
        <w:fldChar w:fldCharType="separate"/>
      </w:r>
      <w:r>
        <w:rPr>
          <w:noProof/>
          <w:lang w:val="en-GB"/>
        </w:rPr>
        <w:t>1</w:t>
      </w:r>
      <w:r>
        <w:rPr>
          <w:noProof/>
          <w:lang w:val="en-GB"/>
        </w:rPr>
        <w:fldChar w:fldCharType="end"/>
      </w:r>
      <w:r>
        <w:rPr>
          <w:lang w:val="en-GB"/>
        </w:rPr>
        <w:t xml:space="preserve"> Example of block </w:t>
      </w:r>
      <w:r w:rsidR="0089596D">
        <w:rPr>
          <w:lang w:val="en-GB"/>
        </w:rPr>
        <w:t xml:space="preserve">distribution </w:t>
      </w:r>
      <w:r>
        <w:rPr>
          <w:lang w:val="en-GB"/>
        </w:rPr>
        <w:t xml:space="preserve">on the basis of harmonised band </w:t>
      </w:r>
      <w:r w:rsidR="00617295">
        <w:rPr>
          <w:lang w:val="en-GB"/>
        </w:rPr>
        <w:t>arrangement</w:t>
      </w:r>
    </w:p>
    <w:p w14:paraId="0B072431" w14:textId="327DDA98" w:rsidR="008C63E0" w:rsidRDefault="008C63E0" w:rsidP="008C63E0">
      <w:pPr>
        <w:pStyle w:val="Behzottbekezdsnmhh"/>
        <w:ind w:left="1077" w:firstLine="0"/>
      </w:pPr>
    </w:p>
    <w:p w14:paraId="2C0434EF" w14:textId="07E5FE23" w:rsidR="008C63E0" w:rsidRDefault="008C63E0" w:rsidP="008C63E0">
      <w:pPr>
        <w:pStyle w:val="Cmsor4szmozottnmhh"/>
        <w:numPr>
          <w:ilvl w:val="4"/>
          <w:numId w:val="29"/>
        </w:numPr>
      </w:pPr>
      <w:r>
        <w:rPr>
          <w:bCs/>
          <w:lang w:val="en-GB"/>
        </w:rPr>
        <w:t>Compatibility with other services in the frequency band</w:t>
      </w:r>
    </w:p>
    <w:p w14:paraId="386F7317" w14:textId="75514591" w:rsidR="008C63E0" w:rsidRDefault="005F14D6" w:rsidP="008C63E0">
      <w:pPr>
        <w:pStyle w:val="Behzottbekezdsnmhh"/>
      </w:pPr>
      <w:r>
        <w:rPr>
          <w:lang w:val="en-GB"/>
        </w:rPr>
        <w:t xml:space="preserve">First, compatibility with the different satellite systems were studied, and then additional studies began on coexistence with the fixed </w:t>
      </w:r>
      <w:r w:rsidR="0052329D">
        <w:rPr>
          <w:lang w:val="en-GB"/>
        </w:rPr>
        <w:t xml:space="preserve">service </w:t>
      </w:r>
      <w:r>
        <w:rPr>
          <w:lang w:val="en-GB"/>
        </w:rPr>
        <w:t>systems used in the frequency band across Europe.</w:t>
      </w:r>
    </w:p>
    <w:p w14:paraId="269F1106" w14:textId="77777777" w:rsidR="008C63E0" w:rsidRPr="005F0387" w:rsidRDefault="008C63E0" w:rsidP="008C63E0">
      <w:pPr>
        <w:pStyle w:val="Behzottbekezdsnmhh"/>
      </w:pPr>
    </w:p>
    <w:p w14:paraId="3F5CDA96" w14:textId="77777777" w:rsidR="008C63E0" w:rsidRPr="006D7013" w:rsidRDefault="008C63E0" w:rsidP="008C63E0">
      <w:pPr>
        <w:pStyle w:val="Cmsor4szmozottnmhh"/>
        <w:numPr>
          <w:ilvl w:val="5"/>
          <w:numId w:val="29"/>
        </w:numPr>
      </w:pPr>
      <w:r>
        <w:rPr>
          <w:bCs/>
          <w:lang w:val="en-GB"/>
        </w:rPr>
        <w:t>Space research and Earth exploration-satellite service</w:t>
      </w:r>
    </w:p>
    <w:p w14:paraId="683A8A4D" w14:textId="5001175F" w:rsidR="008C63E0" w:rsidRDefault="008C63E0" w:rsidP="008C63E0">
      <w:pPr>
        <w:pStyle w:val="Behzottbekezdsnmhh"/>
        <w:tabs>
          <w:tab w:val="left" w:pos="977"/>
        </w:tabs>
      </w:pPr>
      <w:r>
        <w:rPr>
          <w:lang w:val="en-GB"/>
        </w:rPr>
        <w:t xml:space="preserve">The results of the compatibility studies </w:t>
      </w:r>
      <w:r w:rsidR="001600B1">
        <w:rPr>
          <w:lang w:val="en-GB"/>
        </w:rPr>
        <w:t xml:space="preserve">related to </w:t>
      </w:r>
      <w:r>
        <w:rPr>
          <w:lang w:val="en-GB"/>
        </w:rPr>
        <w:t xml:space="preserve">earth stations </w:t>
      </w:r>
      <w:r w:rsidR="001600B1">
        <w:rPr>
          <w:lang w:val="en-GB"/>
        </w:rPr>
        <w:t xml:space="preserve">of the space research and Earth exploration-satellite service </w:t>
      </w:r>
      <w:r>
        <w:rPr>
          <w:lang w:val="en-GB"/>
        </w:rPr>
        <w:t>operating in the 26 GHz frequency band were published in Recommendation ECC/REC/(19)01</w:t>
      </w:r>
      <w:r>
        <w:rPr>
          <w:rStyle w:val="Lbjegyzet-hivatkozs"/>
          <w:lang w:val="en-GB"/>
        </w:rPr>
        <w:footnoteReference w:id="30"/>
      </w:r>
      <w:r>
        <w:rPr>
          <w:lang w:val="en-GB"/>
        </w:rPr>
        <w:t xml:space="preserve">. This includes provisions on the definition of a protection zone to be applied to earth stations. The Recommendation sets out general principles and a specific calculation method for defining a protection zone around earth stations </w:t>
      </w:r>
      <w:r w:rsidR="001600B1">
        <w:rPr>
          <w:lang w:val="en-GB"/>
        </w:rPr>
        <w:t xml:space="preserve">of the space research, GSO and NGSO Earth exploration-satellite services </w:t>
      </w:r>
      <w:r>
        <w:rPr>
          <w:lang w:val="en-GB"/>
        </w:rPr>
        <w:t>operating in the 25.5-27 GHz frequency band .</w:t>
      </w:r>
    </w:p>
    <w:p w14:paraId="28D895B3" w14:textId="254E2EC1" w:rsidR="008C63E0" w:rsidRDefault="008C63E0" w:rsidP="008C63E0">
      <w:pPr>
        <w:pStyle w:val="Behzottbekezdsnmhh"/>
        <w:tabs>
          <w:tab w:val="left" w:pos="977"/>
        </w:tabs>
      </w:pPr>
      <w:r>
        <w:rPr>
          <w:lang w:val="en-GB"/>
        </w:rPr>
        <w:t xml:space="preserve">With regards to the national regulation, it should be noted that the frequency band 25.5-27 GHz is </w:t>
      </w:r>
      <w:r w:rsidR="00DD7A64">
        <w:rPr>
          <w:lang w:val="en-GB"/>
        </w:rPr>
        <w:t xml:space="preserve">designated </w:t>
      </w:r>
      <w:r>
        <w:rPr>
          <w:lang w:val="en-GB"/>
        </w:rPr>
        <w:t>for applications of the Earth exploration-satellite (space-to-Earth) service and is planned for the applications of space research (space-to-Earth) service</w:t>
      </w:r>
      <w:r w:rsidR="00257130">
        <w:rPr>
          <w:lang w:val="en-GB"/>
        </w:rPr>
        <w:t xml:space="preserve"> on a primary basis</w:t>
      </w:r>
      <w:r>
        <w:rPr>
          <w:lang w:val="en-GB"/>
        </w:rPr>
        <w:t xml:space="preserve">. Currently, no earth station is operating in the frequency band, but this does not exclude the possibility of possible future deployment, considering that the frequency band is </w:t>
      </w:r>
      <w:r w:rsidR="0097329D">
        <w:rPr>
          <w:lang w:val="en-GB"/>
        </w:rPr>
        <w:t xml:space="preserve">planned </w:t>
      </w:r>
      <w:r>
        <w:rPr>
          <w:lang w:val="en-GB"/>
        </w:rPr>
        <w:t xml:space="preserve">for MFCN systems </w:t>
      </w:r>
      <w:r w:rsidR="0097329D">
        <w:rPr>
          <w:lang w:val="en-GB"/>
        </w:rPr>
        <w:t xml:space="preserve">on a primary basis </w:t>
      </w:r>
      <w:r>
        <w:rPr>
          <w:lang w:val="en-GB"/>
        </w:rPr>
        <w:t xml:space="preserve">(or is expected to be </w:t>
      </w:r>
      <w:r w:rsidR="0097329D">
        <w:rPr>
          <w:lang w:val="en-GB"/>
        </w:rPr>
        <w:t xml:space="preserve">designated </w:t>
      </w:r>
      <w:r>
        <w:rPr>
          <w:lang w:val="en-GB"/>
        </w:rPr>
        <w:t xml:space="preserve">in full or in part in the future) on the basis of Decisions (EU) 2019/784 and (EU) 2020/590. For the protection of earth stations of space research and Earth exploration-satellite services operating in the frequency band, the provisions of Articles 3 (b) and 5 of Decision (EU) 2019/784 and </w:t>
      </w:r>
      <w:r w:rsidR="00BB76A0">
        <w:rPr>
          <w:lang w:val="en-GB"/>
        </w:rPr>
        <w:t xml:space="preserve">Decides </w:t>
      </w:r>
      <w:r>
        <w:rPr>
          <w:lang w:val="en-GB"/>
        </w:rPr>
        <w:t xml:space="preserve">1 and 7 of Decision ECC/DEC/(18)06 shall </w:t>
      </w:r>
      <w:r w:rsidR="00FF4778">
        <w:rPr>
          <w:lang w:val="en-GB"/>
        </w:rPr>
        <w:t>be taken into account</w:t>
      </w:r>
      <w:r>
        <w:rPr>
          <w:lang w:val="en-GB"/>
        </w:rPr>
        <w:t>.</w:t>
      </w:r>
    </w:p>
    <w:p w14:paraId="17F3B2D2" w14:textId="77777777" w:rsidR="008C63E0" w:rsidRDefault="008C63E0" w:rsidP="008C63E0">
      <w:pPr>
        <w:pStyle w:val="Behzottbekezdsnmhh"/>
        <w:tabs>
          <w:tab w:val="left" w:pos="977"/>
        </w:tabs>
      </w:pPr>
    </w:p>
    <w:p w14:paraId="7B1FDE01" w14:textId="77777777" w:rsidR="008C63E0" w:rsidRPr="006D7013" w:rsidRDefault="008C63E0" w:rsidP="008C63E0">
      <w:pPr>
        <w:pStyle w:val="Cmsor4szmozottnmhh"/>
        <w:numPr>
          <w:ilvl w:val="5"/>
          <w:numId w:val="29"/>
        </w:numPr>
      </w:pPr>
      <w:r>
        <w:rPr>
          <w:bCs/>
          <w:lang w:val="en-GB"/>
        </w:rPr>
        <w:t>Fixed-satellite service</w:t>
      </w:r>
    </w:p>
    <w:p w14:paraId="1094C3A7" w14:textId="38C754CF" w:rsidR="008C63E0" w:rsidRDefault="008256C0" w:rsidP="008C63E0">
      <w:pPr>
        <w:pStyle w:val="Behzottbekezdsnmhh"/>
        <w:tabs>
          <w:tab w:val="left" w:pos="977"/>
        </w:tabs>
      </w:pPr>
      <w:r>
        <w:rPr>
          <w:lang w:val="en-GB"/>
        </w:rPr>
        <w:t>Recommendation ECC/REC/(20)01</w:t>
      </w:r>
      <w:r>
        <w:rPr>
          <w:rStyle w:val="Lbjegyzet-hivatkozs"/>
          <w:lang w:val="en-GB"/>
        </w:rPr>
        <w:footnoteReference w:id="31"/>
      </w:r>
      <w:r>
        <w:rPr>
          <w:lang w:val="en-GB"/>
        </w:rPr>
        <w:t xml:space="preserve"> was published a</w:t>
      </w:r>
      <w:r w:rsidR="008C63E0">
        <w:rPr>
          <w:lang w:val="en-GB"/>
        </w:rPr>
        <w:t xml:space="preserve">s a result of the </w:t>
      </w:r>
      <w:r>
        <w:rPr>
          <w:lang w:val="en-GB"/>
        </w:rPr>
        <w:t>studies related to</w:t>
      </w:r>
      <w:r w:rsidR="008C63E0">
        <w:rPr>
          <w:lang w:val="en-GB"/>
        </w:rPr>
        <w:t xml:space="preserve"> earth stations of the fixed-satellite service, another. This Recommendation provides guidance on how to determine the protection zones to be used for earth stations operating in the 24.65-25.25 GHz frequency range, similarly as described in Recommendation ECC/REC/(19)01.</w:t>
      </w:r>
    </w:p>
    <w:p w14:paraId="362297BD" w14:textId="0E184D52" w:rsidR="008C63E0" w:rsidRDefault="008C63E0" w:rsidP="008C63E0">
      <w:pPr>
        <w:pStyle w:val="Behzottbekezdsnmhh"/>
        <w:tabs>
          <w:tab w:val="left" w:pos="977"/>
        </w:tabs>
      </w:pPr>
      <w:r>
        <w:rPr>
          <w:lang w:val="en-GB"/>
        </w:rPr>
        <w:t>With regards to the national regulation, it should be noted that the frequency band 24.65-25.25 GHz is planned for applications of the fixed-satellite (space-to-Earth) service</w:t>
      </w:r>
      <w:r w:rsidR="008256C0">
        <w:rPr>
          <w:lang w:val="en-GB"/>
        </w:rPr>
        <w:t xml:space="preserve"> on a primary basis</w:t>
      </w:r>
      <w:r>
        <w:rPr>
          <w:lang w:val="en-GB"/>
        </w:rPr>
        <w:t xml:space="preserve">. Currently, due to its status, no earth station is operating in the frequency band, but this does not exclude the possibility of possible future deployment in the event of changing the status from planned to assigned, considering that the frequency band is </w:t>
      </w:r>
      <w:r w:rsidR="00ED46A0">
        <w:rPr>
          <w:lang w:val="en-GB"/>
        </w:rPr>
        <w:t>planned</w:t>
      </w:r>
      <w:r>
        <w:rPr>
          <w:lang w:val="en-GB"/>
        </w:rPr>
        <w:t xml:space="preserve"> for MFCN systems </w:t>
      </w:r>
      <w:r w:rsidR="00ED46A0">
        <w:rPr>
          <w:lang w:val="en-GB"/>
        </w:rPr>
        <w:t xml:space="preserve">on a primary basis </w:t>
      </w:r>
      <w:r>
        <w:rPr>
          <w:lang w:val="en-GB"/>
        </w:rPr>
        <w:t xml:space="preserve">(or is expected to be </w:t>
      </w:r>
      <w:r w:rsidR="00ED46A0">
        <w:rPr>
          <w:lang w:val="en-GB"/>
        </w:rPr>
        <w:t xml:space="preserve">designated </w:t>
      </w:r>
      <w:r>
        <w:rPr>
          <w:lang w:val="en-GB"/>
        </w:rPr>
        <w:t xml:space="preserve">in full or in part in the future) on the basis of Decisions (EU) 2019/784 and (EU) 2020/590. For the protection of earth stations of the fixed-satellite service operating in the frequency band, the provisions of Articles 3 (c) and 5 of Decision (EU) 2019/784 and </w:t>
      </w:r>
      <w:r w:rsidR="00BB76A0">
        <w:rPr>
          <w:lang w:val="en-GB"/>
        </w:rPr>
        <w:t xml:space="preserve">Decides </w:t>
      </w:r>
      <w:r>
        <w:rPr>
          <w:lang w:val="en-GB"/>
        </w:rPr>
        <w:t xml:space="preserve">1 and 7 of Decision ECC/DEC/(18)06 shall </w:t>
      </w:r>
      <w:r w:rsidR="00FF4778">
        <w:rPr>
          <w:lang w:val="en-GB"/>
        </w:rPr>
        <w:t>be taken into account</w:t>
      </w:r>
      <w:r>
        <w:rPr>
          <w:lang w:val="en-GB"/>
        </w:rPr>
        <w:t>.</w:t>
      </w:r>
    </w:p>
    <w:p w14:paraId="6823FEBB" w14:textId="77777777" w:rsidR="008C63E0" w:rsidRDefault="008C63E0" w:rsidP="008C63E0">
      <w:pPr>
        <w:pStyle w:val="Behzottbekezdsnmhh"/>
        <w:tabs>
          <w:tab w:val="left" w:pos="977"/>
        </w:tabs>
      </w:pPr>
    </w:p>
    <w:p w14:paraId="47F03A4E" w14:textId="77777777" w:rsidR="008C63E0" w:rsidRPr="006D7013" w:rsidRDefault="008C63E0" w:rsidP="008C63E0">
      <w:pPr>
        <w:pStyle w:val="Cmsor4szmozottnmhh"/>
        <w:numPr>
          <w:ilvl w:val="5"/>
          <w:numId w:val="29"/>
        </w:numPr>
      </w:pPr>
      <w:r>
        <w:rPr>
          <w:bCs/>
          <w:lang w:val="en-GB"/>
        </w:rPr>
        <w:t>Fixed service</w:t>
      </w:r>
    </w:p>
    <w:p w14:paraId="65F98B2A" w14:textId="396D3A2B" w:rsidR="008C63E0" w:rsidRDefault="00FF4778" w:rsidP="008C63E0">
      <w:pPr>
        <w:pStyle w:val="Behzottbekezdsnmhh"/>
        <w:tabs>
          <w:tab w:val="left" w:pos="977"/>
        </w:tabs>
      </w:pPr>
      <w:r>
        <w:rPr>
          <w:lang w:val="en-GB"/>
        </w:rPr>
        <w:t xml:space="preserve">With respect to </w:t>
      </w:r>
      <w:r w:rsidR="008C63E0">
        <w:rPr>
          <w:lang w:val="en-GB"/>
        </w:rPr>
        <w:t xml:space="preserve">compatibility with fixed </w:t>
      </w:r>
      <w:r>
        <w:rPr>
          <w:lang w:val="en-GB"/>
        </w:rPr>
        <w:t xml:space="preserve">service </w:t>
      </w:r>
      <w:r w:rsidR="008C63E0">
        <w:rPr>
          <w:lang w:val="en-GB"/>
        </w:rPr>
        <w:t xml:space="preserve">systems, ECC </w:t>
      </w:r>
      <w:r w:rsidR="00EA3D9F">
        <w:rPr>
          <w:lang w:val="en-GB"/>
        </w:rPr>
        <w:t xml:space="preserve">Report </w:t>
      </w:r>
      <w:r w:rsidR="008C63E0">
        <w:rPr>
          <w:lang w:val="en-GB"/>
        </w:rPr>
        <w:t>303</w:t>
      </w:r>
      <w:r w:rsidR="008C63E0">
        <w:rPr>
          <w:rStyle w:val="Lbjegyzet-hivatkozs"/>
          <w:lang w:val="en-GB"/>
        </w:rPr>
        <w:footnoteReference w:id="32"/>
      </w:r>
      <w:r w:rsidR="008C63E0">
        <w:rPr>
          <w:lang w:val="en-GB"/>
        </w:rPr>
        <w:t xml:space="preserve"> was adopted, which provides guidance on the techniques and calculation methods that can be used to avoid mutual interference of 5G mobile systems and existing fixed </w:t>
      </w:r>
      <w:r>
        <w:rPr>
          <w:lang w:val="en-GB"/>
        </w:rPr>
        <w:t xml:space="preserve">service </w:t>
      </w:r>
      <w:r w:rsidR="008C63E0">
        <w:rPr>
          <w:lang w:val="en-GB"/>
        </w:rPr>
        <w:t xml:space="preserve">systems. The report sets out general principles, but also includes specific calculations. Interference calculation largely depends on system parameters and </w:t>
      </w:r>
      <w:r>
        <w:rPr>
          <w:lang w:val="en-GB"/>
        </w:rPr>
        <w:t xml:space="preserve">deployment </w:t>
      </w:r>
      <w:r w:rsidR="008C63E0">
        <w:rPr>
          <w:lang w:val="en-GB"/>
        </w:rPr>
        <w:t>and wave propagation characteristics and therefore the material is suitable for guidance purposes. In a specific case, specific conclusions for national use may be drawn by taking into account the specific circumstances.</w:t>
      </w:r>
    </w:p>
    <w:p w14:paraId="315CB961" w14:textId="669CCCB8" w:rsidR="008C63E0" w:rsidRDefault="002B4B15" w:rsidP="00A239B5">
      <w:pPr>
        <w:pStyle w:val="Behzottbekezdsnmhh"/>
        <w:tabs>
          <w:tab w:val="left" w:pos="977"/>
        </w:tabs>
      </w:pPr>
      <w:r>
        <w:rPr>
          <w:lang w:val="en-GB"/>
        </w:rPr>
        <w:t xml:space="preserve">With regard to </w:t>
      </w:r>
      <w:r w:rsidR="008C63E0">
        <w:rPr>
          <w:lang w:val="en-GB"/>
        </w:rPr>
        <w:t xml:space="preserve">the coexistence of fixed service systems operating in the frequency band </w:t>
      </w:r>
      <w:r>
        <w:rPr>
          <w:lang w:val="en-GB"/>
        </w:rPr>
        <w:t xml:space="preserve">along </w:t>
      </w:r>
      <w:r w:rsidR="008C63E0">
        <w:rPr>
          <w:lang w:val="en-GB"/>
        </w:rPr>
        <w:t xml:space="preserve">with mobile service systems, the provisions of Article 4 of Decision (EU) 2019/784 and </w:t>
      </w:r>
      <w:r>
        <w:rPr>
          <w:lang w:val="en-GB"/>
        </w:rPr>
        <w:t xml:space="preserve">Decide </w:t>
      </w:r>
      <w:r w:rsidR="008C63E0">
        <w:rPr>
          <w:lang w:val="en-GB"/>
        </w:rPr>
        <w:t xml:space="preserve">1 of Decision ECC/DEC/(18)06 shall </w:t>
      </w:r>
      <w:r>
        <w:rPr>
          <w:lang w:val="en-GB"/>
        </w:rPr>
        <w:t>be taken into account</w:t>
      </w:r>
      <w:r w:rsidR="008C63E0">
        <w:rPr>
          <w:lang w:val="en-GB"/>
        </w:rPr>
        <w:t xml:space="preserve">. According to the Decision, a solution should be found for the coexistence of the two systems on a national basis, and in support of this Report ECC 303 was prepared, which contains specific examples. It should be noted that, in general, this is a very intensively used frequency band within the CEPT, so that it is not possible for the two systems to coexist in many countries, especially where </w:t>
      </w:r>
      <w:r w:rsidR="00615264">
        <w:rPr>
          <w:lang w:val="en-GB"/>
        </w:rPr>
        <w:t xml:space="preserve">nationwide </w:t>
      </w:r>
      <w:r w:rsidR="008C63E0">
        <w:rPr>
          <w:lang w:val="en-GB"/>
        </w:rPr>
        <w:t xml:space="preserve">use is typical and geographical separation is difficult to implement. Frequency separation can also be problematic in the frequency range of 24.5-26.5 GHz, where traditional FDD fixed service systems operate in a paired band, while the planned mobile service 5G systems are TDD systems, thus their channel arrangements (unpaired arrangement and large channel bandwidths – typically 200 MHz and its multiples) </w:t>
      </w:r>
      <w:r w:rsidR="00615264">
        <w:rPr>
          <w:lang w:val="en-GB"/>
        </w:rPr>
        <w:t xml:space="preserve">are </w:t>
      </w:r>
      <w:r w:rsidR="008C63E0">
        <w:rPr>
          <w:lang w:val="en-GB"/>
        </w:rPr>
        <w:t xml:space="preserve">also different. For this reason, in many cases, the evacuation of the band is the only solution, which does not result in added complexity arising from the synchronization of the </w:t>
      </w:r>
      <w:r w:rsidR="007A1AC4">
        <w:rPr>
          <w:lang w:val="en-GB"/>
        </w:rPr>
        <w:t xml:space="preserve">TDD </w:t>
      </w:r>
      <w:r w:rsidR="008C63E0">
        <w:rPr>
          <w:lang w:val="en-GB"/>
        </w:rPr>
        <w:t xml:space="preserve">5G systems (both in the case of adjacent-channel and co-channel use </w:t>
      </w:r>
      <w:r w:rsidR="004B5A68">
        <w:rPr>
          <w:lang w:val="en-GB"/>
        </w:rPr>
        <w:t xml:space="preserve">in </w:t>
      </w:r>
      <w:r w:rsidR="00615264">
        <w:rPr>
          <w:lang w:val="en-GB"/>
        </w:rPr>
        <w:t>border area</w:t>
      </w:r>
      <w:r w:rsidR="004B5A68">
        <w:rPr>
          <w:lang w:val="en-GB"/>
        </w:rPr>
        <w:t>s</w:t>
      </w:r>
      <w:r w:rsidR="008C63E0">
        <w:rPr>
          <w:lang w:val="en-GB"/>
        </w:rPr>
        <w:t>).</w:t>
      </w:r>
    </w:p>
    <w:p w14:paraId="4D408006" w14:textId="77777777" w:rsidR="008C63E0" w:rsidRDefault="008C63E0" w:rsidP="008C63E0">
      <w:pPr>
        <w:pStyle w:val="Behzottbekezdsnmhh"/>
        <w:tabs>
          <w:tab w:val="left" w:pos="977"/>
        </w:tabs>
      </w:pPr>
    </w:p>
    <w:p w14:paraId="3E7C5274" w14:textId="77777777" w:rsidR="008C63E0" w:rsidRDefault="008C63E0" w:rsidP="008C63E0">
      <w:pPr>
        <w:pStyle w:val="Cmsor4szmozottnmhh"/>
        <w:numPr>
          <w:ilvl w:val="4"/>
          <w:numId w:val="29"/>
        </w:numPr>
      </w:pPr>
      <w:r>
        <w:rPr>
          <w:bCs/>
          <w:lang w:val="en-GB"/>
        </w:rPr>
        <w:lastRenderedPageBreak/>
        <w:t>Synchronization</w:t>
      </w:r>
    </w:p>
    <w:p w14:paraId="4273F1AD" w14:textId="25763EB5" w:rsidR="008C63E0" w:rsidRDefault="008C63E0" w:rsidP="008C63E0">
      <w:pPr>
        <w:pStyle w:val="Behzottbekezdsnmhh"/>
        <w:tabs>
          <w:tab w:val="left" w:pos="977"/>
        </w:tabs>
      </w:pPr>
      <w:r>
        <w:rPr>
          <w:lang w:val="en-GB"/>
        </w:rPr>
        <w:t xml:space="preserve">The ECC/PT1 Working Group conducted studies on the compatibility of </w:t>
      </w:r>
      <w:r w:rsidR="00EA3D9F">
        <w:rPr>
          <w:lang w:val="en-GB"/>
        </w:rPr>
        <w:t xml:space="preserve">planned TDD </w:t>
      </w:r>
      <w:r>
        <w:rPr>
          <w:lang w:val="en-GB"/>
        </w:rPr>
        <w:t xml:space="preserve">MFCN systems in the 26 GHz frequency band. ECC </w:t>
      </w:r>
      <w:r w:rsidR="00EA3D9F">
        <w:rPr>
          <w:lang w:val="en-GB"/>
        </w:rPr>
        <w:t xml:space="preserve">Report </w:t>
      </w:r>
      <w:r>
        <w:rPr>
          <w:lang w:val="en-GB"/>
        </w:rPr>
        <w:t>307</w:t>
      </w:r>
      <w:r>
        <w:rPr>
          <w:rStyle w:val="Lbjegyzet-hivatkozs"/>
          <w:lang w:val="en-GB"/>
        </w:rPr>
        <w:footnoteReference w:id="33"/>
      </w:r>
      <w:r>
        <w:rPr>
          <w:lang w:val="en-GB"/>
        </w:rPr>
        <w:t xml:space="preserve"> containing the results of the studies was adopted in March 2020. The figures in the report show well what </w:t>
      </w:r>
      <w:r w:rsidR="005B7C4E">
        <w:rPr>
          <w:lang w:val="en-GB"/>
        </w:rPr>
        <w:t xml:space="preserve">separation </w:t>
      </w:r>
      <w:r>
        <w:rPr>
          <w:lang w:val="en-GB"/>
        </w:rPr>
        <w:t xml:space="preserve">distances are recommended for outdoor </w:t>
      </w:r>
      <w:r w:rsidR="005B7C4E">
        <w:rPr>
          <w:lang w:val="en-GB"/>
        </w:rPr>
        <w:t xml:space="preserve">deployment </w:t>
      </w:r>
      <w:r>
        <w:rPr>
          <w:lang w:val="en-GB"/>
        </w:rPr>
        <w:t xml:space="preserve">for each synchronization option, for co-channel or adjacent-channel use. According to the report, the base stations do not necessarily need to be synchronized in case of indoor </w:t>
      </w:r>
      <w:r w:rsidR="005B7C4E">
        <w:rPr>
          <w:lang w:val="en-GB"/>
        </w:rPr>
        <w:t>deployment</w:t>
      </w:r>
      <w:r>
        <w:rPr>
          <w:lang w:val="en-GB"/>
        </w:rPr>
        <w:t xml:space="preserve">, but the installation conditions may affect the interference situation. Compatibility between outdoor and indoor systems is largely dependent on building </w:t>
      </w:r>
      <w:r w:rsidR="00B27528">
        <w:rPr>
          <w:lang w:val="en-GB"/>
        </w:rPr>
        <w:t xml:space="preserve">entry loss </w:t>
      </w:r>
      <w:r>
        <w:rPr>
          <w:lang w:val="en-GB"/>
        </w:rPr>
        <w:t>when not synchronised. The system parameters used in the studies (channel bandwidth, antenna height, antenna configuration, etc.) and other details (e.g. wave propagation model, simulation method) are included in the relevant chapters of the report.</w:t>
      </w:r>
    </w:p>
    <w:p w14:paraId="750B42E6" w14:textId="77777777" w:rsidR="008C63E0" w:rsidRDefault="008C63E0" w:rsidP="008C63E0">
      <w:pPr>
        <w:pStyle w:val="Behzottbekezdsnmhh"/>
        <w:tabs>
          <w:tab w:val="left" w:pos="977"/>
        </w:tabs>
      </w:pPr>
    </w:p>
    <w:p w14:paraId="4C127594" w14:textId="77777777" w:rsidR="008C63E0" w:rsidRDefault="008C63E0" w:rsidP="008C63E0">
      <w:pPr>
        <w:pStyle w:val="Behzottbekezdsnmhh"/>
        <w:keepNext/>
        <w:tabs>
          <w:tab w:val="left" w:pos="977"/>
        </w:tabs>
      </w:pPr>
      <w:r>
        <w:rPr>
          <w:noProof/>
          <w:lang w:eastAsia="hu-HU"/>
        </w:rPr>
        <w:drawing>
          <wp:inline distT="0" distB="0" distL="0" distR="0" wp14:anchorId="48DFF7EC" wp14:editId="5FF1AF8C">
            <wp:extent cx="4888865" cy="1578477"/>
            <wp:effectExtent l="0" t="0" r="0" b="0"/>
            <wp:docPr id="9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1525" cy="1585793"/>
                    </a:xfrm>
                    <a:prstGeom prst="rect">
                      <a:avLst/>
                    </a:prstGeom>
                    <a:noFill/>
                    <a:ln>
                      <a:noFill/>
                    </a:ln>
                  </pic:spPr>
                </pic:pic>
              </a:graphicData>
            </a:graphic>
          </wp:inline>
        </w:drawing>
      </w:r>
    </w:p>
    <w:p w14:paraId="7B358AB3" w14:textId="53A6C4C5" w:rsidR="008C63E0" w:rsidRDefault="00A54AD1" w:rsidP="008C63E0">
      <w:pPr>
        <w:pStyle w:val="Kpalrs"/>
        <w:jc w:val="center"/>
      </w:pPr>
      <w:r>
        <w:rPr>
          <w:lang w:val="en-GB"/>
        </w:rPr>
        <w:t xml:space="preserve">Figure </w:t>
      </w:r>
      <w:r>
        <w:rPr>
          <w:lang w:val="en-GB"/>
        </w:rPr>
        <w:fldChar w:fldCharType="begin"/>
      </w:r>
      <w:r>
        <w:rPr>
          <w:lang w:val="en-GB"/>
        </w:rPr>
        <w:instrText xml:space="preserve"> SEQ ábra \* ARABIC </w:instrText>
      </w:r>
      <w:r>
        <w:rPr>
          <w:lang w:val="en-GB"/>
        </w:rPr>
        <w:fldChar w:fldCharType="separate"/>
      </w:r>
      <w:r>
        <w:rPr>
          <w:noProof/>
          <w:lang w:val="en-GB"/>
        </w:rPr>
        <w:t>2</w:t>
      </w:r>
      <w:r>
        <w:rPr>
          <w:noProof/>
          <w:lang w:val="en-GB"/>
        </w:rPr>
        <w:fldChar w:fldCharType="end"/>
      </w:r>
      <w:r>
        <w:rPr>
          <w:lang w:val="en-GB"/>
        </w:rPr>
        <w:t xml:space="preserve"> Synchronization options for outdoor installation and co-channel use (source: ECC Report 307)</w:t>
      </w:r>
    </w:p>
    <w:p w14:paraId="5016F05C" w14:textId="77777777" w:rsidR="008C63E0" w:rsidRPr="003905C6" w:rsidRDefault="008C63E0" w:rsidP="008C63E0"/>
    <w:p w14:paraId="1B0FD2AA" w14:textId="77777777" w:rsidR="008C63E0" w:rsidRDefault="008C63E0" w:rsidP="00172E2E">
      <w:pPr>
        <w:pStyle w:val="Behzottbekezdsnmhh"/>
        <w:keepNext/>
        <w:tabs>
          <w:tab w:val="left" w:pos="977"/>
        </w:tabs>
        <w:jc w:val="center"/>
      </w:pPr>
      <w:r>
        <w:rPr>
          <w:noProof/>
          <w:lang w:eastAsia="hu-HU"/>
        </w:rPr>
        <w:drawing>
          <wp:inline distT="0" distB="0" distL="0" distR="0" wp14:anchorId="7D106E10" wp14:editId="54A77466">
            <wp:extent cx="4619625" cy="1880685"/>
            <wp:effectExtent l="0" t="0" r="0" b="0"/>
            <wp:docPr id="93"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9023" cy="1888582"/>
                    </a:xfrm>
                    <a:prstGeom prst="rect">
                      <a:avLst/>
                    </a:prstGeom>
                    <a:noFill/>
                    <a:ln>
                      <a:noFill/>
                    </a:ln>
                  </pic:spPr>
                </pic:pic>
              </a:graphicData>
            </a:graphic>
          </wp:inline>
        </w:drawing>
      </w:r>
    </w:p>
    <w:p w14:paraId="4911840C" w14:textId="1EA2C1E7" w:rsidR="008C63E0" w:rsidRDefault="00A54AD1" w:rsidP="008C63E0">
      <w:pPr>
        <w:pStyle w:val="Kpalrs"/>
        <w:jc w:val="center"/>
      </w:pPr>
      <w:r>
        <w:rPr>
          <w:lang w:val="en-GB"/>
        </w:rPr>
        <w:t xml:space="preserve">Figure </w:t>
      </w:r>
      <w:r>
        <w:rPr>
          <w:lang w:val="en-GB"/>
        </w:rPr>
        <w:fldChar w:fldCharType="begin"/>
      </w:r>
      <w:r>
        <w:rPr>
          <w:lang w:val="en-GB"/>
        </w:rPr>
        <w:instrText xml:space="preserve"> SEQ ábra \* ARABIC </w:instrText>
      </w:r>
      <w:r>
        <w:rPr>
          <w:lang w:val="en-GB"/>
        </w:rPr>
        <w:fldChar w:fldCharType="separate"/>
      </w:r>
      <w:r>
        <w:rPr>
          <w:noProof/>
          <w:lang w:val="en-GB"/>
        </w:rPr>
        <w:t>3</w:t>
      </w:r>
      <w:r>
        <w:rPr>
          <w:noProof/>
          <w:lang w:val="en-GB"/>
        </w:rPr>
        <w:fldChar w:fldCharType="end"/>
      </w:r>
      <w:r>
        <w:rPr>
          <w:lang w:val="en-GB"/>
        </w:rPr>
        <w:t xml:space="preserve"> Synchronization options for outdoor installation and adjacent-channel use (source: ECC Report 307)</w:t>
      </w:r>
    </w:p>
    <w:p w14:paraId="645F3249" w14:textId="1053B279" w:rsidR="008C63E0" w:rsidRDefault="008C63E0" w:rsidP="008C63E0">
      <w:pPr>
        <w:pStyle w:val="Cmsor4szmozottnmhh"/>
        <w:numPr>
          <w:ilvl w:val="4"/>
          <w:numId w:val="29"/>
        </w:numPr>
      </w:pPr>
      <w:r>
        <w:rPr>
          <w:bCs/>
          <w:lang w:val="en-GB"/>
        </w:rPr>
        <w:t xml:space="preserve">Licensing </w:t>
      </w:r>
      <w:r w:rsidR="00C263F8">
        <w:rPr>
          <w:bCs/>
          <w:lang w:val="en-GB"/>
        </w:rPr>
        <w:t>issue</w:t>
      </w:r>
    </w:p>
    <w:p w14:paraId="33190272" w14:textId="111A09A7" w:rsidR="008C63E0" w:rsidRPr="00281C63" w:rsidRDefault="008C63E0" w:rsidP="008C63E0">
      <w:pPr>
        <w:pStyle w:val="Behzottbekezdsnmhh"/>
        <w:tabs>
          <w:tab w:val="left" w:pos="977"/>
        </w:tabs>
      </w:pPr>
      <w:r>
        <w:rPr>
          <w:lang w:val="en-GB"/>
        </w:rPr>
        <w:t>The least restrictive technical conditions (LRTC) associated with the use of the 26 GHz frequency band (24.25-27.5 GHz</w:t>
      </w:r>
      <w:r>
        <w:rPr>
          <w:rStyle w:val="Lbjegyzet-hivatkozs"/>
          <w:lang w:val="en-GB"/>
        </w:rPr>
        <w:footnoteReference w:id="34"/>
      </w:r>
      <w:r>
        <w:rPr>
          <w:lang w:val="en-GB"/>
        </w:rPr>
        <w:t xml:space="preserve">) for MFCN purposes were based on use subject to individual licensing, taking into account passive services in adjacent frequency bands. Various recommendations and reports on co-existence with the applications of other services operating in the frequency band have been drawn </w:t>
      </w:r>
      <w:r>
        <w:rPr>
          <w:lang w:val="en-GB"/>
        </w:rPr>
        <w:lastRenderedPageBreak/>
        <w:t xml:space="preserve">up, providing guidance on how to proceed if Member States wish to introduce MFCN systems in the frequency band alongside other existing applications. When adopting the Commission Implementing Decision containing harmonised band use conditions for MFCN systems at European level, the Commission also </w:t>
      </w:r>
      <w:r w:rsidR="00996248">
        <w:rPr>
          <w:lang w:val="en-GB"/>
        </w:rPr>
        <w:t xml:space="preserve">mandated </w:t>
      </w:r>
      <w:r>
        <w:rPr>
          <w:lang w:val="en-GB"/>
        </w:rPr>
        <w:t xml:space="preserve">the CEPT to study the use of </w:t>
      </w:r>
      <w:r w:rsidR="00801917">
        <w:rPr>
          <w:lang w:val="en-GB"/>
        </w:rPr>
        <w:t xml:space="preserve">authorisation regimes </w:t>
      </w:r>
      <w:r>
        <w:rPr>
          <w:lang w:val="en-GB"/>
        </w:rPr>
        <w:t>other than individual licensing.</w:t>
      </w:r>
    </w:p>
    <w:p w14:paraId="617FA6C7" w14:textId="0B0F9B34" w:rsidR="008C63E0" w:rsidRDefault="008C63E0" w:rsidP="008C63E0">
      <w:pPr>
        <w:pStyle w:val="Behzottbekezdsnmhh"/>
        <w:tabs>
          <w:tab w:val="left" w:pos="977"/>
        </w:tabs>
      </w:pPr>
      <w:r>
        <w:rPr>
          <w:lang w:val="en-GB"/>
        </w:rPr>
        <w:t>Developed by the ECC/PT1 Working Group, ECC Report 317</w:t>
      </w:r>
      <w:r>
        <w:rPr>
          <w:rStyle w:val="Lbjegyzet-hivatkozs"/>
          <w:lang w:val="en-GB"/>
        </w:rPr>
        <w:footnoteReference w:id="35"/>
      </w:r>
      <w:r>
        <w:rPr>
          <w:lang w:val="en-GB"/>
        </w:rPr>
        <w:t xml:space="preserve"> provides information to administrations on the conditions of co-existence with other services in the case of </w:t>
      </w:r>
      <w:r w:rsidR="00801917">
        <w:rPr>
          <w:lang w:val="en-GB"/>
        </w:rPr>
        <w:t>authorisation regimes</w:t>
      </w:r>
      <w:r>
        <w:rPr>
          <w:lang w:val="en-GB"/>
        </w:rPr>
        <w:t xml:space="preserve"> other than the individual licensing procedure </w:t>
      </w:r>
      <w:r w:rsidR="00801917">
        <w:rPr>
          <w:lang w:val="en-GB"/>
        </w:rPr>
        <w:t>commonly applied</w:t>
      </w:r>
      <w:r>
        <w:rPr>
          <w:lang w:val="en-GB"/>
        </w:rPr>
        <w:t xml:space="preserve"> </w:t>
      </w:r>
      <w:r w:rsidR="00801917">
        <w:rPr>
          <w:lang w:val="en-GB"/>
        </w:rPr>
        <w:t xml:space="preserve">in case of </w:t>
      </w:r>
      <w:r>
        <w:rPr>
          <w:lang w:val="en-GB"/>
        </w:rPr>
        <w:t xml:space="preserve">MFCN systems. A good overview of the </w:t>
      </w:r>
      <w:r w:rsidR="00E45890">
        <w:rPr>
          <w:lang w:val="en-GB"/>
        </w:rPr>
        <w:t>authorisation regimes</w:t>
      </w:r>
      <w:r>
        <w:rPr>
          <w:lang w:val="en-GB"/>
        </w:rPr>
        <w:t xml:space="preserve"> is provided with the table in ECC Report 132, the findings and results of which have been used in the development of ECC Report 317.</w:t>
      </w:r>
    </w:p>
    <w:tbl>
      <w:tblPr>
        <w:tblW w:w="934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344"/>
        <w:gridCol w:w="2331"/>
        <w:gridCol w:w="2331"/>
        <w:gridCol w:w="2340"/>
      </w:tblGrid>
      <w:tr w:rsidR="008C63E0" w:rsidRPr="00742FDE" w14:paraId="19A2FB2E" w14:textId="77777777" w:rsidTr="00A56D0C">
        <w:trPr>
          <w:trHeight w:val="481"/>
          <w:jc w:val="center"/>
        </w:trPr>
        <w:tc>
          <w:tcPr>
            <w:tcW w:w="4675" w:type="dxa"/>
            <w:gridSpan w:val="2"/>
            <w:shd w:val="clear" w:color="auto" w:fill="95B3D7" w:themeFill="accent1" w:themeFillTint="99"/>
          </w:tcPr>
          <w:p w14:paraId="792E188D" w14:textId="63A5403D" w:rsidR="008C63E0" w:rsidRPr="00C96C83" w:rsidRDefault="008C63E0" w:rsidP="00BA6C5D">
            <w:pPr>
              <w:pStyle w:val="ECCFiguregraphcentered"/>
              <w:spacing w:before="120" w:after="120"/>
              <w:rPr>
                <w:noProof w:val="0"/>
                <w:lang w:val="en-US"/>
              </w:rPr>
            </w:pPr>
            <w:r>
              <w:rPr>
                <w:rStyle w:val="ECCHLbold"/>
                <w:bCs/>
                <w:noProof w:val="0"/>
                <w:lang w:val="en-GB"/>
              </w:rPr>
              <w:t xml:space="preserve">Individual </w:t>
            </w:r>
            <w:r w:rsidR="00BA6C5D">
              <w:rPr>
                <w:rStyle w:val="ECCHLbold"/>
                <w:bCs/>
                <w:noProof w:val="0"/>
                <w:lang w:val="en-GB"/>
              </w:rPr>
              <w:t>authorisation</w:t>
            </w:r>
            <w:r>
              <w:rPr>
                <w:rStyle w:val="ECCHLbold"/>
                <w:b w:val="0"/>
                <w:lang w:val="en-GB"/>
              </w:rPr>
              <w:br/>
            </w:r>
            <w:r>
              <w:rPr>
                <w:noProof w:val="0"/>
                <w:lang w:val="en-GB"/>
              </w:rPr>
              <w:t>(Individual radio spectrum usage rights)</w:t>
            </w:r>
          </w:p>
        </w:tc>
        <w:tc>
          <w:tcPr>
            <w:tcW w:w="4671" w:type="dxa"/>
            <w:gridSpan w:val="2"/>
            <w:shd w:val="clear" w:color="auto" w:fill="95B3D7" w:themeFill="accent1" w:themeFillTint="99"/>
          </w:tcPr>
          <w:p w14:paraId="7870C784" w14:textId="4ABBFF8C" w:rsidR="008C63E0" w:rsidRPr="00C96C83" w:rsidRDefault="008C63E0" w:rsidP="00BA6C5D">
            <w:pPr>
              <w:pStyle w:val="ECCFiguregraphcentered"/>
              <w:spacing w:before="120" w:after="120"/>
              <w:rPr>
                <w:noProof w:val="0"/>
                <w:lang w:val="en-US"/>
              </w:rPr>
            </w:pPr>
            <w:r>
              <w:rPr>
                <w:rStyle w:val="ECCHLbold"/>
                <w:bCs/>
                <w:noProof w:val="0"/>
                <w:lang w:val="en-GB"/>
              </w:rPr>
              <w:t xml:space="preserve">General </w:t>
            </w:r>
            <w:r w:rsidR="00BA6C5D">
              <w:rPr>
                <w:rStyle w:val="ECCHLbold"/>
                <w:bCs/>
                <w:noProof w:val="0"/>
                <w:lang w:val="en-GB"/>
              </w:rPr>
              <w:t>authorisation</w:t>
            </w:r>
            <w:r>
              <w:rPr>
                <w:rStyle w:val="ECCHLbold"/>
                <w:b w:val="0"/>
                <w:lang w:val="en-GB"/>
              </w:rPr>
              <w:br/>
            </w:r>
            <w:r>
              <w:rPr>
                <w:noProof w:val="0"/>
                <w:lang w:val="en-GB"/>
              </w:rPr>
              <w:t>(Not individual radio spectrum usage rights)</w:t>
            </w:r>
          </w:p>
        </w:tc>
      </w:tr>
      <w:tr w:rsidR="008C63E0" w:rsidRPr="00742FDE" w14:paraId="1E6B247B" w14:textId="77777777" w:rsidTr="00A56D0C">
        <w:trPr>
          <w:trHeight w:val="465"/>
          <w:jc w:val="center"/>
        </w:trPr>
        <w:tc>
          <w:tcPr>
            <w:tcW w:w="2344" w:type="dxa"/>
            <w:shd w:val="clear" w:color="auto" w:fill="95B3D7" w:themeFill="accent1" w:themeFillTint="99"/>
          </w:tcPr>
          <w:p w14:paraId="1C8AE0AA" w14:textId="77777777" w:rsidR="008C63E0" w:rsidRPr="00A56D0C" w:rsidRDefault="008C63E0" w:rsidP="00414891">
            <w:pPr>
              <w:pStyle w:val="ECCFiguregraphcentered"/>
              <w:spacing w:before="120" w:after="120"/>
            </w:pPr>
            <w:r>
              <w:rPr>
                <w:rStyle w:val="ECCHLbold"/>
                <w:bCs/>
                <w:noProof w:val="0"/>
                <w:lang w:val="en-GB"/>
              </w:rPr>
              <w:t>Individual licensing</w:t>
            </w:r>
            <w:r>
              <w:rPr>
                <w:rStyle w:val="ECCHLbold"/>
                <w:b w:val="0"/>
                <w:lang w:val="en-GB"/>
              </w:rPr>
              <w:br/>
            </w:r>
          </w:p>
        </w:tc>
        <w:tc>
          <w:tcPr>
            <w:tcW w:w="4662" w:type="dxa"/>
            <w:gridSpan w:val="2"/>
            <w:shd w:val="clear" w:color="auto" w:fill="95B3D7" w:themeFill="accent1" w:themeFillTint="99"/>
          </w:tcPr>
          <w:p w14:paraId="16D9A224" w14:textId="671F8DF7" w:rsidR="008C63E0" w:rsidRPr="00A56D0C" w:rsidRDefault="00E45890" w:rsidP="00414891">
            <w:pPr>
              <w:pStyle w:val="ECCFiguregraphcentered"/>
              <w:spacing w:before="120" w:after="120"/>
              <w:rPr>
                <w:rStyle w:val="ECCHLbold"/>
                <w:noProof w:val="0"/>
              </w:rPr>
            </w:pPr>
            <w:r>
              <w:rPr>
                <w:rStyle w:val="ECCHLbold"/>
                <w:bCs/>
                <w:noProof w:val="0"/>
                <w:lang w:val="en-GB"/>
              </w:rPr>
              <w:t>Light-</w:t>
            </w:r>
            <w:r w:rsidR="008C63E0">
              <w:rPr>
                <w:rStyle w:val="ECCHLbold"/>
                <w:bCs/>
                <w:noProof w:val="0"/>
                <w:lang w:val="en-GB"/>
              </w:rPr>
              <w:t>licensing</w:t>
            </w:r>
          </w:p>
        </w:tc>
        <w:tc>
          <w:tcPr>
            <w:tcW w:w="2340" w:type="dxa"/>
            <w:shd w:val="clear" w:color="auto" w:fill="95B3D7" w:themeFill="accent1" w:themeFillTint="99"/>
          </w:tcPr>
          <w:p w14:paraId="362E0463" w14:textId="7C1C34FA" w:rsidR="008C63E0" w:rsidRPr="00A56D0C" w:rsidRDefault="00E45890" w:rsidP="00414891">
            <w:pPr>
              <w:pStyle w:val="ECCFiguregraphcentered"/>
              <w:spacing w:before="120" w:after="120"/>
              <w:rPr>
                <w:rStyle w:val="ECCHLbold"/>
                <w:noProof w:val="0"/>
              </w:rPr>
            </w:pPr>
            <w:r>
              <w:rPr>
                <w:rStyle w:val="ECCHLbold"/>
                <w:bCs/>
                <w:noProof w:val="0"/>
                <w:lang w:val="en-GB"/>
              </w:rPr>
              <w:t>Licence-exempt</w:t>
            </w:r>
          </w:p>
        </w:tc>
      </w:tr>
      <w:tr w:rsidR="008C63E0" w:rsidRPr="00742FDE" w14:paraId="1CBE9CCC" w14:textId="77777777" w:rsidTr="00A56D0C">
        <w:trPr>
          <w:trHeight w:val="1624"/>
          <w:jc w:val="center"/>
        </w:trPr>
        <w:tc>
          <w:tcPr>
            <w:tcW w:w="2344" w:type="dxa"/>
          </w:tcPr>
          <w:p w14:paraId="0F634659" w14:textId="77777777" w:rsidR="008C63E0" w:rsidRPr="00AA4778" w:rsidRDefault="008C63E0" w:rsidP="00414891">
            <w:pPr>
              <w:pStyle w:val="ECCTabletext"/>
              <w:jc w:val="left"/>
            </w:pPr>
            <w:r>
              <w:t>Individual frequency planning / coordination</w:t>
            </w:r>
          </w:p>
          <w:p w14:paraId="6E8E78A1" w14:textId="77777777" w:rsidR="008C63E0" w:rsidRPr="00AA4778" w:rsidRDefault="008C63E0" w:rsidP="00414891">
            <w:pPr>
              <w:pStyle w:val="ECCTabletext"/>
              <w:jc w:val="left"/>
            </w:pPr>
            <w:r>
              <w:t>“Traditional licensing procedure”</w:t>
            </w:r>
          </w:p>
        </w:tc>
        <w:tc>
          <w:tcPr>
            <w:tcW w:w="2331" w:type="dxa"/>
          </w:tcPr>
          <w:p w14:paraId="6AB6B072" w14:textId="77777777" w:rsidR="008C63E0" w:rsidRPr="009E7932" w:rsidRDefault="008C63E0" w:rsidP="00414891">
            <w:pPr>
              <w:pStyle w:val="ECCTabletext"/>
              <w:jc w:val="left"/>
            </w:pPr>
            <w:r>
              <w:t xml:space="preserve">Individual frequency planning / coordination </w:t>
            </w:r>
          </w:p>
          <w:p w14:paraId="7D9BFE45" w14:textId="042F74A7" w:rsidR="008C63E0" w:rsidRPr="009E7932" w:rsidRDefault="008C63E0" w:rsidP="00414891">
            <w:pPr>
              <w:pStyle w:val="ECCTabletext"/>
              <w:jc w:val="left"/>
            </w:pPr>
            <w:r>
              <w:t>Simplified licensing procedure</w:t>
            </w:r>
          </w:p>
          <w:p w14:paraId="64769CBE" w14:textId="77777777" w:rsidR="008C63E0" w:rsidRPr="009E7932" w:rsidRDefault="008C63E0" w:rsidP="00414891">
            <w:pPr>
              <w:pStyle w:val="ECCTabletext"/>
              <w:jc w:val="left"/>
            </w:pPr>
            <w:r>
              <w:t>Number of frequency users is limited</w:t>
            </w:r>
          </w:p>
        </w:tc>
        <w:tc>
          <w:tcPr>
            <w:tcW w:w="2331" w:type="dxa"/>
          </w:tcPr>
          <w:p w14:paraId="356812A5" w14:textId="77777777" w:rsidR="008C63E0" w:rsidRPr="009E7932" w:rsidRDefault="008C63E0" w:rsidP="00414891">
            <w:pPr>
              <w:pStyle w:val="ECCTabletext"/>
              <w:jc w:val="left"/>
            </w:pPr>
            <w:r>
              <w:t>No individual frequency planning / coordination</w:t>
            </w:r>
          </w:p>
          <w:p w14:paraId="74A013D0" w14:textId="696CA67F" w:rsidR="008C63E0" w:rsidRPr="009E7932" w:rsidRDefault="008C63E0" w:rsidP="00414891">
            <w:pPr>
              <w:pStyle w:val="ECCTabletext"/>
              <w:jc w:val="left"/>
            </w:pPr>
            <w:r>
              <w:t>Notification and</w:t>
            </w:r>
            <w:r w:rsidR="00E45890">
              <w:t>/or</w:t>
            </w:r>
            <w:r>
              <w:t xml:space="preserve"> registration of stations</w:t>
            </w:r>
          </w:p>
          <w:p w14:paraId="3C250487" w14:textId="77777777" w:rsidR="008C63E0" w:rsidRPr="009E7932" w:rsidRDefault="008C63E0" w:rsidP="00414891">
            <w:pPr>
              <w:pStyle w:val="ECCTabletext"/>
              <w:jc w:val="left"/>
            </w:pPr>
            <w:r>
              <w:t>No limitation on the number of users, no need for coordination</w:t>
            </w:r>
          </w:p>
        </w:tc>
        <w:tc>
          <w:tcPr>
            <w:tcW w:w="2340" w:type="dxa"/>
          </w:tcPr>
          <w:p w14:paraId="732B9385" w14:textId="77777777" w:rsidR="008C63E0" w:rsidRPr="009E7932" w:rsidRDefault="008C63E0" w:rsidP="00414891">
            <w:pPr>
              <w:pStyle w:val="ECCTabletext"/>
              <w:jc w:val="left"/>
            </w:pPr>
            <w:r>
              <w:t>No individual frequency planning / coordination</w:t>
            </w:r>
          </w:p>
          <w:p w14:paraId="69C74568" w14:textId="78279CFD" w:rsidR="008C63E0" w:rsidRPr="009E7932" w:rsidRDefault="008C63E0" w:rsidP="00E45890">
            <w:pPr>
              <w:pStyle w:val="ECCTabletext"/>
              <w:keepNext/>
              <w:jc w:val="left"/>
            </w:pPr>
            <w:r>
              <w:t xml:space="preserve">No notification </w:t>
            </w:r>
            <w:r w:rsidR="00E45890">
              <w:t xml:space="preserve">nor </w:t>
            </w:r>
            <w:r>
              <w:t>registration of stations</w:t>
            </w:r>
          </w:p>
        </w:tc>
      </w:tr>
    </w:tbl>
    <w:p w14:paraId="5791F4CE" w14:textId="6460A8D9" w:rsidR="008C63E0" w:rsidRDefault="00A54AD1" w:rsidP="008C63E0">
      <w:pPr>
        <w:pStyle w:val="Kpalrs"/>
        <w:jc w:val="center"/>
      </w:pPr>
      <w:r>
        <w:rPr>
          <w:lang w:val="en-GB"/>
        </w:rPr>
        <w:t xml:space="preserve">Table </w:t>
      </w:r>
      <w:r>
        <w:rPr>
          <w:lang w:val="en-GB"/>
        </w:rPr>
        <w:fldChar w:fldCharType="begin"/>
      </w:r>
      <w:r>
        <w:rPr>
          <w:lang w:val="en-GB"/>
        </w:rPr>
        <w:instrText xml:space="preserve"> SEQ Táblázat \* ARABIC </w:instrText>
      </w:r>
      <w:r>
        <w:rPr>
          <w:lang w:val="en-GB"/>
        </w:rPr>
        <w:fldChar w:fldCharType="separate"/>
      </w:r>
      <w:r>
        <w:rPr>
          <w:noProof/>
          <w:lang w:val="en-GB"/>
        </w:rPr>
        <w:t>1</w:t>
      </w:r>
      <w:r>
        <w:rPr>
          <w:noProof/>
          <w:lang w:val="en-GB"/>
        </w:rPr>
        <w:fldChar w:fldCharType="end"/>
      </w:r>
      <w:r>
        <w:rPr>
          <w:lang w:val="en-GB"/>
        </w:rPr>
        <w:t xml:space="preserve"> Licensing </w:t>
      </w:r>
      <w:r w:rsidR="00E45890">
        <w:rPr>
          <w:lang w:val="en-GB"/>
        </w:rPr>
        <w:t xml:space="preserve">regimes </w:t>
      </w:r>
      <w:r>
        <w:rPr>
          <w:lang w:val="en-GB"/>
        </w:rPr>
        <w:t xml:space="preserve">(source: ECC Report 132 </w:t>
      </w:r>
      <w:r>
        <w:rPr>
          <w:rStyle w:val="Lbjegyzet-hivatkozs"/>
          <w:lang w:val="en-GB"/>
        </w:rPr>
        <w:footnoteReference w:id="36"/>
      </w:r>
      <w:r>
        <w:rPr>
          <w:lang w:val="en-GB"/>
        </w:rPr>
        <w:t>)</w:t>
      </w:r>
    </w:p>
    <w:p w14:paraId="0984C2F3" w14:textId="5F0CA992" w:rsidR="008C63E0" w:rsidRPr="00CB59D1" w:rsidRDefault="00EB3D55" w:rsidP="008C63E0">
      <w:pPr>
        <w:pStyle w:val="Behzottbekezdsnmhh"/>
        <w:tabs>
          <w:tab w:val="left" w:pos="977"/>
        </w:tabs>
      </w:pPr>
      <w:r>
        <w:rPr>
          <w:lang w:val="en-GB"/>
        </w:rPr>
        <w:t xml:space="preserve">According to ECC Report 317, several </w:t>
      </w:r>
      <w:r w:rsidR="00644AAD">
        <w:rPr>
          <w:lang w:val="en-GB"/>
        </w:rPr>
        <w:t xml:space="preserve">authorisation </w:t>
      </w:r>
      <w:r>
        <w:rPr>
          <w:lang w:val="en-GB"/>
        </w:rPr>
        <w:t>regimes can be used in the 26 GHz band. Nation</w:t>
      </w:r>
      <w:r w:rsidR="00644AAD">
        <w:rPr>
          <w:lang w:val="en-GB"/>
        </w:rPr>
        <w:t>wide</w:t>
      </w:r>
      <w:r>
        <w:rPr>
          <w:lang w:val="en-GB"/>
        </w:rPr>
        <w:t xml:space="preserve"> and local radio spectrum usage rights can be </w:t>
      </w:r>
      <w:r w:rsidR="00644AAD">
        <w:rPr>
          <w:lang w:val="en-GB"/>
        </w:rPr>
        <w:t xml:space="preserve">distributed </w:t>
      </w:r>
      <w:r>
        <w:rPr>
          <w:lang w:val="en-GB"/>
        </w:rPr>
        <w:t xml:space="preserve">through the “traditional” individual licensing method. In the latter case, the </w:t>
      </w:r>
      <w:r w:rsidR="00D671B6">
        <w:rPr>
          <w:lang w:val="en-GB"/>
        </w:rPr>
        <w:t>entitlement to radio spectrum</w:t>
      </w:r>
      <w:r>
        <w:rPr>
          <w:lang w:val="en-GB"/>
        </w:rPr>
        <w:t xml:space="preserve"> use </w:t>
      </w:r>
      <w:r w:rsidR="00D671B6">
        <w:rPr>
          <w:lang w:val="en-GB"/>
        </w:rPr>
        <w:t xml:space="preserve">of the right holder </w:t>
      </w:r>
      <w:r>
        <w:rPr>
          <w:lang w:val="en-GB"/>
        </w:rPr>
        <w:t xml:space="preserve">is limited to a smaller area. In the case of </w:t>
      </w:r>
      <w:r w:rsidR="00D671B6">
        <w:rPr>
          <w:lang w:val="en-GB"/>
        </w:rPr>
        <w:t xml:space="preserve">light </w:t>
      </w:r>
      <w:r>
        <w:rPr>
          <w:lang w:val="en-GB"/>
        </w:rPr>
        <w:t>licensing, individual and general licences can be issued. In the former case, the number of licence holders is limited and frequency planning is necessary, while in the latter case these are not relevant, but the stations must be registered, which provides a kind of control over deployments. In unlicensed cases, stations operated in accordance with the prescribed rules cannot cause interference to</w:t>
      </w:r>
      <w:r w:rsidR="00D671B6">
        <w:rPr>
          <w:lang w:val="en-GB"/>
        </w:rPr>
        <w:t>,</w:t>
      </w:r>
      <w:r>
        <w:rPr>
          <w:lang w:val="en-GB"/>
        </w:rPr>
        <w:t xml:space="preserve"> </w:t>
      </w:r>
      <w:r w:rsidR="00D671B6">
        <w:rPr>
          <w:lang w:val="en-GB"/>
        </w:rPr>
        <w:t xml:space="preserve">nor claim protection from </w:t>
      </w:r>
      <w:r>
        <w:rPr>
          <w:lang w:val="en-GB"/>
        </w:rPr>
        <w:t xml:space="preserve">other applications. The various licensing methods may also be combined within a band, either in frequency or in space, or </w:t>
      </w:r>
      <w:r w:rsidR="00DD54AF">
        <w:rPr>
          <w:lang w:val="en-GB"/>
        </w:rPr>
        <w:t>depending on</w:t>
      </w:r>
      <w:r w:rsidR="00D671B6">
        <w:rPr>
          <w:lang w:val="en-GB"/>
        </w:rPr>
        <w:t xml:space="preserve"> the type of applications</w:t>
      </w:r>
      <w:r>
        <w:rPr>
          <w:lang w:val="en-GB"/>
        </w:rPr>
        <w:t xml:space="preserve"> in case of shared use. </w:t>
      </w:r>
    </w:p>
    <w:p w14:paraId="45379C40" w14:textId="77777777" w:rsidR="008C63E0" w:rsidRDefault="008C63E0" w:rsidP="008C63E0">
      <w:pPr>
        <w:pStyle w:val="Behzottbekezdsnmhh"/>
        <w:tabs>
          <w:tab w:val="left" w:pos="977"/>
        </w:tabs>
      </w:pPr>
    </w:p>
    <w:p w14:paraId="01721108" w14:textId="77777777" w:rsidR="008C63E0" w:rsidRDefault="008C63E0" w:rsidP="008C63E0">
      <w:pPr>
        <w:pStyle w:val="Cmsor3szmozottnmhh"/>
        <w:keepNext/>
        <w:ind w:left="1996"/>
      </w:pPr>
      <w:bookmarkStart w:id="27" w:name="_Toc92461621"/>
      <w:bookmarkStart w:id="28" w:name="_Toc26254668"/>
      <w:bookmarkStart w:id="29" w:name="_Toc98343978"/>
      <w:r>
        <w:rPr>
          <w:bCs/>
          <w:lang w:val="en-GB"/>
        </w:rPr>
        <w:t>EU</w:t>
      </w:r>
      <w:bookmarkEnd w:id="21"/>
      <w:bookmarkEnd w:id="27"/>
      <w:bookmarkEnd w:id="28"/>
      <w:bookmarkEnd w:id="29"/>
    </w:p>
    <w:p w14:paraId="100401DA" w14:textId="4F0432C2" w:rsidR="008C63E0" w:rsidRPr="002D6853" w:rsidRDefault="008C63E0" w:rsidP="008C63E0">
      <w:pPr>
        <w:pStyle w:val="Behzottbekezdsnmhh"/>
      </w:pPr>
      <w:r>
        <w:rPr>
          <w:lang w:val="en-GB"/>
        </w:rPr>
        <w:t xml:space="preserve">The first document published by the European Commission on the regulation of future 5G systems is the CEPT mandate based on the RSPG’s </w:t>
      </w:r>
      <w:r w:rsidR="00793D16">
        <w:rPr>
          <w:lang w:val="en-GB"/>
        </w:rPr>
        <w:t xml:space="preserve">opinion </w:t>
      </w:r>
      <w:r>
        <w:rPr>
          <w:lang w:val="en-GB"/>
        </w:rPr>
        <w:t>on 5G spectrum issues</w:t>
      </w:r>
      <w:r>
        <w:rPr>
          <w:rStyle w:val="Lbjegyzet-hivatkozs"/>
          <w:lang w:val="en-GB"/>
        </w:rPr>
        <w:footnoteReference w:id="37"/>
      </w:r>
      <w:r>
        <w:rPr>
          <w:lang w:val="en-GB"/>
        </w:rPr>
        <w:t xml:space="preserve">, in which the Commission </w:t>
      </w:r>
      <w:r w:rsidR="00996248">
        <w:rPr>
          <w:lang w:val="en-GB"/>
        </w:rPr>
        <w:t xml:space="preserve">mandated </w:t>
      </w:r>
      <w:r>
        <w:rPr>
          <w:lang w:val="en-GB"/>
        </w:rPr>
        <w:t>the CEPT to study potential 5G frequency bands.</w:t>
      </w:r>
    </w:p>
    <w:p w14:paraId="04C7C68A" w14:textId="30E45326" w:rsidR="008C63E0" w:rsidRDefault="008C63E0" w:rsidP="008C63E0">
      <w:pPr>
        <w:pStyle w:val="Behzottbekezdsnmhh"/>
      </w:pPr>
      <w:r>
        <w:rPr>
          <w:lang w:val="en-GB"/>
        </w:rPr>
        <w:t>This document set out the following main tasks and deadlines for the CEPT:</w:t>
      </w:r>
    </w:p>
    <w:p w14:paraId="7F185FE7" w14:textId="77777777" w:rsidR="008C63E0" w:rsidRPr="00D404A7" w:rsidRDefault="008C63E0" w:rsidP="008C63E0">
      <w:pPr>
        <w:pStyle w:val="Behzottbekezdsnmhh"/>
        <w:numPr>
          <w:ilvl w:val="0"/>
          <w:numId w:val="78"/>
        </w:numPr>
        <w:rPr>
          <w:i/>
        </w:rPr>
      </w:pPr>
      <w:r>
        <w:rPr>
          <w:lang w:val="en-GB"/>
        </w:rPr>
        <w:t>Review the technical conditions for the 3.4-3.8 GHz frequency band (5G pioneer band) for the applicability of 5G terrestrial wireless systems</w:t>
      </w:r>
    </w:p>
    <w:p w14:paraId="65241937" w14:textId="2EAF7753" w:rsidR="008C63E0" w:rsidRPr="00D404A7" w:rsidRDefault="008C63E0" w:rsidP="008C63E0">
      <w:pPr>
        <w:pStyle w:val="Behzottbekezdsnmhh"/>
        <w:numPr>
          <w:ilvl w:val="0"/>
          <w:numId w:val="78"/>
        </w:numPr>
        <w:rPr>
          <w:i/>
        </w:rPr>
      </w:pPr>
      <w:r>
        <w:rPr>
          <w:lang w:val="en-GB"/>
        </w:rPr>
        <w:lastRenderedPageBreak/>
        <w:t xml:space="preserve">Study the 26 GHz (24.25-27.5 GHz) frequency band (5G pioneer band) </w:t>
      </w:r>
      <w:r w:rsidR="00FA0121">
        <w:rPr>
          <w:lang w:val="en-GB"/>
        </w:rPr>
        <w:t xml:space="preserve">with regard to </w:t>
      </w:r>
      <w:r>
        <w:rPr>
          <w:lang w:val="en-GB"/>
        </w:rPr>
        <w:t>compatibility between 5G systems and systems currently in use</w:t>
      </w:r>
    </w:p>
    <w:p w14:paraId="34E8319E" w14:textId="17A478E7" w:rsidR="008C63E0" w:rsidRPr="00D404A7" w:rsidRDefault="008C63E0" w:rsidP="008C63E0">
      <w:pPr>
        <w:pStyle w:val="Behzottbekezdsnmhh"/>
        <w:numPr>
          <w:ilvl w:val="0"/>
          <w:numId w:val="78"/>
        </w:numPr>
        <w:rPr>
          <w:i/>
        </w:rPr>
      </w:pPr>
      <w:r>
        <w:rPr>
          <w:lang w:val="en-GB"/>
        </w:rPr>
        <w:t xml:space="preserve">Develop new channel arrangement and conditions </w:t>
      </w:r>
      <w:r w:rsidR="00FA0121">
        <w:rPr>
          <w:lang w:val="en-GB"/>
        </w:rPr>
        <w:t>for th</w:t>
      </w:r>
      <w:r w:rsidR="00015B38">
        <w:rPr>
          <w:lang w:val="en-GB"/>
        </w:rPr>
        <w:t>e</w:t>
      </w:r>
      <w:r w:rsidR="00FA0121">
        <w:rPr>
          <w:lang w:val="en-GB"/>
        </w:rPr>
        <w:t xml:space="preserve"> use of the band by</w:t>
      </w:r>
      <w:r>
        <w:rPr>
          <w:lang w:val="en-GB"/>
        </w:rPr>
        <w:t xml:space="preserve"> 5G systems in the 26 GHz frequency band (by taking into account the protection of systems currently in operation)</w:t>
      </w:r>
    </w:p>
    <w:p w14:paraId="4AC43DAF" w14:textId="3AF13138" w:rsidR="008C63E0" w:rsidRPr="00D404A7" w:rsidRDefault="008C63E0" w:rsidP="008C63E0">
      <w:pPr>
        <w:pStyle w:val="Behzottbekezdsnmhh"/>
        <w:numPr>
          <w:ilvl w:val="0"/>
          <w:numId w:val="78"/>
        </w:numPr>
        <w:rPr>
          <w:i/>
        </w:rPr>
      </w:pPr>
      <w:r>
        <w:rPr>
          <w:lang w:val="en-GB"/>
        </w:rPr>
        <w:t xml:space="preserve">Develop conditions for </w:t>
      </w:r>
      <w:r w:rsidR="00FA0121">
        <w:rPr>
          <w:lang w:val="en-GB"/>
        </w:rPr>
        <w:t>the use of the band</w:t>
      </w:r>
      <w:r>
        <w:rPr>
          <w:lang w:val="en-GB"/>
        </w:rPr>
        <w:t xml:space="preserve"> </w:t>
      </w:r>
      <w:r w:rsidR="00FA0121">
        <w:rPr>
          <w:lang w:val="en-GB"/>
        </w:rPr>
        <w:t xml:space="preserve">with respect to </w:t>
      </w:r>
      <w:r>
        <w:rPr>
          <w:lang w:val="en-GB"/>
        </w:rPr>
        <w:t>cross-border coordination</w:t>
      </w:r>
    </w:p>
    <w:p w14:paraId="657F40C2" w14:textId="7852BBE2" w:rsidR="008C63E0" w:rsidRDefault="008C63E0" w:rsidP="008C63E0">
      <w:pPr>
        <w:pStyle w:val="Behzottbekezdsnmhh"/>
      </w:pPr>
      <w:r>
        <w:rPr>
          <w:lang w:val="en-GB"/>
        </w:rPr>
        <w:t>In response to the mandate for the 26 GHz frequency band, CEPT Report 68</w:t>
      </w:r>
      <w:r>
        <w:rPr>
          <w:rStyle w:val="Lbjegyzet-hivatkozs"/>
          <w:lang w:val="en-GB"/>
        </w:rPr>
        <w:footnoteReference w:id="38"/>
      </w:r>
      <w:r>
        <w:rPr>
          <w:lang w:val="en-GB"/>
        </w:rPr>
        <w:t xml:space="preserve"> containing the results of the study was adopted on 6 July 2018. </w:t>
      </w:r>
    </w:p>
    <w:p w14:paraId="5DE438AD" w14:textId="6CBFF3E9" w:rsidR="008C63E0" w:rsidRDefault="008C63E0" w:rsidP="008C63E0">
      <w:pPr>
        <w:pStyle w:val="Behzottbekezdsnmhh"/>
      </w:pPr>
      <w:r>
        <w:rPr>
          <w:lang w:val="en-GB"/>
        </w:rPr>
        <w:t>CEPT Report 68 provided the basis for Decision (EU) 2019/784</w:t>
      </w:r>
      <w:r>
        <w:rPr>
          <w:rStyle w:val="Lbjegyzet-hivatkozs"/>
          <w:lang w:val="en-GB"/>
        </w:rPr>
        <w:t xml:space="preserve"> </w:t>
      </w:r>
      <w:r>
        <w:rPr>
          <w:rStyle w:val="Lbjegyzet-hivatkozs"/>
          <w:lang w:val="en-GB"/>
        </w:rPr>
        <w:footnoteReference w:id="39"/>
      </w:r>
      <w:r>
        <w:rPr>
          <w:lang w:val="en-GB"/>
        </w:rPr>
        <w:t>.</w:t>
      </w:r>
    </w:p>
    <w:p w14:paraId="175F3BC3" w14:textId="7765192C" w:rsidR="008C63E0" w:rsidRDefault="008C63E0" w:rsidP="008C63E0">
      <w:pPr>
        <w:pStyle w:val="Behzottbekezdsnmhh"/>
        <w:rPr>
          <w:u w:val="single"/>
        </w:rPr>
      </w:pPr>
      <w:r>
        <w:rPr>
          <w:u w:val="single"/>
          <w:lang w:val="en-GB"/>
        </w:rPr>
        <w:t>Key points of Decision (EU) 2019/784 as amended by Decision (EU) 2020/590:</w:t>
      </w:r>
    </w:p>
    <w:p w14:paraId="3B84656E" w14:textId="0913D839" w:rsidR="008C63E0" w:rsidRPr="00B62239" w:rsidRDefault="008C63E0" w:rsidP="008C63E0">
      <w:pPr>
        <w:pStyle w:val="Behzottbekezdsnmhh"/>
        <w:numPr>
          <w:ilvl w:val="0"/>
          <w:numId w:val="60"/>
        </w:numPr>
        <w:rPr>
          <w:color w:val="000000"/>
          <w:shd w:val="clear" w:color="auto" w:fill="FFFFFF"/>
        </w:rPr>
      </w:pPr>
      <w:r>
        <w:rPr>
          <w:i/>
          <w:iCs/>
          <w:color w:val="000000"/>
          <w:shd w:val="clear" w:color="auto" w:fill="FFFFFF"/>
          <w:lang w:val="en-GB"/>
        </w:rPr>
        <w:t>Article 1:</w:t>
      </w:r>
      <w:r>
        <w:rPr>
          <w:color w:val="000000"/>
          <w:shd w:val="clear" w:color="auto" w:fill="FFFFFF"/>
          <w:lang w:val="en-GB"/>
        </w:rPr>
        <w:t xml:space="preserve"> This Decision harmonises the essential technical conditions for the availability and efficient use of the 24.25-27.5 GHz frequency band in the Union for terrestrial systems capable of providing wireless broadband electronic communications services.</w:t>
      </w:r>
    </w:p>
    <w:p w14:paraId="613412A3" w14:textId="404362F7" w:rsidR="008C63E0" w:rsidRPr="001C6A13" w:rsidRDefault="008C63E0" w:rsidP="008C63E0">
      <w:pPr>
        <w:pStyle w:val="Behzottbekezdsnmhh"/>
        <w:numPr>
          <w:ilvl w:val="0"/>
          <w:numId w:val="60"/>
        </w:numPr>
        <w:rPr>
          <w:u w:val="single"/>
        </w:rPr>
      </w:pPr>
      <w:r>
        <w:rPr>
          <w:i/>
          <w:iCs/>
          <w:color w:val="000000"/>
          <w:shd w:val="clear" w:color="auto" w:fill="FFFFFF"/>
          <w:lang w:val="en-GB"/>
        </w:rPr>
        <w:t>Article 2:</w:t>
      </w:r>
      <w:r>
        <w:rPr>
          <w:color w:val="000000"/>
          <w:shd w:val="clear" w:color="auto" w:fill="FFFFFF"/>
          <w:lang w:val="en-GB"/>
        </w:rPr>
        <w:t xml:space="preserve"> By 30 March 2020, Member States shall </w:t>
      </w:r>
      <w:r w:rsidR="001A30A6">
        <w:rPr>
          <w:color w:val="000000"/>
          <w:shd w:val="clear" w:color="auto" w:fill="FFFFFF"/>
          <w:lang w:val="en-GB"/>
        </w:rPr>
        <w:t xml:space="preserve">designate </w:t>
      </w:r>
      <w:r>
        <w:rPr>
          <w:color w:val="000000"/>
          <w:shd w:val="clear" w:color="auto" w:fill="FFFFFF"/>
          <w:lang w:val="en-GB"/>
        </w:rPr>
        <w:t>and make available on a non-exclusive basis the 24.25-27.5 GHz frequency band for terrestrial systems capable of providing wireless broadband electronic communications services, in compliance with the essential technical conditions set out in the Annex.</w:t>
      </w:r>
      <w:r>
        <w:rPr>
          <w:sz w:val="19"/>
          <w:szCs w:val="19"/>
          <w:lang w:val="en-GB"/>
        </w:rPr>
        <w:t xml:space="preserve"> </w:t>
      </w:r>
    </w:p>
    <w:p w14:paraId="25BBE3B7" w14:textId="534752D1" w:rsidR="008C63E0" w:rsidRPr="001C6A13" w:rsidRDefault="008C63E0" w:rsidP="008C63E0">
      <w:pPr>
        <w:pStyle w:val="Behzottbekezdsnmhh"/>
        <w:ind w:left="1077" w:firstLine="0"/>
        <w:rPr>
          <w:u w:val="single"/>
        </w:rPr>
      </w:pPr>
      <w:r>
        <w:rPr>
          <w:color w:val="000000"/>
          <w:shd w:val="clear" w:color="auto" w:fill="FFFFFF"/>
          <w:lang w:val="en-GB"/>
        </w:rPr>
        <w:t xml:space="preserve">Depending on the </w:t>
      </w:r>
      <w:r w:rsidR="001A30A6">
        <w:rPr>
          <w:color w:val="000000"/>
          <w:shd w:val="clear" w:color="auto" w:fill="FFFFFF"/>
          <w:lang w:val="en-GB"/>
        </w:rPr>
        <w:t xml:space="preserve">authorisation </w:t>
      </w:r>
      <w:r>
        <w:rPr>
          <w:color w:val="000000"/>
          <w:shd w:val="clear" w:color="auto" w:fill="FFFFFF"/>
          <w:lang w:val="en-GB"/>
        </w:rPr>
        <w:t>regime applied in this band, Member States shall analyse if it is necessary to impose additional technical conditions in order to ensure appropriate co-existence of terrestrial systems capable of providing wireless broadband electronic communications services with other services in the band.</w:t>
      </w:r>
    </w:p>
    <w:p w14:paraId="341B978F" w14:textId="77777777" w:rsidR="008C63E0" w:rsidRDefault="008C63E0" w:rsidP="008C63E0">
      <w:pPr>
        <w:pStyle w:val="Listaszerbekezds"/>
        <w:numPr>
          <w:ilvl w:val="0"/>
          <w:numId w:val="60"/>
        </w:numPr>
        <w:shd w:val="clear" w:color="auto" w:fill="FFFFFF"/>
        <w:spacing w:before="120" w:after="0" w:line="240" w:lineRule="auto"/>
        <w:rPr>
          <w:color w:val="000000"/>
          <w:sz w:val="20"/>
          <w:szCs w:val="20"/>
          <w:shd w:val="clear" w:color="auto" w:fill="FFFFFF"/>
        </w:rPr>
      </w:pPr>
      <w:r>
        <w:rPr>
          <w:i/>
          <w:iCs/>
          <w:color w:val="000000"/>
          <w:sz w:val="20"/>
          <w:szCs w:val="20"/>
          <w:shd w:val="clear" w:color="auto" w:fill="FFFFFF"/>
          <w:lang w:val="en-GB"/>
        </w:rPr>
        <w:t>Article 3:</w:t>
      </w:r>
      <w:r>
        <w:rPr>
          <w:color w:val="000000"/>
          <w:sz w:val="20"/>
          <w:szCs w:val="20"/>
          <w:shd w:val="clear" w:color="auto" w:fill="FFFFFF"/>
          <w:lang w:val="en-GB"/>
        </w:rPr>
        <w:t xml:space="preserve"> Member States shall ensure, in compliance with the relevant technical conditions in the Annex, that the terrestrial systems referred to in Article 1 appropriately protect:</w:t>
      </w:r>
    </w:p>
    <w:p w14:paraId="219205A5" w14:textId="77777777" w:rsidR="008C63E0"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Pr>
          <w:color w:val="000000"/>
          <w:sz w:val="20"/>
          <w:szCs w:val="20"/>
          <w:shd w:val="clear" w:color="auto" w:fill="FFFFFF"/>
          <w:lang w:val="en-GB"/>
        </w:rPr>
        <w:t>systems in adjacent bands, in particular in the Earth Exploration-Satellite Service (passive) and in the Radio Astronomy Service in the 23.6-24.0 GHz frequency band;</w:t>
      </w:r>
    </w:p>
    <w:p w14:paraId="79EF435C" w14:textId="77777777" w:rsidR="008C63E0" w:rsidRPr="001C6A13"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Pr>
          <w:color w:val="000000"/>
          <w:sz w:val="20"/>
          <w:szCs w:val="20"/>
          <w:shd w:val="clear" w:color="auto" w:fill="FFFFFF"/>
          <w:lang w:val="en-GB"/>
        </w:rPr>
        <w:t>earth stations in the Earth Exploration-Satellite Service and in the Space Research Service for space-to-earth communications operating within the 25.5-27.0 GHz frequency band;</w:t>
      </w:r>
    </w:p>
    <w:p w14:paraId="6AF81801" w14:textId="77777777" w:rsidR="008C63E0"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Pr>
          <w:color w:val="000000"/>
          <w:sz w:val="20"/>
          <w:szCs w:val="20"/>
          <w:shd w:val="clear" w:color="auto" w:fill="FFFFFF"/>
          <w:lang w:val="en-GB"/>
        </w:rPr>
        <w:t>satellite systems for earth-to-space communications in the Fixed-Satellite Service operating within the 24.65-25.25 GHz frequency band;</w:t>
      </w:r>
    </w:p>
    <w:p w14:paraId="4ABDDAAB" w14:textId="77777777" w:rsidR="008C63E0" w:rsidRPr="001C6A13"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Pr>
          <w:color w:val="000000"/>
          <w:sz w:val="20"/>
          <w:szCs w:val="20"/>
          <w:shd w:val="clear" w:color="auto" w:fill="FFFFFF"/>
          <w:lang w:val="en-GB"/>
        </w:rPr>
        <w:t>satellite systems for inter-satellite communications operating within the 24.45-24.75 GHz and 25.25-27.5 GHz frequency bands.</w:t>
      </w:r>
    </w:p>
    <w:p w14:paraId="707AB925" w14:textId="77777777" w:rsidR="008C63E0" w:rsidRPr="002C4E23" w:rsidRDefault="008C63E0" w:rsidP="008C63E0">
      <w:pPr>
        <w:pStyle w:val="Norml1"/>
        <w:numPr>
          <w:ilvl w:val="0"/>
          <w:numId w:val="60"/>
        </w:numPr>
        <w:shd w:val="clear" w:color="auto" w:fill="FFFFFF"/>
        <w:spacing w:before="120" w:beforeAutospacing="0" w:after="0" w:afterAutospacing="0"/>
        <w:jc w:val="both"/>
        <w:rPr>
          <w:rFonts w:asciiTheme="minorHAnsi" w:eastAsiaTheme="minorHAnsi" w:hAnsiTheme="minorHAnsi" w:cstheme="minorHAnsi"/>
          <w:color w:val="000000"/>
          <w:sz w:val="20"/>
          <w:szCs w:val="20"/>
          <w:shd w:val="clear" w:color="auto" w:fill="FFFFFF"/>
        </w:rPr>
      </w:pPr>
      <w:r>
        <w:rPr>
          <w:rFonts w:asciiTheme="minorHAnsi" w:eastAsiaTheme="minorHAnsi" w:hAnsiTheme="minorHAnsi" w:cstheme="minorHAnsi"/>
          <w:i/>
          <w:iCs/>
          <w:color w:val="000000"/>
          <w:sz w:val="20"/>
          <w:szCs w:val="20"/>
          <w:shd w:val="clear" w:color="auto" w:fill="FFFFFF"/>
          <w:lang w:val="en-GB"/>
        </w:rPr>
        <w:t>Article 4:</w:t>
      </w:r>
      <w:r>
        <w:rPr>
          <w:rFonts w:asciiTheme="minorHAnsi" w:eastAsiaTheme="minorHAnsi" w:hAnsiTheme="minorHAnsi" w:cstheme="minorHAnsi"/>
          <w:color w:val="000000"/>
          <w:sz w:val="20"/>
          <w:szCs w:val="20"/>
          <w:shd w:val="clear" w:color="auto" w:fill="FFFFFF"/>
          <w:lang w:val="en-GB"/>
        </w:rPr>
        <w:t xml:space="preserve"> Member States may allow the continued operation of fixed links within the 24.25-27.5 GHz frequency band, if the terrestrial systems referred to in Article 1 can co-exist with such fixed links through managed shared spectrum use.</w:t>
      </w:r>
    </w:p>
    <w:p w14:paraId="2F1DB747" w14:textId="77777777" w:rsidR="008C63E0" w:rsidRPr="002C4E23" w:rsidRDefault="008C63E0" w:rsidP="008C63E0">
      <w:pPr>
        <w:pStyle w:val="Norml1"/>
        <w:shd w:val="clear" w:color="auto" w:fill="FFFFFF"/>
        <w:spacing w:before="120" w:beforeAutospacing="0" w:after="0" w:afterAutospacing="0"/>
        <w:ind w:left="1077"/>
        <w:jc w:val="both"/>
        <w:rPr>
          <w:rFonts w:asciiTheme="minorHAnsi" w:eastAsiaTheme="minorHAnsi" w:hAnsiTheme="minorHAnsi" w:cstheme="minorHAnsi"/>
          <w:color w:val="000000"/>
          <w:sz w:val="20"/>
          <w:szCs w:val="20"/>
          <w:shd w:val="clear" w:color="auto" w:fill="FFFFFF"/>
        </w:rPr>
      </w:pPr>
      <w:r>
        <w:rPr>
          <w:rFonts w:asciiTheme="minorHAnsi" w:eastAsiaTheme="minorHAnsi" w:hAnsiTheme="minorHAnsi" w:cstheme="minorHAnsi"/>
          <w:color w:val="000000"/>
          <w:sz w:val="20"/>
          <w:szCs w:val="20"/>
          <w:shd w:val="clear" w:color="auto" w:fill="FFFFFF"/>
          <w:lang w:val="en-GB"/>
        </w:rPr>
        <w:t>Member States shall regularly monitor the need for continuing the operation of fixed links referred to in the first subparagraph of this Article.</w:t>
      </w:r>
    </w:p>
    <w:p w14:paraId="220CFBEE" w14:textId="77777777" w:rsidR="008C63E0" w:rsidRPr="002C4E23" w:rsidRDefault="008C63E0" w:rsidP="008C63E0">
      <w:pPr>
        <w:pStyle w:val="Listaszerbekezds"/>
        <w:numPr>
          <w:ilvl w:val="0"/>
          <w:numId w:val="60"/>
        </w:numPr>
        <w:shd w:val="clear" w:color="auto" w:fill="FFFFFF"/>
        <w:spacing w:before="120" w:after="0" w:line="240" w:lineRule="auto"/>
        <w:rPr>
          <w:color w:val="000000"/>
          <w:sz w:val="20"/>
          <w:szCs w:val="20"/>
          <w:shd w:val="clear" w:color="auto" w:fill="FFFFFF"/>
        </w:rPr>
      </w:pPr>
      <w:r>
        <w:rPr>
          <w:i/>
          <w:iCs/>
          <w:color w:val="000000"/>
          <w:sz w:val="20"/>
          <w:szCs w:val="20"/>
          <w:shd w:val="clear" w:color="auto" w:fill="FFFFFF"/>
          <w:lang w:val="en-GB"/>
        </w:rPr>
        <w:t>Article 5:</w:t>
      </w:r>
      <w:r>
        <w:rPr>
          <w:color w:val="000000"/>
          <w:sz w:val="20"/>
          <w:szCs w:val="20"/>
          <w:shd w:val="clear" w:color="auto" w:fill="FFFFFF"/>
          <w:lang w:val="en-GB"/>
        </w:rPr>
        <w:t xml:space="preserve"> Under the condition that the number and locations of new earth stations are determined as not to impose disproportionate constraints on the systems referred to in Article 1, subject to market demand, Member States shall ensure, that the continued deployment of earth stations is made possible:</w:t>
      </w:r>
    </w:p>
    <w:p w14:paraId="6729AAD5" w14:textId="77777777" w:rsidR="008C63E0"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Pr>
          <w:color w:val="000000"/>
          <w:sz w:val="20"/>
          <w:szCs w:val="20"/>
          <w:shd w:val="clear" w:color="auto" w:fill="FFFFFF"/>
          <w:lang w:val="en-GB"/>
        </w:rPr>
        <w:lastRenderedPageBreak/>
        <w:t>in the Earth exploration-satellite service (space-to-earth) or in the Space Research Service (space-to-earth) within the 25.5-27.0 GHz frequency band;</w:t>
      </w:r>
    </w:p>
    <w:p w14:paraId="448B9142" w14:textId="77777777" w:rsidR="008C63E0" w:rsidRPr="002C4E23"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Pr>
          <w:color w:val="000000"/>
          <w:sz w:val="20"/>
          <w:szCs w:val="20"/>
          <w:shd w:val="clear" w:color="auto" w:fill="FFFFFF"/>
          <w:lang w:val="en-GB"/>
        </w:rPr>
        <w:t>in the fixed-satellite service (earth-to-space), within the 24.65-25.25 GHz frequency band.</w:t>
      </w:r>
    </w:p>
    <w:p w14:paraId="39506FB0" w14:textId="77777777" w:rsidR="008C63E0" w:rsidRPr="002C4E23" w:rsidRDefault="008C63E0" w:rsidP="008C63E0">
      <w:pPr>
        <w:pStyle w:val="Norml1"/>
        <w:numPr>
          <w:ilvl w:val="0"/>
          <w:numId w:val="60"/>
        </w:numPr>
        <w:shd w:val="clear" w:color="auto" w:fill="FFFFFF"/>
        <w:spacing w:before="120" w:beforeAutospacing="0" w:after="0" w:afterAutospacing="0"/>
        <w:jc w:val="both"/>
        <w:rPr>
          <w:rFonts w:asciiTheme="minorHAnsi" w:eastAsiaTheme="minorHAnsi" w:hAnsiTheme="minorHAnsi" w:cstheme="minorHAnsi"/>
          <w:color w:val="000000"/>
          <w:sz w:val="20"/>
          <w:szCs w:val="20"/>
          <w:shd w:val="clear" w:color="auto" w:fill="FFFFFF"/>
        </w:rPr>
      </w:pPr>
      <w:r>
        <w:rPr>
          <w:rFonts w:asciiTheme="minorHAnsi" w:eastAsiaTheme="minorHAnsi" w:hAnsiTheme="minorHAnsi" w:cstheme="minorHAnsi"/>
          <w:i/>
          <w:iCs/>
          <w:color w:val="000000"/>
          <w:sz w:val="20"/>
          <w:szCs w:val="20"/>
          <w:shd w:val="clear" w:color="auto" w:fill="FFFFFF"/>
          <w:lang w:val="en-GB"/>
        </w:rPr>
        <w:t>Article 6:</w:t>
      </w:r>
      <w:r>
        <w:rPr>
          <w:rFonts w:asciiTheme="minorHAnsi" w:eastAsiaTheme="minorHAnsi" w:hAnsiTheme="minorHAnsi" w:cstheme="minorHAnsi"/>
          <w:color w:val="000000"/>
          <w:sz w:val="20"/>
          <w:szCs w:val="20"/>
          <w:shd w:val="clear" w:color="auto" w:fill="FFFFFF"/>
          <w:lang w:val="en-GB"/>
        </w:rPr>
        <w:t xml:space="preserve"> Member States shall facilitate cross-border coordination agreements to enable operation of the terrestrial systems referred to in Article 1, taking into account existing regulatory procedures and rights, as well as relevant international agreements.</w:t>
      </w:r>
    </w:p>
    <w:p w14:paraId="5DD97D31" w14:textId="77777777" w:rsidR="008C63E0" w:rsidRPr="00FF3F72" w:rsidRDefault="008C63E0" w:rsidP="008C63E0">
      <w:pPr>
        <w:pStyle w:val="Norml1"/>
        <w:numPr>
          <w:ilvl w:val="0"/>
          <w:numId w:val="60"/>
        </w:numPr>
        <w:shd w:val="clear" w:color="auto" w:fill="FFFFFF"/>
        <w:spacing w:before="120" w:beforeAutospacing="0" w:after="0" w:afterAutospacing="0"/>
        <w:jc w:val="both"/>
        <w:rPr>
          <w:rFonts w:asciiTheme="minorHAnsi" w:eastAsiaTheme="minorHAnsi" w:hAnsiTheme="minorHAnsi" w:cstheme="minorHAnsi"/>
          <w:color w:val="000000"/>
          <w:sz w:val="20"/>
          <w:szCs w:val="20"/>
          <w:shd w:val="clear" w:color="auto" w:fill="FFFFFF"/>
        </w:rPr>
      </w:pPr>
      <w:r>
        <w:rPr>
          <w:rFonts w:asciiTheme="minorHAnsi" w:eastAsiaTheme="minorHAnsi" w:hAnsiTheme="minorHAnsi" w:cstheme="minorHAnsi"/>
          <w:i/>
          <w:iCs/>
          <w:color w:val="000000"/>
          <w:sz w:val="20"/>
          <w:szCs w:val="20"/>
          <w:shd w:val="clear" w:color="auto" w:fill="FFFFFF"/>
          <w:lang w:val="en-GB"/>
        </w:rPr>
        <w:t>Article 7:</w:t>
      </w:r>
      <w:r>
        <w:rPr>
          <w:rFonts w:asciiTheme="minorHAnsi" w:eastAsiaTheme="minorHAnsi" w:hAnsiTheme="minorHAnsi" w:cstheme="minorHAnsi"/>
          <w:color w:val="000000"/>
          <w:sz w:val="20"/>
          <w:szCs w:val="20"/>
          <w:shd w:val="clear" w:color="auto" w:fill="FFFFFF"/>
          <w:lang w:val="en-GB"/>
        </w:rPr>
        <w:t xml:space="preserve"> Member States shall report to the Commission on the implementation of this Decision by 30 June 2020.</w:t>
      </w:r>
    </w:p>
    <w:p w14:paraId="7BA49ADC" w14:textId="77777777" w:rsidR="008C63E0" w:rsidRPr="00FF3F72" w:rsidRDefault="008C63E0" w:rsidP="008C63E0">
      <w:pPr>
        <w:pStyle w:val="Norml1"/>
        <w:numPr>
          <w:ilvl w:val="0"/>
          <w:numId w:val="60"/>
        </w:numPr>
        <w:shd w:val="clear" w:color="auto" w:fill="FFFFFF"/>
        <w:spacing w:before="120" w:beforeAutospacing="0" w:after="0" w:afterAutospacing="0"/>
        <w:jc w:val="both"/>
        <w:rPr>
          <w:rFonts w:asciiTheme="minorHAnsi" w:eastAsiaTheme="minorHAnsi" w:hAnsiTheme="minorHAnsi" w:cstheme="minorHAnsi"/>
          <w:color w:val="000000"/>
          <w:sz w:val="20"/>
          <w:szCs w:val="20"/>
          <w:shd w:val="clear" w:color="auto" w:fill="FFFFFF"/>
        </w:rPr>
      </w:pPr>
      <w:r>
        <w:rPr>
          <w:rFonts w:asciiTheme="minorHAnsi" w:eastAsiaTheme="minorHAnsi" w:hAnsiTheme="minorHAnsi" w:cstheme="minorHAnsi"/>
          <w:i/>
          <w:iCs/>
          <w:color w:val="000000"/>
          <w:sz w:val="20"/>
          <w:szCs w:val="20"/>
          <w:shd w:val="clear" w:color="auto" w:fill="FFFFFF"/>
          <w:lang w:val="en-GB"/>
        </w:rPr>
        <w:t>Article 8:</w:t>
      </w:r>
      <w:r>
        <w:rPr>
          <w:rFonts w:asciiTheme="minorHAnsi" w:eastAsiaTheme="minorHAnsi" w:hAnsiTheme="minorHAnsi" w:cstheme="minorHAnsi"/>
          <w:color w:val="000000"/>
          <w:sz w:val="20"/>
          <w:szCs w:val="20"/>
          <w:shd w:val="clear" w:color="auto" w:fill="FFFFFF"/>
          <w:lang w:val="en-GB"/>
        </w:rPr>
        <w:t xml:space="preserve"> Member States shall monitor the use of the 24.25-27.5 GHz frequency band, including the progress on co-existence between the terrestrial systems referred to in Article 1 and other systems using the band, and report their findings to the Commission upon request or at their own initiative to allow a timely review of this Decision.</w:t>
      </w:r>
    </w:p>
    <w:p w14:paraId="74D5F6DC" w14:textId="37C0C493" w:rsidR="008C63E0" w:rsidRDefault="00F54E17" w:rsidP="004824D5">
      <w:pPr>
        <w:pStyle w:val="Behzottbekezdsnmhh"/>
        <w:spacing w:before="120"/>
      </w:pPr>
      <w:r>
        <w:rPr>
          <w:lang w:val="en-GB"/>
        </w:rPr>
        <w:t>Article 54 of the Code</w:t>
      </w:r>
      <w:r>
        <w:rPr>
          <w:rStyle w:val="Lbjegyzet-hivatkozs"/>
          <w:lang w:val="en-GB"/>
        </w:rPr>
        <w:footnoteReference w:id="40"/>
      </w:r>
      <w:r>
        <w:rPr>
          <w:lang w:val="en-GB"/>
        </w:rPr>
        <w:t xml:space="preserve"> provides for specific rules for the 5G frequency bands necessary for the </w:t>
      </w:r>
      <w:r w:rsidR="003C6C01">
        <w:rPr>
          <w:lang w:val="en-GB"/>
        </w:rPr>
        <w:t xml:space="preserve">coordinated timing of </w:t>
      </w:r>
      <w:r w:rsidR="008C2CFE">
        <w:rPr>
          <w:lang w:val="en-GB"/>
        </w:rPr>
        <w:t xml:space="preserve">frequency </w:t>
      </w:r>
      <w:r w:rsidR="003C6C01">
        <w:rPr>
          <w:lang w:val="en-GB"/>
        </w:rPr>
        <w:t>assignments</w:t>
      </w:r>
      <w:r>
        <w:rPr>
          <w:lang w:val="en-GB"/>
        </w:rPr>
        <w:t xml:space="preserve">. Under the provisions of the Code, Member States shall, by 31 December 2020, take all appropriate measures for terrestrial systems capable of providing wireless broadband services, where necessary </w:t>
      </w:r>
      <w:r w:rsidR="00EA18E0">
        <w:rPr>
          <w:lang w:val="en-GB"/>
        </w:rPr>
        <w:t xml:space="preserve">in order </w:t>
      </w:r>
      <w:r>
        <w:rPr>
          <w:lang w:val="en-GB"/>
        </w:rPr>
        <w:t xml:space="preserve">to facilitate the </w:t>
      </w:r>
      <w:r w:rsidR="00EA18E0">
        <w:rPr>
          <w:lang w:val="en-GB"/>
        </w:rPr>
        <w:t xml:space="preserve">roll-out </w:t>
      </w:r>
      <w:r>
        <w:rPr>
          <w:lang w:val="en-GB"/>
        </w:rPr>
        <w:t>of 5G, to allow the use of at least 1 GHz of the 24.25-27.5 GHz band, provided that there is clear evidence of market demand and of the absence of significant constraints for migration of existing users or band clearance.</w:t>
      </w:r>
    </w:p>
    <w:p w14:paraId="4F6C4963" w14:textId="1BBB5D91" w:rsidR="003C53E6" w:rsidRDefault="008C63E0" w:rsidP="008C63E0">
      <w:pPr>
        <w:pStyle w:val="Behzottbekezdsnmhh"/>
      </w:pPr>
      <w:r>
        <w:rPr>
          <w:lang w:val="en-GB"/>
        </w:rPr>
        <w:t xml:space="preserve">In addition, there are two regulatory documents </w:t>
      </w:r>
      <w:r w:rsidR="001A099A">
        <w:rPr>
          <w:lang w:val="en-GB"/>
        </w:rPr>
        <w:t xml:space="preserve">related to automotive radars </w:t>
      </w:r>
      <w:r>
        <w:rPr>
          <w:lang w:val="en-GB"/>
        </w:rPr>
        <w:t xml:space="preserve">in force in the EU legislation, which indirectly affect the current use. These two EU regulations are Commission Decision </w:t>
      </w:r>
      <w:r>
        <w:rPr>
          <w:i/>
          <w:iCs/>
          <w:lang w:val="en-GB"/>
        </w:rPr>
        <w:t xml:space="preserve">2005/50/EC </w:t>
      </w:r>
      <w:r>
        <w:rPr>
          <w:lang w:val="en-GB"/>
        </w:rPr>
        <w:t xml:space="preserve">and the amending Commission Implementing Decision </w:t>
      </w:r>
      <w:r>
        <w:rPr>
          <w:i/>
          <w:iCs/>
          <w:lang w:val="en-GB"/>
        </w:rPr>
        <w:t>2011/485/EU</w:t>
      </w:r>
      <w:r>
        <w:rPr>
          <w:lang w:val="en-GB"/>
        </w:rPr>
        <w:t>, which relate to the time-limited use of automotive short-range radar equipment in the 24 GHz frequency band (for more details see Chapter 7).</w:t>
      </w:r>
    </w:p>
    <w:p w14:paraId="22471F12" w14:textId="77777777" w:rsidR="003C53E6" w:rsidRDefault="003C53E6">
      <w:pPr>
        <w:spacing w:after="200"/>
        <w:jc w:val="left"/>
        <w:rPr>
          <w:sz w:val="20"/>
          <w:szCs w:val="20"/>
        </w:rPr>
      </w:pPr>
      <w:r>
        <w:rPr>
          <w:lang w:val="en-GB"/>
        </w:rPr>
        <w:br w:type="page"/>
      </w:r>
    </w:p>
    <w:p w14:paraId="549A5A75" w14:textId="77777777" w:rsidR="008C63E0" w:rsidRDefault="008C63E0" w:rsidP="008C63E0">
      <w:pPr>
        <w:pStyle w:val="Cmsor2szmozottnmhh"/>
        <w:ind w:left="578" w:hanging="578"/>
      </w:pPr>
      <w:bookmarkStart w:id="30" w:name="_Toc92461622"/>
      <w:bookmarkStart w:id="31" w:name="_Toc26254669"/>
      <w:bookmarkStart w:id="32" w:name="_Toc473880720"/>
      <w:bookmarkStart w:id="33" w:name="_Toc98343979"/>
      <w:r>
        <w:rPr>
          <w:bCs/>
          <w:lang w:val="en-GB"/>
        </w:rPr>
        <w:lastRenderedPageBreak/>
        <w:t>National regulation</w:t>
      </w:r>
      <w:bookmarkEnd w:id="30"/>
      <w:bookmarkEnd w:id="31"/>
      <w:bookmarkEnd w:id="32"/>
      <w:bookmarkEnd w:id="33"/>
    </w:p>
    <w:p w14:paraId="408D11A5" w14:textId="2131CFAE" w:rsidR="008C63E0" w:rsidRDefault="008C63E0" w:rsidP="008C63E0">
      <w:pPr>
        <w:pStyle w:val="Cmsor3szmozottnmhh"/>
        <w:ind w:left="1996"/>
      </w:pPr>
      <w:r>
        <w:rPr>
          <w:bCs/>
          <w:lang w:val="en-GB"/>
        </w:rPr>
        <w:t xml:space="preserve"> </w:t>
      </w:r>
      <w:bookmarkStart w:id="34" w:name="_Toc92461623"/>
      <w:bookmarkStart w:id="35" w:name="_Toc26254670"/>
      <w:bookmarkStart w:id="36" w:name="_Toc98343980"/>
      <w:r>
        <w:rPr>
          <w:bCs/>
          <w:lang w:val="en-GB"/>
        </w:rPr>
        <w:t>Current regulation and use</w:t>
      </w:r>
      <w:bookmarkEnd w:id="34"/>
      <w:bookmarkEnd w:id="35"/>
      <w:bookmarkEnd w:id="36"/>
    </w:p>
    <w:p w14:paraId="7EEACA4B" w14:textId="3D1E27C6" w:rsidR="008C63E0" w:rsidRDefault="008C63E0" w:rsidP="008C63E0">
      <w:pPr>
        <w:pStyle w:val="Behzottbekezdsnmhh"/>
      </w:pPr>
      <w:r>
        <w:rPr>
          <w:lang w:val="en-GB"/>
        </w:rPr>
        <w:t>In the frequency band 24.25-27.5 GHz, the use of each application is permitted in accordance with Annex 2 to the NFFF Decree. Considering the draft amend</w:t>
      </w:r>
      <w:r w:rsidR="00A83593">
        <w:rPr>
          <w:lang w:val="en-GB"/>
        </w:rPr>
        <w:t>ment</w:t>
      </w:r>
      <w:r>
        <w:rPr>
          <w:lang w:val="en-GB"/>
        </w:rPr>
        <w:t xml:space="preserve"> </w:t>
      </w:r>
      <w:r w:rsidR="00A83593">
        <w:rPr>
          <w:lang w:val="en-GB"/>
        </w:rPr>
        <w:t xml:space="preserve">to </w:t>
      </w:r>
      <w:r>
        <w:rPr>
          <w:lang w:val="en-GB"/>
        </w:rPr>
        <w:t>the NFFF Decree under technical notification</w:t>
      </w:r>
      <w:r>
        <w:rPr>
          <w:rStyle w:val="Lbjegyzet-hivatkozs"/>
          <w:lang w:val="en-GB"/>
        </w:rPr>
        <w:footnoteReference w:id="41"/>
      </w:r>
      <w:r>
        <w:rPr>
          <w:lang w:val="en-GB"/>
        </w:rPr>
        <w:t>, the regulation and the actual use are described below, broken down by sub-bands.</w:t>
      </w:r>
    </w:p>
    <w:p w14:paraId="105F99E8" w14:textId="3A6D36AF" w:rsidR="008C63E0" w:rsidRDefault="008C63E0" w:rsidP="008C63E0">
      <w:pPr>
        <w:pStyle w:val="Behzottbekezdsnmhh"/>
        <w:numPr>
          <w:ilvl w:val="0"/>
          <w:numId w:val="61"/>
        </w:numPr>
      </w:pPr>
      <w:r>
        <w:rPr>
          <w:lang w:val="en-GB"/>
        </w:rPr>
        <w:t xml:space="preserve">The 24.25-24.5 GHz frequency band was </w:t>
      </w:r>
      <w:r w:rsidR="00A83593">
        <w:rPr>
          <w:lang w:val="en-GB"/>
        </w:rPr>
        <w:t xml:space="preserve">designated </w:t>
      </w:r>
      <w:r>
        <w:rPr>
          <w:lang w:val="en-GB"/>
        </w:rPr>
        <w:t>for news and broadcasting applications</w:t>
      </w:r>
      <w:r w:rsidR="00A83593">
        <w:rPr>
          <w:lang w:val="en-GB"/>
        </w:rPr>
        <w:t xml:space="preserve"> on a primary basis</w:t>
      </w:r>
      <w:r>
        <w:rPr>
          <w:lang w:val="en-GB"/>
        </w:rPr>
        <w:t xml:space="preserve">, however, such use is not typical in Hungary, and there is no actual use in this frequency band, so the application has been removed from the frequency band, facilitating the subsequent introduction of MFCN systems. </w:t>
      </w:r>
    </w:p>
    <w:p w14:paraId="3EA01A18" w14:textId="06E144CD" w:rsidR="008C63E0" w:rsidRDefault="008C63E0" w:rsidP="008C63E0">
      <w:pPr>
        <w:pStyle w:val="Behzottbekezdsnmhh"/>
        <w:numPr>
          <w:ilvl w:val="0"/>
          <w:numId w:val="61"/>
        </w:numPr>
      </w:pPr>
      <w:r>
        <w:rPr>
          <w:lang w:val="en-GB"/>
        </w:rPr>
        <w:t xml:space="preserve">The 24.5-26.5 GHz frequency band </w:t>
      </w:r>
      <w:r w:rsidR="00A83593">
        <w:rPr>
          <w:lang w:val="en-GB"/>
        </w:rPr>
        <w:t xml:space="preserve">is designated </w:t>
      </w:r>
      <w:r>
        <w:rPr>
          <w:lang w:val="en-GB"/>
        </w:rPr>
        <w:t xml:space="preserve">for civil fixed service systems </w:t>
      </w:r>
      <w:r w:rsidR="00A83593">
        <w:rPr>
          <w:lang w:val="en-GB"/>
        </w:rPr>
        <w:t xml:space="preserve">on a </w:t>
      </w:r>
      <w:r>
        <w:rPr>
          <w:lang w:val="en-GB"/>
        </w:rPr>
        <w:t xml:space="preserve">primary </w:t>
      </w:r>
      <w:r w:rsidR="00A83593">
        <w:rPr>
          <w:lang w:val="en-GB"/>
        </w:rPr>
        <w:t xml:space="preserve">basis </w:t>
      </w:r>
      <w:r>
        <w:rPr>
          <w:lang w:val="en-GB"/>
        </w:rPr>
        <w:t>(point-to-point and point-to-multipoint). As a result of the competitive procedure, the</w:t>
      </w:r>
      <w:r w:rsidR="00A83593">
        <w:rPr>
          <w:lang w:val="en-GB"/>
        </w:rPr>
        <w:t>re is a significant</w:t>
      </w:r>
      <w:r>
        <w:rPr>
          <w:lang w:val="en-GB"/>
        </w:rPr>
        <w:t xml:space="preserve"> </w:t>
      </w:r>
      <w:r w:rsidR="00A83593">
        <w:rPr>
          <w:lang w:val="en-GB"/>
        </w:rPr>
        <w:t xml:space="preserve">nationwide </w:t>
      </w:r>
      <w:r>
        <w:rPr>
          <w:lang w:val="en-GB"/>
        </w:rPr>
        <w:t xml:space="preserve">use </w:t>
      </w:r>
      <w:r w:rsidR="00A83593">
        <w:rPr>
          <w:lang w:val="en-GB"/>
        </w:rPr>
        <w:t xml:space="preserve">base on </w:t>
      </w:r>
      <w:r>
        <w:rPr>
          <w:lang w:val="en-GB"/>
        </w:rPr>
        <w:t>block management.</w:t>
      </w:r>
    </w:p>
    <w:p w14:paraId="1F15E921" w14:textId="634A6D09" w:rsidR="008C63E0" w:rsidRDefault="008C63E0" w:rsidP="008C63E0">
      <w:pPr>
        <w:pStyle w:val="Behzottbekezdsnmhh"/>
        <w:numPr>
          <w:ilvl w:val="0"/>
          <w:numId w:val="61"/>
        </w:numPr>
      </w:pPr>
      <w:r>
        <w:rPr>
          <w:lang w:val="en-GB"/>
        </w:rPr>
        <w:t xml:space="preserve">In addition to satellite applications not used in Hungary, the 26.5-27.5 GHz frequency band is </w:t>
      </w:r>
      <w:r w:rsidR="00A83593">
        <w:rPr>
          <w:lang w:val="en-GB"/>
        </w:rPr>
        <w:t xml:space="preserve">designated </w:t>
      </w:r>
      <w:r>
        <w:rPr>
          <w:lang w:val="en-GB"/>
        </w:rPr>
        <w:t>for non-civil mobile and fixed service applications.</w:t>
      </w:r>
      <w:r>
        <w:rPr>
          <w:rStyle w:val="Lbjegyzet-hivatkozs"/>
          <w:lang w:val="en-GB"/>
        </w:rPr>
        <w:footnoteReference w:id="42"/>
      </w:r>
      <w:r>
        <w:rPr>
          <w:lang w:val="en-GB"/>
        </w:rPr>
        <w:t xml:space="preserve"> Based on the public NJFA, </w:t>
      </w:r>
      <w:r w:rsidR="0091420E">
        <w:rPr>
          <w:lang w:val="en-GB"/>
        </w:rPr>
        <w:t>aeronautical</w:t>
      </w:r>
      <w:r>
        <w:rPr>
          <w:lang w:val="en-GB"/>
        </w:rPr>
        <w:t xml:space="preserve">, </w:t>
      </w:r>
      <w:r w:rsidR="0091420E">
        <w:rPr>
          <w:lang w:val="en-GB"/>
        </w:rPr>
        <w:t xml:space="preserve">land </w:t>
      </w:r>
      <w:r>
        <w:rPr>
          <w:lang w:val="en-GB"/>
        </w:rPr>
        <w:t xml:space="preserve">and maritime </w:t>
      </w:r>
      <w:r w:rsidR="0091420E">
        <w:rPr>
          <w:lang w:val="en-GB"/>
        </w:rPr>
        <w:t xml:space="preserve">military </w:t>
      </w:r>
      <w:r>
        <w:rPr>
          <w:lang w:val="en-GB"/>
        </w:rPr>
        <w:t xml:space="preserve">systems can operate in the 25.25-27.5 GHz frequency band and </w:t>
      </w:r>
      <w:r w:rsidR="0091420E">
        <w:rPr>
          <w:lang w:val="en-GB"/>
        </w:rPr>
        <w:t xml:space="preserve">land </w:t>
      </w:r>
      <w:r>
        <w:rPr>
          <w:lang w:val="en-GB"/>
        </w:rPr>
        <w:t>military systems in the 26.5-27.5 GHz frequency band. In addition, other non-civil (but non-military) single</w:t>
      </w:r>
      <w:r w:rsidR="0091420E">
        <w:rPr>
          <w:lang w:val="en-GB"/>
        </w:rPr>
        <w:t>-</w:t>
      </w:r>
      <w:r>
        <w:rPr>
          <w:lang w:val="en-GB"/>
        </w:rPr>
        <w:t xml:space="preserve"> and </w:t>
      </w:r>
      <w:r w:rsidR="0091420E">
        <w:rPr>
          <w:lang w:val="en-GB"/>
        </w:rPr>
        <w:t>two-</w:t>
      </w:r>
      <w:r>
        <w:rPr>
          <w:lang w:val="en-GB"/>
        </w:rPr>
        <w:t xml:space="preserve">frequency mobile and digital point-to-point systems may also operate. Currently, there is no valid radio licence in the 26.5-27.5 GHz frequency band. </w:t>
      </w:r>
      <w:r>
        <w:rPr>
          <w:rFonts w:ascii="Arial" w:hAnsi="Arial"/>
          <w:lang w:val="en-GB"/>
        </w:rPr>
        <w:t>The military application of the 5G technology has been officially studied within the framework of a NATO-funded project for a year, in which Hungary is also participating, for the time being as an observer.</w:t>
      </w:r>
      <w:r>
        <w:rPr>
          <w:lang w:val="en-GB"/>
        </w:rPr>
        <w:t xml:space="preserve"> This is also an indication of the military interest in 5G among NATO Member States, so in the future some military plans in NATO Member States, including Hungary, may use the frequency band or part of it for military 5G purposes. However, there is still no concrete information on this. For non-civil uses in the 26.5-27.5 GHz frequency range, “radio spectrum usage right may be obtained after the harmonisation of the civil and non-civil radio spectrum management aspects, taking into account Decision (EU) 2019/784”.</w:t>
      </w:r>
    </w:p>
    <w:p w14:paraId="269D6BBC" w14:textId="2EDE6E34" w:rsidR="008C63E0" w:rsidRDefault="00035E1D" w:rsidP="008C63E0">
      <w:pPr>
        <w:pStyle w:val="Behzottbekezdsnmhh"/>
        <w:numPr>
          <w:ilvl w:val="0"/>
          <w:numId w:val="61"/>
        </w:numPr>
      </w:pPr>
      <w:r>
        <w:rPr>
          <w:lang w:val="en-GB"/>
        </w:rPr>
        <w:t xml:space="preserve">The 24.5-27.5 GHz frequency band is </w:t>
      </w:r>
      <w:r w:rsidR="0091420E">
        <w:rPr>
          <w:lang w:val="en-GB"/>
        </w:rPr>
        <w:t>designated</w:t>
      </w:r>
      <w:r>
        <w:rPr>
          <w:lang w:val="en-GB"/>
        </w:rPr>
        <w:t xml:space="preserve"> </w:t>
      </w:r>
      <w:r w:rsidR="0091420E">
        <w:rPr>
          <w:lang w:val="en-GB"/>
        </w:rPr>
        <w:t xml:space="preserve">and </w:t>
      </w:r>
      <w:r>
        <w:rPr>
          <w:lang w:val="en-GB"/>
        </w:rPr>
        <w:t>planned for various satellite applications, but these are typically not used in Hungary, and there is currently no actual use.</w:t>
      </w:r>
    </w:p>
    <w:p w14:paraId="003ACF7C" w14:textId="4940CFA2" w:rsidR="008C63E0" w:rsidRDefault="008C63E0" w:rsidP="008C63E0">
      <w:pPr>
        <w:pStyle w:val="Behzottbekezdsnmhh"/>
        <w:numPr>
          <w:ilvl w:val="0"/>
          <w:numId w:val="61"/>
        </w:numPr>
      </w:pPr>
      <w:r>
        <w:rPr>
          <w:lang w:val="en-GB"/>
        </w:rPr>
        <w:t xml:space="preserve">In the context of the preparation of </w:t>
      </w:r>
      <w:r w:rsidR="0091420E">
        <w:rPr>
          <w:lang w:val="en-GB"/>
        </w:rPr>
        <w:t xml:space="preserve">making </w:t>
      </w:r>
      <w:r>
        <w:rPr>
          <w:lang w:val="en-GB"/>
        </w:rPr>
        <w:t>availab</w:t>
      </w:r>
      <w:r w:rsidR="0091420E">
        <w:rPr>
          <w:lang w:val="en-GB"/>
        </w:rPr>
        <w:t>le</w:t>
      </w:r>
      <w:r>
        <w:rPr>
          <w:lang w:val="en-GB"/>
        </w:rPr>
        <w:t xml:space="preserve"> the frequency band for 5G systems, the “terrestrial systems capable of providing wireless broadband electronic communications services” were included in the table of Annex 2 to the NFFF Decree as </w:t>
      </w:r>
      <w:r w:rsidR="003A2C47">
        <w:rPr>
          <w:lang w:val="en-GB"/>
        </w:rPr>
        <w:t>planned</w:t>
      </w:r>
      <w:r>
        <w:rPr>
          <w:lang w:val="en-GB"/>
        </w:rPr>
        <w:t xml:space="preserve"> fixed and mobile service application in the entire 24.25-27.5 GHz frequency band on a primary basis, together with the referenced relevant documents (EU) 2019/784 and (EU) 2020/590 (included in the draft </w:t>
      </w:r>
      <w:r w:rsidR="003A2C47">
        <w:rPr>
          <w:lang w:val="en-GB"/>
        </w:rPr>
        <w:t xml:space="preserve">amendment to the </w:t>
      </w:r>
      <w:r>
        <w:rPr>
          <w:lang w:val="en-GB"/>
        </w:rPr>
        <w:t xml:space="preserve">NFFF </w:t>
      </w:r>
      <w:r w:rsidR="003A2C47">
        <w:rPr>
          <w:lang w:val="en-GB"/>
        </w:rPr>
        <w:t>Decree</w:t>
      </w:r>
      <w:r>
        <w:rPr>
          <w:lang w:val="en-GB"/>
        </w:rPr>
        <w:t xml:space="preserve">) and Decision ECC/DEC/(18)06. </w:t>
      </w:r>
    </w:p>
    <w:p w14:paraId="6B3686C2" w14:textId="3F932DD0" w:rsidR="008C63E0" w:rsidRDefault="008C63E0" w:rsidP="008C63E0">
      <w:pPr>
        <w:pStyle w:val="Behzottbekezdsnmhh"/>
        <w:numPr>
          <w:ilvl w:val="0"/>
          <w:numId w:val="61"/>
        </w:numPr>
      </w:pPr>
      <w:r>
        <w:rPr>
          <w:lang w:val="en-GB"/>
        </w:rPr>
        <w:t xml:space="preserve">In addition, some of the short-range devices may be used on a tertiary basis. These devices shall operate at low power and cannot, by virtue of their tertiary nature, </w:t>
      </w:r>
      <w:r w:rsidR="003A2C47">
        <w:rPr>
          <w:lang w:val="en-GB"/>
        </w:rPr>
        <w:t xml:space="preserve">claim </w:t>
      </w:r>
      <w:r>
        <w:rPr>
          <w:lang w:val="en-GB"/>
        </w:rPr>
        <w:t xml:space="preserve">protection </w:t>
      </w:r>
      <w:r w:rsidR="003A2C47">
        <w:rPr>
          <w:lang w:val="en-GB"/>
        </w:rPr>
        <w:t>n</w:t>
      </w:r>
      <w:r>
        <w:rPr>
          <w:lang w:val="en-GB"/>
        </w:rPr>
        <w:t xml:space="preserve">or cause harmful interference to primary and secondary services (for additional information on </w:t>
      </w:r>
      <w:r w:rsidR="003A2C47">
        <w:rPr>
          <w:lang w:val="en-GB"/>
        </w:rPr>
        <w:t xml:space="preserve">automotive </w:t>
      </w:r>
      <w:r>
        <w:rPr>
          <w:lang w:val="en-GB"/>
        </w:rPr>
        <w:t>radar</w:t>
      </w:r>
      <w:r w:rsidR="003A2C47">
        <w:rPr>
          <w:lang w:val="en-GB"/>
        </w:rPr>
        <w:t>s</w:t>
      </w:r>
      <w:r>
        <w:rPr>
          <w:lang w:val="en-GB"/>
        </w:rPr>
        <w:t xml:space="preserve"> see Chapter 6).</w:t>
      </w:r>
    </w:p>
    <w:p w14:paraId="21099113" w14:textId="77777777" w:rsidR="008C63E0" w:rsidRPr="00B443C2" w:rsidRDefault="008C63E0" w:rsidP="008C63E0">
      <w:pPr>
        <w:pStyle w:val="Behzottbekezdsnmhh"/>
      </w:pPr>
    </w:p>
    <w:p w14:paraId="070F3ACE" w14:textId="63CE8DF3" w:rsidR="008C63E0" w:rsidRPr="00B443C2" w:rsidRDefault="008C63E0" w:rsidP="008C63E0">
      <w:pPr>
        <w:pStyle w:val="Cmsor3szmozottnmhh"/>
        <w:ind w:left="1996"/>
      </w:pPr>
      <w:bookmarkStart w:id="37" w:name="_Toc26254671"/>
      <w:bookmarkStart w:id="38" w:name="_Toc92461624"/>
      <w:bookmarkStart w:id="39" w:name="_Toc98343981"/>
      <w:r>
        <w:rPr>
          <w:bCs/>
          <w:lang w:val="en-GB"/>
        </w:rPr>
        <w:t>Current conditions</w:t>
      </w:r>
      <w:bookmarkEnd w:id="37"/>
      <w:r>
        <w:rPr>
          <w:bCs/>
          <w:lang w:val="en-GB"/>
        </w:rPr>
        <w:t xml:space="preserve"> </w:t>
      </w:r>
      <w:r w:rsidR="00587E9D">
        <w:rPr>
          <w:bCs/>
          <w:lang w:val="en-GB"/>
        </w:rPr>
        <w:t>of using</w:t>
      </w:r>
      <w:r w:rsidR="00C96C83">
        <w:rPr>
          <w:bCs/>
          <w:lang w:val="en-GB"/>
        </w:rPr>
        <w:t xml:space="preserve"> </w:t>
      </w:r>
      <w:r>
        <w:rPr>
          <w:bCs/>
          <w:lang w:val="en-GB"/>
        </w:rPr>
        <w:t>the 24.5-26.5 GHz band</w:t>
      </w:r>
      <w:bookmarkEnd w:id="38"/>
      <w:bookmarkEnd w:id="39"/>
    </w:p>
    <w:p w14:paraId="6E4FAD73" w14:textId="785DB85C" w:rsidR="008C63E0" w:rsidRPr="00F8378F" w:rsidRDefault="008C63E0" w:rsidP="008C63E0">
      <w:pPr>
        <w:tabs>
          <w:tab w:val="left" w:pos="993"/>
        </w:tabs>
        <w:spacing w:after="0" w:line="240" w:lineRule="auto"/>
        <w:rPr>
          <w:b/>
          <w:sz w:val="20"/>
          <w:szCs w:val="20"/>
        </w:rPr>
      </w:pPr>
      <w:r>
        <w:rPr>
          <w:rStyle w:val="Kiemels2"/>
          <w:rFonts w:ascii="Arial" w:hAnsi="Arial" w:cs="Arial"/>
          <w:b w:val="0"/>
          <w:bCs w:val="0"/>
          <w:color w:val="000000"/>
          <w:sz w:val="20"/>
          <w:szCs w:val="20"/>
          <w:lang w:val="en-GB"/>
        </w:rPr>
        <w:t>The conditions and spectrum management requirements of the 26 GHzband fixed digital point-to-point and digital point-to-multipoint systems are shown below, based on the NFFF Decree in force.</w:t>
      </w:r>
    </w:p>
    <w:p w14:paraId="73EA1658" w14:textId="079EDBAC" w:rsidR="008C63E0" w:rsidRPr="005B1A0F" w:rsidRDefault="008C63E0" w:rsidP="005D0D74">
      <w:pPr>
        <w:pStyle w:val="Behzottbekezdsnmhh"/>
        <w:spacing w:before="240"/>
      </w:pPr>
      <w:r>
        <w:rPr>
          <w:lang w:val="en-GB"/>
        </w:rPr>
        <w:t>Sub-bands of the 24.5-26.5 GHz frequency band:</w:t>
      </w:r>
    </w:p>
    <w:p w14:paraId="766829E6" w14:textId="77777777" w:rsidR="008C63E0" w:rsidRPr="00BD6A0E" w:rsidRDefault="008C63E0" w:rsidP="008C63E0">
      <w:pPr>
        <w:pStyle w:val="Listaszerbekezds"/>
        <w:numPr>
          <w:ilvl w:val="0"/>
          <w:numId w:val="53"/>
        </w:numPr>
        <w:tabs>
          <w:tab w:val="left" w:pos="993"/>
        </w:tabs>
        <w:spacing w:after="0" w:line="240" w:lineRule="auto"/>
        <w:rPr>
          <w:rFonts w:cs="Arial"/>
          <w:sz w:val="18"/>
          <w:szCs w:val="18"/>
        </w:rPr>
      </w:pPr>
      <w:r>
        <w:rPr>
          <w:sz w:val="20"/>
          <w:szCs w:val="20"/>
          <w:lang w:val="en-GB"/>
        </w:rPr>
        <w:t>24,500–24,549 MHz: lower guard band</w:t>
      </w:r>
    </w:p>
    <w:p w14:paraId="151C5E1C" w14:textId="394F2CFD" w:rsidR="008C63E0" w:rsidRPr="00BD6A0E" w:rsidRDefault="008C63E0" w:rsidP="008C63E0">
      <w:pPr>
        <w:pStyle w:val="Listaszerbekezds"/>
        <w:numPr>
          <w:ilvl w:val="0"/>
          <w:numId w:val="53"/>
        </w:numPr>
        <w:tabs>
          <w:tab w:val="left" w:pos="993"/>
        </w:tabs>
        <w:spacing w:after="0" w:line="240" w:lineRule="auto"/>
        <w:rPr>
          <w:sz w:val="20"/>
          <w:szCs w:val="20"/>
        </w:rPr>
      </w:pPr>
      <w:r>
        <w:rPr>
          <w:sz w:val="20"/>
          <w:szCs w:val="20"/>
          <w:lang w:val="en-GB"/>
        </w:rPr>
        <w:t xml:space="preserve">24,549–25,445 MHz: </w:t>
      </w:r>
      <w:r w:rsidR="00587E9D">
        <w:rPr>
          <w:sz w:val="20"/>
          <w:szCs w:val="20"/>
          <w:lang w:val="en-GB"/>
        </w:rPr>
        <w:t xml:space="preserve">lower </w:t>
      </w:r>
      <w:r>
        <w:rPr>
          <w:sz w:val="20"/>
          <w:szCs w:val="20"/>
          <w:lang w:val="en-GB"/>
        </w:rPr>
        <w:t>block band</w:t>
      </w:r>
    </w:p>
    <w:p w14:paraId="7C530DE4" w14:textId="77777777" w:rsidR="008C63E0" w:rsidRPr="00BD6A0E" w:rsidRDefault="008C63E0" w:rsidP="008C63E0">
      <w:pPr>
        <w:pStyle w:val="Listaszerbekezds"/>
        <w:numPr>
          <w:ilvl w:val="0"/>
          <w:numId w:val="53"/>
        </w:numPr>
        <w:tabs>
          <w:tab w:val="left" w:pos="993"/>
        </w:tabs>
        <w:spacing w:after="0" w:line="240" w:lineRule="auto"/>
        <w:rPr>
          <w:sz w:val="20"/>
          <w:szCs w:val="20"/>
        </w:rPr>
      </w:pPr>
      <w:r>
        <w:rPr>
          <w:sz w:val="20"/>
          <w:szCs w:val="20"/>
          <w:lang w:val="en-GB"/>
        </w:rPr>
        <w:t>25,445–25,557 MHz: middle guard band</w:t>
      </w:r>
    </w:p>
    <w:p w14:paraId="1948ED19" w14:textId="15D117DD" w:rsidR="008C63E0" w:rsidRPr="00BD6A0E" w:rsidRDefault="008C63E0" w:rsidP="008C63E0">
      <w:pPr>
        <w:pStyle w:val="Listaszerbekezds"/>
        <w:numPr>
          <w:ilvl w:val="0"/>
          <w:numId w:val="53"/>
        </w:numPr>
        <w:tabs>
          <w:tab w:val="left" w:pos="993"/>
        </w:tabs>
        <w:spacing w:after="0" w:line="240" w:lineRule="auto"/>
        <w:rPr>
          <w:sz w:val="20"/>
          <w:szCs w:val="20"/>
        </w:rPr>
      </w:pPr>
      <w:r>
        <w:rPr>
          <w:sz w:val="20"/>
          <w:szCs w:val="20"/>
          <w:lang w:val="en-GB"/>
        </w:rPr>
        <w:t xml:space="preserve">25,557–26,453 MHz: </w:t>
      </w:r>
      <w:r w:rsidR="00587E9D">
        <w:rPr>
          <w:sz w:val="20"/>
          <w:szCs w:val="20"/>
          <w:lang w:val="en-GB"/>
        </w:rPr>
        <w:t xml:space="preserve">upper </w:t>
      </w:r>
      <w:r>
        <w:rPr>
          <w:sz w:val="20"/>
          <w:szCs w:val="20"/>
          <w:lang w:val="en-GB"/>
        </w:rPr>
        <w:t>block band</w:t>
      </w:r>
    </w:p>
    <w:p w14:paraId="1DBCA8EF" w14:textId="46D8496E" w:rsidR="008C63E0" w:rsidRPr="00BD6A0E" w:rsidRDefault="008C63E0" w:rsidP="008C63E0">
      <w:pPr>
        <w:pStyle w:val="Listaszerbekezds"/>
        <w:numPr>
          <w:ilvl w:val="0"/>
          <w:numId w:val="53"/>
        </w:numPr>
        <w:tabs>
          <w:tab w:val="left" w:pos="993"/>
        </w:tabs>
        <w:spacing w:after="0" w:line="240" w:lineRule="auto"/>
        <w:rPr>
          <w:sz w:val="20"/>
          <w:szCs w:val="20"/>
        </w:rPr>
      </w:pPr>
      <w:r>
        <w:rPr>
          <w:sz w:val="20"/>
          <w:szCs w:val="20"/>
          <w:lang w:val="en-GB"/>
        </w:rPr>
        <w:t xml:space="preserve">26,453–26,500 MHz: </w:t>
      </w:r>
      <w:r w:rsidR="00587E9D">
        <w:rPr>
          <w:sz w:val="20"/>
          <w:szCs w:val="20"/>
          <w:lang w:val="en-GB"/>
        </w:rPr>
        <w:t xml:space="preserve">upper </w:t>
      </w:r>
      <w:r>
        <w:rPr>
          <w:sz w:val="20"/>
          <w:szCs w:val="20"/>
          <w:lang w:val="en-GB"/>
        </w:rPr>
        <w:t>guard band</w:t>
      </w:r>
    </w:p>
    <w:p w14:paraId="2869D84B" w14:textId="77777777" w:rsidR="008C63E0" w:rsidRPr="005B1A0F" w:rsidRDefault="008C63E0" w:rsidP="005D0D74">
      <w:pPr>
        <w:pStyle w:val="Behzottbekezdsnmhh"/>
        <w:spacing w:before="240"/>
      </w:pPr>
      <w:r>
        <w:rPr>
          <w:lang w:val="en-GB"/>
        </w:rPr>
        <w:t>The guard bands cannot be distributed.</w:t>
      </w:r>
    </w:p>
    <w:p w14:paraId="7F9B7CE0" w14:textId="14AD3F48" w:rsidR="008C63E0" w:rsidRDefault="008C63E0" w:rsidP="008C63E0">
      <w:pPr>
        <w:pStyle w:val="Behzottbekezdsnmhh"/>
      </w:pPr>
      <w:r>
        <w:rPr>
          <w:lang w:val="en-GB"/>
        </w:rPr>
        <w:t xml:space="preserve">In the case of an FDD system, the lower and upper block bands are divided into 32 28 MHz basic blocks and the duplex </w:t>
      </w:r>
      <w:r w:rsidR="00087F88">
        <w:rPr>
          <w:lang w:val="en-GB"/>
        </w:rPr>
        <w:t xml:space="preserve">spacing </w:t>
      </w:r>
      <w:r>
        <w:rPr>
          <w:lang w:val="en-GB"/>
        </w:rPr>
        <w:t xml:space="preserve">is 1008 MHz. It is also possible to use a TDD system, the detailed rules for which are included in Annex 3 of the NFFF Decree. In fact, TDD systems are not used by operators in the frequency band. </w:t>
      </w:r>
      <w:r w:rsidR="0042601A">
        <w:rPr>
          <w:lang w:val="en-GB"/>
        </w:rPr>
        <w:t xml:space="preserve">User blocks are created by </w:t>
      </w:r>
      <w:r>
        <w:rPr>
          <w:lang w:val="en-GB"/>
        </w:rPr>
        <w:t xml:space="preserve">merging </w:t>
      </w:r>
      <w:r w:rsidR="0042601A">
        <w:rPr>
          <w:lang w:val="en-GB"/>
        </w:rPr>
        <w:t xml:space="preserve">of </w:t>
      </w:r>
      <w:r>
        <w:rPr>
          <w:lang w:val="en-GB"/>
        </w:rPr>
        <w:t xml:space="preserve">basic blocks. </w:t>
      </w:r>
      <w:r w:rsidR="0042601A">
        <w:rPr>
          <w:lang w:val="en-GB"/>
        </w:rPr>
        <w:t>User blocks has been separated by guard band of o</w:t>
      </w:r>
      <w:r>
        <w:rPr>
          <w:lang w:val="en-GB"/>
        </w:rPr>
        <w:t xml:space="preserve">ne basic block (28 MHz) in accordance with Recommendation ECC/REC/(11)01 (in which the compatibility between point-to-multipoint systems was specifically studied) in order to avoid </w:t>
      </w:r>
      <w:r w:rsidR="0042601A">
        <w:rPr>
          <w:lang w:val="en-GB"/>
        </w:rPr>
        <w:t xml:space="preserve">adjacent block </w:t>
      </w:r>
      <w:r>
        <w:rPr>
          <w:lang w:val="en-GB"/>
        </w:rPr>
        <w:t xml:space="preserve">interference, which </w:t>
      </w:r>
      <w:r w:rsidR="0042601A">
        <w:rPr>
          <w:lang w:val="en-GB"/>
        </w:rPr>
        <w:t xml:space="preserve">can be an </w:t>
      </w:r>
      <w:r>
        <w:rPr>
          <w:lang w:val="en-GB"/>
        </w:rPr>
        <w:t xml:space="preserve">important </w:t>
      </w:r>
      <w:r w:rsidR="0042601A">
        <w:rPr>
          <w:lang w:val="en-GB"/>
        </w:rPr>
        <w:t xml:space="preserve">factor </w:t>
      </w:r>
      <w:r>
        <w:rPr>
          <w:lang w:val="en-GB"/>
        </w:rPr>
        <w:t xml:space="preserve">when point-to-multipoint systems are operated, where sectoral </w:t>
      </w:r>
      <w:r w:rsidR="0042601A">
        <w:rPr>
          <w:lang w:val="en-GB"/>
        </w:rPr>
        <w:t xml:space="preserve">transmitters </w:t>
      </w:r>
      <w:r>
        <w:rPr>
          <w:lang w:val="en-GB"/>
        </w:rPr>
        <w:t>are used (for point-to-point systems, the likelihood of interference due to concentrated line emission is low).</w:t>
      </w:r>
    </w:p>
    <w:p w14:paraId="0B129018" w14:textId="027803AD" w:rsidR="008C63E0" w:rsidRDefault="008C63E0" w:rsidP="008C63E0">
      <w:pPr>
        <w:pStyle w:val="Behzottbekezdsnmhh"/>
      </w:pPr>
      <w:r>
        <w:rPr>
          <w:lang w:val="en-GB"/>
        </w:rPr>
        <w:t xml:space="preserve">An electronic communications service may be provided in the frequency band, or the frequency band may be used for electronic communications </w:t>
      </w:r>
      <w:r w:rsidR="00551074">
        <w:rPr>
          <w:lang w:val="en-GB"/>
        </w:rPr>
        <w:t xml:space="preserve">infrastructure </w:t>
      </w:r>
      <w:r>
        <w:rPr>
          <w:lang w:val="en-GB"/>
        </w:rPr>
        <w:t xml:space="preserve">purposes. </w:t>
      </w:r>
      <w:r w:rsidR="00551074">
        <w:rPr>
          <w:lang w:val="en-GB"/>
        </w:rPr>
        <w:t>Entitlement to</w:t>
      </w:r>
      <w:r>
        <w:rPr>
          <w:lang w:val="en-GB"/>
        </w:rPr>
        <w:t xml:space="preserve"> radio spectrum </w:t>
      </w:r>
      <w:r w:rsidR="00551074">
        <w:rPr>
          <w:lang w:val="en-GB"/>
        </w:rPr>
        <w:t xml:space="preserve">use </w:t>
      </w:r>
      <w:r>
        <w:rPr>
          <w:lang w:val="en-GB"/>
        </w:rPr>
        <w:t xml:space="preserve">could be obtained during a competitive procedure, which is nationwide, and the method of spectrum management is block management. The amount of spectrum that can be acquired is limited; an operator may acquire </w:t>
      </w:r>
      <w:r w:rsidR="00434D51">
        <w:rPr>
          <w:lang w:val="en-GB"/>
        </w:rPr>
        <w:t xml:space="preserve">entitlement </w:t>
      </w:r>
      <w:r>
        <w:rPr>
          <w:lang w:val="en-GB"/>
        </w:rPr>
        <w:t xml:space="preserve">radio spectrum </w:t>
      </w:r>
      <w:r w:rsidR="00434D51">
        <w:rPr>
          <w:lang w:val="en-GB"/>
        </w:rPr>
        <w:t xml:space="preserve">use </w:t>
      </w:r>
      <w:r>
        <w:rPr>
          <w:lang w:val="en-GB"/>
        </w:rPr>
        <w:t xml:space="preserve">for up to six basic blocks. </w:t>
      </w:r>
    </w:p>
    <w:p w14:paraId="622E9FCA" w14:textId="657B0C44" w:rsidR="008C63E0" w:rsidRPr="00062AAD" w:rsidRDefault="008C63E0" w:rsidP="008C63E0">
      <w:pPr>
        <w:pStyle w:val="Behzottbekezdsnmhh"/>
      </w:pPr>
      <w:r>
        <w:rPr>
          <w:lang w:val="en-GB"/>
        </w:rPr>
        <w:t xml:space="preserve">For point-to-multipoint systems in the 26 GHz frequency band, the central station → user station, central station → </w:t>
      </w:r>
      <w:r w:rsidR="00D9256F">
        <w:rPr>
          <w:lang w:val="en-GB"/>
        </w:rPr>
        <w:t xml:space="preserve">repeater </w:t>
      </w:r>
      <w:r>
        <w:rPr>
          <w:lang w:val="en-GB"/>
        </w:rPr>
        <w:t xml:space="preserve">station and </w:t>
      </w:r>
      <w:r w:rsidR="00D9256F">
        <w:rPr>
          <w:lang w:val="en-GB"/>
        </w:rPr>
        <w:t xml:space="preserve">repeater </w:t>
      </w:r>
      <w:r>
        <w:rPr>
          <w:lang w:val="en-GB"/>
        </w:rPr>
        <w:t xml:space="preserve">station → user station </w:t>
      </w:r>
      <w:r w:rsidR="00D9256F">
        <w:rPr>
          <w:lang w:val="en-GB"/>
        </w:rPr>
        <w:t xml:space="preserve">transmission </w:t>
      </w:r>
      <w:r>
        <w:rPr>
          <w:lang w:val="en-GB"/>
        </w:rPr>
        <w:t>paths can be used in the lower block band, while the reverse paths can be used in the upper block band.</w:t>
      </w:r>
    </w:p>
    <w:p w14:paraId="063FF4E3" w14:textId="4FB15A89" w:rsidR="004942E2" w:rsidRDefault="008C63E0" w:rsidP="006E5C5B">
      <w:pPr>
        <w:pStyle w:val="Behzottbekezdsnmhh"/>
      </w:pPr>
      <w:r>
        <w:rPr>
          <w:lang w:val="en-GB"/>
        </w:rPr>
        <w:t>The detailed rules for the maximum transmit power values that can be used by the stations and the interference between two stations in adjacent blocks are included in Annex 3 of the NFFF Decree.</w:t>
      </w:r>
      <w:r>
        <w:rPr>
          <w:lang w:val="en-GB"/>
        </w:rPr>
        <w:br w:type="page"/>
      </w:r>
    </w:p>
    <w:p w14:paraId="5EA2624F" w14:textId="69BC438A" w:rsidR="008C63E0" w:rsidRDefault="008C63E0" w:rsidP="008C63E0">
      <w:pPr>
        <w:pStyle w:val="Cmsor1szmozottnmhh"/>
        <w:pageBreakBefore w:val="0"/>
        <w:ind w:left="431" w:hanging="431"/>
      </w:pPr>
      <w:bookmarkStart w:id="40" w:name="_Toc92461625"/>
      <w:bookmarkStart w:id="41" w:name="_Toc26254672"/>
      <w:bookmarkStart w:id="42" w:name="_Toc98343982"/>
      <w:r>
        <w:rPr>
          <w:bCs/>
          <w:lang w:val="en-GB"/>
        </w:rPr>
        <w:lastRenderedPageBreak/>
        <w:t>Current use of the 24.5-26.5 GHz frequency band</w:t>
      </w:r>
      <w:bookmarkEnd w:id="40"/>
      <w:bookmarkEnd w:id="41"/>
      <w:bookmarkEnd w:id="42"/>
      <w:r>
        <w:rPr>
          <w:bCs/>
          <w:lang w:val="en-GB"/>
        </w:rPr>
        <w:t xml:space="preserve"> </w:t>
      </w:r>
    </w:p>
    <w:p w14:paraId="16A2533C" w14:textId="6F3008E9" w:rsidR="008C63E0" w:rsidRPr="00FD7FF2" w:rsidRDefault="008C63E0" w:rsidP="008C63E0">
      <w:pPr>
        <w:pStyle w:val="Behzottbekezdsnmhh"/>
      </w:pPr>
      <w:r>
        <w:rPr>
          <w:lang w:val="en-GB"/>
        </w:rPr>
        <w:t xml:space="preserve">Current </w:t>
      </w:r>
      <w:r w:rsidR="00EB7AA4">
        <w:rPr>
          <w:lang w:val="en-GB"/>
        </w:rPr>
        <w:t xml:space="preserve">entitlements </w:t>
      </w:r>
      <w:r w:rsidR="0085588F">
        <w:rPr>
          <w:lang w:val="en-GB"/>
        </w:rPr>
        <w:t xml:space="preserve">to </w:t>
      </w:r>
      <w:r>
        <w:rPr>
          <w:lang w:val="en-GB"/>
        </w:rPr>
        <w:t xml:space="preserve">radio spectrum </w:t>
      </w:r>
      <w:r w:rsidR="00EB7AA4">
        <w:rPr>
          <w:lang w:val="en-GB"/>
        </w:rPr>
        <w:t xml:space="preserve">use </w:t>
      </w:r>
      <w:r>
        <w:rPr>
          <w:lang w:val="en-GB"/>
        </w:rPr>
        <w:t>are listed in the following table:</w:t>
      </w:r>
    </w:p>
    <w:tbl>
      <w:tblPr>
        <w:tblStyle w:val="Rcsostblzat"/>
        <w:tblW w:w="9782" w:type="dxa"/>
        <w:tblInd w:w="-176" w:type="dxa"/>
        <w:tblBorders>
          <w:top w:val="thinThickMediumGap" w:sz="24" w:space="0" w:color="auto"/>
          <w:left w:val="thinThickMediumGap" w:sz="24" w:space="0" w:color="auto"/>
          <w:bottom w:val="thickThinMediumGap" w:sz="24" w:space="0" w:color="auto"/>
          <w:right w:val="thickThinMediumGap" w:sz="24" w:space="0" w:color="auto"/>
        </w:tblBorders>
        <w:tblLayout w:type="fixed"/>
        <w:tblLook w:val="04A0" w:firstRow="1" w:lastRow="0" w:firstColumn="1" w:lastColumn="0" w:noHBand="0" w:noVBand="1"/>
      </w:tblPr>
      <w:tblGrid>
        <w:gridCol w:w="2411"/>
        <w:gridCol w:w="1559"/>
        <w:gridCol w:w="1701"/>
        <w:gridCol w:w="1701"/>
        <w:gridCol w:w="2410"/>
      </w:tblGrid>
      <w:tr w:rsidR="008C63E0" w:rsidRPr="00E11348" w14:paraId="32FEF31F" w14:textId="77777777" w:rsidTr="00414DEF">
        <w:tc>
          <w:tcPr>
            <w:tcW w:w="2411" w:type="dxa"/>
            <w:tcBorders>
              <w:top w:val="thinThickMediumGap" w:sz="24" w:space="0" w:color="auto"/>
              <w:bottom w:val="thinThickThinMediumGap" w:sz="24" w:space="0" w:color="auto"/>
            </w:tcBorders>
            <w:vAlign w:val="center"/>
          </w:tcPr>
          <w:p w14:paraId="6C5FD2CD" w14:textId="66BC6D76" w:rsidR="008C63E0" w:rsidRPr="00E11348" w:rsidRDefault="00532807" w:rsidP="00532807">
            <w:pPr>
              <w:spacing w:before="120"/>
              <w:jc w:val="center"/>
              <w:rPr>
                <w:rFonts w:cs="Arial"/>
                <w:b/>
                <w:sz w:val="20"/>
              </w:rPr>
            </w:pPr>
            <w:r>
              <w:rPr>
                <w:rFonts w:cs="Arial"/>
                <w:b/>
                <w:bCs/>
                <w:sz w:val="20"/>
                <w:lang w:val="en-GB"/>
              </w:rPr>
              <w:t>RIGHT HOLDER</w:t>
            </w:r>
          </w:p>
        </w:tc>
        <w:tc>
          <w:tcPr>
            <w:tcW w:w="1559" w:type="dxa"/>
            <w:tcBorders>
              <w:top w:val="thinThickMediumGap" w:sz="24" w:space="0" w:color="auto"/>
              <w:bottom w:val="thinThickThinMediumGap" w:sz="24" w:space="0" w:color="auto"/>
            </w:tcBorders>
            <w:vAlign w:val="center"/>
          </w:tcPr>
          <w:p w14:paraId="3326F08B" w14:textId="77777777" w:rsidR="008C63E0" w:rsidRDefault="008C63E0" w:rsidP="00414DEF">
            <w:pPr>
              <w:spacing w:before="120"/>
              <w:jc w:val="center"/>
              <w:rPr>
                <w:rFonts w:cs="Arial"/>
                <w:b/>
                <w:sz w:val="20"/>
              </w:rPr>
            </w:pPr>
            <w:r>
              <w:rPr>
                <w:rFonts w:cs="Arial"/>
                <w:b/>
                <w:bCs/>
                <w:sz w:val="20"/>
                <w:lang w:val="en-GB"/>
              </w:rPr>
              <w:t>BASIC BLOCK</w:t>
            </w:r>
          </w:p>
          <w:p w14:paraId="77E6D7E3" w14:textId="77777777" w:rsidR="008C63E0" w:rsidRPr="00E11348" w:rsidRDefault="008C63E0" w:rsidP="00414DEF">
            <w:pPr>
              <w:spacing w:before="120"/>
              <w:jc w:val="center"/>
              <w:rPr>
                <w:rFonts w:cs="Arial"/>
                <w:b/>
                <w:sz w:val="20"/>
              </w:rPr>
            </w:pPr>
          </w:p>
        </w:tc>
        <w:tc>
          <w:tcPr>
            <w:tcW w:w="1701" w:type="dxa"/>
            <w:tcBorders>
              <w:top w:val="thinThickMediumGap" w:sz="24" w:space="0" w:color="auto"/>
              <w:bottom w:val="thinThickThinMediumGap" w:sz="24" w:space="0" w:color="auto"/>
            </w:tcBorders>
            <w:vAlign w:val="center"/>
          </w:tcPr>
          <w:p w14:paraId="6DF52609" w14:textId="77777777" w:rsidR="008C63E0" w:rsidRPr="00E11348" w:rsidRDefault="008C63E0" w:rsidP="00414DEF">
            <w:pPr>
              <w:spacing w:before="120"/>
              <w:jc w:val="center"/>
              <w:rPr>
                <w:rFonts w:cs="Arial"/>
                <w:b/>
                <w:sz w:val="20"/>
              </w:rPr>
            </w:pPr>
            <w:r>
              <w:rPr>
                <w:rFonts w:cs="Arial"/>
                <w:b/>
                <w:bCs/>
                <w:sz w:val="20"/>
                <w:lang w:val="en-GB"/>
              </w:rPr>
              <w:t>LOWER BAND</w:t>
            </w:r>
          </w:p>
        </w:tc>
        <w:tc>
          <w:tcPr>
            <w:tcW w:w="1701" w:type="dxa"/>
            <w:tcBorders>
              <w:top w:val="thinThickMediumGap" w:sz="24" w:space="0" w:color="auto"/>
              <w:bottom w:val="thinThickThinMediumGap" w:sz="24" w:space="0" w:color="auto"/>
            </w:tcBorders>
            <w:vAlign w:val="center"/>
          </w:tcPr>
          <w:p w14:paraId="70C109CC" w14:textId="77777777" w:rsidR="008C63E0" w:rsidRPr="00E11348" w:rsidRDefault="008C63E0" w:rsidP="00414DEF">
            <w:pPr>
              <w:spacing w:before="120"/>
              <w:jc w:val="center"/>
              <w:rPr>
                <w:rFonts w:cs="Arial"/>
                <w:b/>
                <w:sz w:val="20"/>
              </w:rPr>
            </w:pPr>
            <w:r>
              <w:rPr>
                <w:rFonts w:cs="Arial"/>
                <w:b/>
                <w:bCs/>
                <w:sz w:val="20"/>
                <w:lang w:val="en-GB"/>
              </w:rPr>
              <w:t>UPPER BAND</w:t>
            </w:r>
          </w:p>
        </w:tc>
        <w:tc>
          <w:tcPr>
            <w:tcW w:w="2410" w:type="dxa"/>
            <w:tcBorders>
              <w:top w:val="thinThickMediumGap" w:sz="24" w:space="0" w:color="auto"/>
              <w:bottom w:val="thinThickThinMediumGap" w:sz="24" w:space="0" w:color="auto"/>
            </w:tcBorders>
            <w:vAlign w:val="center"/>
          </w:tcPr>
          <w:p w14:paraId="38A1D1EB" w14:textId="1DF47598" w:rsidR="008C63E0" w:rsidRPr="00E11348" w:rsidRDefault="00EB7AA4" w:rsidP="00414DEF">
            <w:pPr>
              <w:spacing w:before="120"/>
              <w:jc w:val="center"/>
              <w:rPr>
                <w:rFonts w:cs="Arial"/>
                <w:b/>
                <w:sz w:val="20"/>
              </w:rPr>
            </w:pPr>
            <w:r>
              <w:rPr>
                <w:rFonts w:cs="Arial"/>
                <w:b/>
                <w:bCs/>
                <w:sz w:val="20"/>
                <w:lang w:val="en-GB"/>
              </w:rPr>
              <w:t xml:space="preserve">ENTITLEMENT </w:t>
            </w:r>
            <w:r w:rsidR="008C63E0">
              <w:rPr>
                <w:rFonts w:cs="Arial"/>
                <w:b/>
                <w:bCs/>
                <w:sz w:val="20"/>
                <w:lang w:val="en-GB"/>
              </w:rPr>
              <w:t>EXPIRES ON</w:t>
            </w:r>
          </w:p>
        </w:tc>
      </w:tr>
      <w:tr w:rsidR="008C63E0" w:rsidRPr="00E11348" w14:paraId="4AA0F4F0" w14:textId="77777777" w:rsidTr="00414DEF">
        <w:tc>
          <w:tcPr>
            <w:tcW w:w="2411" w:type="dxa"/>
            <w:tcBorders>
              <w:top w:val="thinThickThinMediumGap" w:sz="24" w:space="0" w:color="auto"/>
            </w:tcBorders>
            <w:vAlign w:val="center"/>
          </w:tcPr>
          <w:p w14:paraId="79C1C26D" w14:textId="77777777" w:rsidR="008C63E0" w:rsidRPr="000D44F7" w:rsidRDefault="008C63E0" w:rsidP="00414DEF">
            <w:pPr>
              <w:spacing w:before="40" w:after="40"/>
              <w:jc w:val="center"/>
              <w:rPr>
                <w:rFonts w:cs="Arial"/>
                <w:sz w:val="18"/>
                <w:szCs w:val="18"/>
              </w:rPr>
            </w:pPr>
            <w:r>
              <w:rPr>
                <w:rFonts w:cs="Arial"/>
                <w:sz w:val="18"/>
                <w:szCs w:val="18"/>
                <w:lang w:val="en-GB"/>
              </w:rPr>
              <w:t>AVAILABLE</w:t>
            </w:r>
          </w:p>
        </w:tc>
        <w:tc>
          <w:tcPr>
            <w:tcW w:w="1559" w:type="dxa"/>
            <w:tcBorders>
              <w:top w:val="thinThickThinMediumGap" w:sz="24" w:space="0" w:color="auto"/>
            </w:tcBorders>
            <w:vAlign w:val="center"/>
          </w:tcPr>
          <w:p w14:paraId="194CCB75" w14:textId="77777777" w:rsidR="008C63E0" w:rsidRPr="000D44F7" w:rsidRDefault="008C63E0" w:rsidP="00414DEF">
            <w:pPr>
              <w:spacing w:before="40" w:after="40"/>
              <w:jc w:val="center"/>
              <w:rPr>
                <w:rFonts w:cs="Arial"/>
                <w:color w:val="000000"/>
                <w:sz w:val="18"/>
                <w:szCs w:val="18"/>
              </w:rPr>
            </w:pPr>
            <w:r>
              <w:rPr>
                <w:rFonts w:cs="Arial"/>
                <w:color w:val="000000"/>
                <w:sz w:val="18"/>
                <w:szCs w:val="18"/>
                <w:lang w:val="en-GB"/>
              </w:rPr>
              <w:t>Basic block 1</w:t>
            </w:r>
          </w:p>
        </w:tc>
        <w:tc>
          <w:tcPr>
            <w:tcW w:w="1701" w:type="dxa"/>
            <w:tcBorders>
              <w:top w:val="thinThickThinMediumGap" w:sz="24" w:space="0" w:color="auto"/>
            </w:tcBorders>
            <w:vAlign w:val="center"/>
          </w:tcPr>
          <w:p w14:paraId="322604B9" w14:textId="77777777" w:rsidR="008C63E0" w:rsidRPr="000D44F7" w:rsidRDefault="008C63E0" w:rsidP="00414DEF">
            <w:pPr>
              <w:spacing w:before="40" w:after="40"/>
              <w:jc w:val="center"/>
              <w:rPr>
                <w:rFonts w:cs="Arial"/>
                <w:color w:val="000000"/>
                <w:sz w:val="18"/>
                <w:szCs w:val="18"/>
              </w:rPr>
            </w:pPr>
          </w:p>
        </w:tc>
        <w:tc>
          <w:tcPr>
            <w:tcW w:w="1701" w:type="dxa"/>
            <w:tcBorders>
              <w:top w:val="thinThickThinMediumGap" w:sz="24" w:space="0" w:color="auto"/>
            </w:tcBorders>
            <w:vAlign w:val="center"/>
          </w:tcPr>
          <w:p w14:paraId="778FF00A" w14:textId="77777777" w:rsidR="008C63E0" w:rsidRPr="000D44F7" w:rsidRDefault="008C63E0" w:rsidP="00414DEF">
            <w:pPr>
              <w:spacing w:before="40" w:after="40"/>
              <w:jc w:val="center"/>
              <w:rPr>
                <w:rFonts w:cs="Arial"/>
                <w:color w:val="000000"/>
                <w:sz w:val="18"/>
                <w:szCs w:val="18"/>
              </w:rPr>
            </w:pPr>
          </w:p>
        </w:tc>
        <w:tc>
          <w:tcPr>
            <w:tcW w:w="2410" w:type="dxa"/>
            <w:tcBorders>
              <w:top w:val="thinThickThinMediumGap" w:sz="24" w:space="0" w:color="auto"/>
            </w:tcBorders>
            <w:vAlign w:val="center"/>
          </w:tcPr>
          <w:p w14:paraId="67F8B0BB" w14:textId="77777777" w:rsidR="008C63E0" w:rsidRPr="000D44F7" w:rsidRDefault="008C63E0" w:rsidP="00414DEF">
            <w:pPr>
              <w:spacing w:before="40" w:after="40"/>
              <w:jc w:val="center"/>
              <w:rPr>
                <w:rFonts w:cs="Arial"/>
                <w:sz w:val="18"/>
                <w:szCs w:val="18"/>
              </w:rPr>
            </w:pPr>
          </w:p>
        </w:tc>
      </w:tr>
      <w:tr w:rsidR="008C63E0" w:rsidRPr="00E11348" w14:paraId="506A7F31" w14:textId="77777777" w:rsidTr="00414DEF">
        <w:tc>
          <w:tcPr>
            <w:tcW w:w="2411" w:type="dxa"/>
            <w:vAlign w:val="center"/>
          </w:tcPr>
          <w:p w14:paraId="1BE17075" w14:textId="77777777" w:rsidR="008C63E0" w:rsidRPr="000D44F7" w:rsidRDefault="008C63E0" w:rsidP="00414DEF">
            <w:pPr>
              <w:spacing w:before="40" w:after="40"/>
              <w:jc w:val="center"/>
              <w:rPr>
                <w:rFonts w:cs="Arial"/>
                <w:bCs/>
                <w:spacing w:val="20"/>
                <w:sz w:val="18"/>
                <w:szCs w:val="18"/>
              </w:rPr>
            </w:pPr>
            <w:r>
              <w:rPr>
                <w:rFonts w:cs="Arial"/>
                <w:sz w:val="18"/>
                <w:szCs w:val="18"/>
                <w:lang w:val="en-GB"/>
              </w:rPr>
              <w:t>AVAILABLE</w:t>
            </w:r>
          </w:p>
        </w:tc>
        <w:tc>
          <w:tcPr>
            <w:tcW w:w="1559" w:type="dxa"/>
            <w:vAlign w:val="center"/>
          </w:tcPr>
          <w:p w14:paraId="32A4071B" w14:textId="77777777" w:rsidR="008C63E0" w:rsidRPr="000D44F7" w:rsidRDefault="008C63E0" w:rsidP="00414DEF">
            <w:pPr>
              <w:spacing w:before="40" w:after="40"/>
              <w:jc w:val="center"/>
              <w:rPr>
                <w:rFonts w:cs="Arial"/>
                <w:color w:val="000000"/>
                <w:sz w:val="18"/>
                <w:szCs w:val="18"/>
              </w:rPr>
            </w:pPr>
            <w:r>
              <w:rPr>
                <w:rFonts w:cs="Arial"/>
                <w:color w:val="000000"/>
                <w:sz w:val="18"/>
                <w:szCs w:val="18"/>
                <w:lang w:val="en-GB"/>
              </w:rPr>
              <w:t>Basic block 2</w:t>
            </w:r>
          </w:p>
        </w:tc>
        <w:tc>
          <w:tcPr>
            <w:tcW w:w="1701" w:type="dxa"/>
            <w:vAlign w:val="center"/>
          </w:tcPr>
          <w:p w14:paraId="59B15F0A" w14:textId="77777777" w:rsidR="008C63E0" w:rsidRPr="000D44F7" w:rsidRDefault="008C63E0" w:rsidP="00414DEF">
            <w:pPr>
              <w:spacing w:before="40" w:after="40"/>
              <w:jc w:val="center"/>
              <w:rPr>
                <w:rFonts w:cs="Arial"/>
                <w:color w:val="000000"/>
                <w:sz w:val="18"/>
                <w:szCs w:val="18"/>
              </w:rPr>
            </w:pPr>
          </w:p>
        </w:tc>
        <w:tc>
          <w:tcPr>
            <w:tcW w:w="1701" w:type="dxa"/>
            <w:vAlign w:val="center"/>
          </w:tcPr>
          <w:p w14:paraId="0497E05F" w14:textId="77777777" w:rsidR="008C63E0" w:rsidRPr="000D44F7" w:rsidRDefault="008C63E0" w:rsidP="00414DEF">
            <w:pPr>
              <w:spacing w:before="40" w:after="40"/>
              <w:jc w:val="center"/>
              <w:rPr>
                <w:rFonts w:cs="Arial"/>
                <w:color w:val="000000"/>
                <w:sz w:val="18"/>
                <w:szCs w:val="18"/>
              </w:rPr>
            </w:pPr>
          </w:p>
        </w:tc>
        <w:tc>
          <w:tcPr>
            <w:tcW w:w="2410" w:type="dxa"/>
            <w:vAlign w:val="center"/>
          </w:tcPr>
          <w:p w14:paraId="518758E7" w14:textId="77777777" w:rsidR="008C63E0" w:rsidRPr="000D44F7" w:rsidRDefault="008C63E0" w:rsidP="00414DEF">
            <w:pPr>
              <w:spacing w:before="40" w:after="40"/>
              <w:jc w:val="center"/>
              <w:rPr>
                <w:rFonts w:cs="Arial"/>
                <w:sz w:val="18"/>
                <w:szCs w:val="18"/>
              </w:rPr>
            </w:pPr>
          </w:p>
        </w:tc>
      </w:tr>
      <w:tr w:rsidR="008C63E0" w:rsidRPr="00E11348" w14:paraId="1011E5BD" w14:textId="77777777" w:rsidTr="00414DEF">
        <w:tc>
          <w:tcPr>
            <w:tcW w:w="2411" w:type="dxa"/>
            <w:tcBorders>
              <w:bottom w:val="single" w:sz="4" w:space="0" w:color="auto"/>
            </w:tcBorders>
            <w:vAlign w:val="center"/>
          </w:tcPr>
          <w:p w14:paraId="209E5C82" w14:textId="77777777" w:rsidR="008C63E0" w:rsidRPr="000D44F7" w:rsidRDefault="008C63E0" w:rsidP="00414DEF">
            <w:pPr>
              <w:spacing w:before="40" w:after="40"/>
              <w:jc w:val="center"/>
              <w:rPr>
                <w:rFonts w:cs="Arial"/>
                <w:bCs/>
                <w:spacing w:val="20"/>
                <w:sz w:val="18"/>
                <w:szCs w:val="18"/>
              </w:rPr>
            </w:pPr>
            <w:r>
              <w:rPr>
                <w:rFonts w:cs="Arial"/>
                <w:sz w:val="18"/>
                <w:szCs w:val="18"/>
                <w:lang w:val="en-GB"/>
              </w:rPr>
              <w:t>AVAILABLE</w:t>
            </w:r>
          </w:p>
        </w:tc>
        <w:tc>
          <w:tcPr>
            <w:tcW w:w="1559" w:type="dxa"/>
            <w:tcBorders>
              <w:bottom w:val="single" w:sz="4" w:space="0" w:color="auto"/>
            </w:tcBorders>
            <w:vAlign w:val="center"/>
          </w:tcPr>
          <w:p w14:paraId="764FBBAB" w14:textId="77777777" w:rsidR="008C63E0" w:rsidRPr="000D44F7" w:rsidRDefault="008C63E0" w:rsidP="00414DEF">
            <w:pPr>
              <w:spacing w:before="40" w:after="40"/>
              <w:jc w:val="center"/>
              <w:rPr>
                <w:rFonts w:cs="Arial"/>
                <w:color w:val="000000"/>
                <w:sz w:val="18"/>
                <w:szCs w:val="18"/>
              </w:rPr>
            </w:pPr>
            <w:r>
              <w:rPr>
                <w:rFonts w:cs="Arial"/>
                <w:color w:val="000000"/>
                <w:sz w:val="18"/>
                <w:szCs w:val="18"/>
                <w:lang w:val="en-GB"/>
              </w:rPr>
              <w:t>Basic block 3</w:t>
            </w:r>
          </w:p>
        </w:tc>
        <w:tc>
          <w:tcPr>
            <w:tcW w:w="1701" w:type="dxa"/>
            <w:tcBorders>
              <w:bottom w:val="single" w:sz="4" w:space="0" w:color="auto"/>
            </w:tcBorders>
            <w:vAlign w:val="center"/>
          </w:tcPr>
          <w:p w14:paraId="6BDF8428" w14:textId="77777777" w:rsidR="008C63E0" w:rsidRPr="000D44F7" w:rsidRDefault="008C63E0" w:rsidP="00414DEF">
            <w:pPr>
              <w:spacing w:before="40" w:after="40"/>
              <w:jc w:val="center"/>
              <w:rPr>
                <w:rFonts w:cs="Arial"/>
                <w:color w:val="000000"/>
                <w:sz w:val="18"/>
                <w:szCs w:val="18"/>
              </w:rPr>
            </w:pPr>
          </w:p>
        </w:tc>
        <w:tc>
          <w:tcPr>
            <w:tcW w:w="1701" w:type="dxa"/>
            <w:tcBorders>
              <w:bottom w:val="single" w:sz="4" w:space="0" w:color="auto"/>
            </w:tcBorders>
            <w:vAlign w:val="center"/>
          </w:tcPr>
          <w:p w14:paraId="78DDE83E" w14:textId="77777777" w:rsidR="008C63E0" w:rsidRPr="000D44F7" w:rsidRDefault="008C63E0" w:rsidP="00414DEF">
            <w:pPr>
              <w:spacing w:before="40" w:after="40"/>
              <w:jc w:val="center"/>
              <w:rPr>
                <w:rFonts w:cs="Arial"/>
                <w:color w:val="000000"/>
                <w:sz w:val="18"/>
                <w:szCs w:val="18"/>
              </w:rPr>
            </w:pPr>
          </w:p>
        </w:tc>
        <w:tc>
          <w:tcPr>
            <w:tcW w:w="2410" w:type="dxa"/>
            <w:tcBorders>
              <w:bottom w:val="single" w:sz="4" w:space="0" w:color="auto"/>
            </w:tcBorders>
            <w:vAlign w:val="center"/>
          </w:tcPr>
          <w:p w14:paraId="74237A25" w14:textId="77777777" w:rsidR="008C63E0" w:rsidRPr="000D44F7" w:rsidRDefault="008C63E0" w:rsidP="00414DEF">
            <w:pPr>
              <w:spacing w:before="40" w:after="40"/>
              <w:jc w:val="center"/>
              <w:rPr>
                <w:rFonts w:cs="Arial"/>
                <w:sz w:val="18"/>
                <w:szCs w:val="18"/>
              </w:rPr>
            </w:pPr>
          </w:p>
        </w:tc>
      </w:tr>
      <w:tr w:rsidR="008C63E0" w:rsidRPr="00E11348" w14:paraId="13FEFAF2" w14:textId="77777777" w:rsidTr="00414DEF">
        <w:tc>
          <w:tcPr>
            <w:tcW w:w="2411" w:type="dxa"/>
            <w:vMerge w:val="restart"/>
            <w:tcBorders>
              <w:top w:val="single" w:sz="4" w:space="0" w:color="auto"/>
              <w:bottom w:val="single" w:sz="4" w:space="0" w:color="auto"/>
            </w:tcBorders>
            <w:shd w:val="clear" w:color="auto" w:fill="FABF8F" w:themeFill="accent6" w:themeFillTint="99"/>
            <w:vAlign w:val="center"/>
          </w:tcPr>
          <w:p w14:paraId="19A746B9" w14:textId="1D6F85D6" w:rsidR="008C63E0" w:rsidRPr="000D44F7" w:rsidRDefault="008C63E0" w:rsidP="00414DEF">
            <w:pPr>
              <w:spacing w:before="40" w:after="40"/>
              <w:jc w:val="center"/>
              <w:rPr>
                <w:rFonts w:cs="Arial"/>
                <w:sz w:val="18"/>
                <w:szCs w:val="18"/>
              </w:rPr>
            </w:pPr>
            <w:r>
              <w:rPr>
                <w:rFonts w:cs="Arial"/>
                <w:b/>
                <w:bCs/>
                <w:sz w:val="18"/>
                <w:szCs w:val="18"/>
                <w:lang w:val="en-GB"/>
              </w:rPr>
              <w:t>Magyar Telekom Nyrt.</w:t>
            </w:r>
          </w:p>
        </w:tc>
        <w:tc>
          <w:tcPr>
            <w:tcW w:w="1559" w:type="dxa"/>
            <w:tcBorders>
              <w:top w:val="single" w:sz="4" w:space="0" w:color="auto"/>
              <w:bottom w:val="single" w:sz="4" w:space="0" w:color="auto"/>
            </w:tcBorders>
            <w:shd w:val="clear" w:color="auto" w:fill="FABF8F" w:themeFill="accent6" w:themeFillTint="99"/>
            <w:vAlign w:val="center"/>
          </w:tcPr>
          <w:p w14:paraId="4150F07D" w14:textId="77777777" w:rsidR="008C63E0" w:rsidRPr="000D44F7" w:rsidRDefault="008C63E0" w:rsidP="00414DEF">
            <w:pPr>
              <w:spacing w:before="40" w:after="40"/>
              <w:jc w:val="center"/>
              <w:rPr>
                <w:rFonts w:cs="Arial"/>
                <w:color w:val="000000"/>
                <w:sz w:val="18"/>
                <w:szCs w:val="18"/>
              </w:rPr>
            </w:pPr>
            <w:r>
              <w:rPr>
                <w:rFonts w:cs="Arial"/>
                <w:color w:val="000000"/>
                <w:sz w:val="18"/>
                <w:szCs w:val="18"/>
                <w:lang w:val="en-GB"/>
              </w:rPr>
              <w:t>Basic block 4</w:t>
            </w:r>
          </w:p>
        </w:tc>
        <w:tc>
          <w:tcPr>
            <w:tcW w:w="1701" w:type="dxa"/>
            <w:tcBorders>
              <w:top w:val="single" w:sz="4" w:space="0" w:color="auto"/>
              <w:bottom w:val="single" w:sz="4" w:space="0" w:color="auto"/>
            </w:tcBorders>
            <w:shd w:val="clear" w:color="auto" w:fill="FABF8F" w:themeFill="accent6" w:themeFillTint="99"/>
            <w:vAlign w:val="center"/>
          </w:tcPr>
          <w:p w14:paraId="5926B79C" w14:textId="77777777" w:rsidR="008C63E0" w:rsidRPr="002C4D99" w:rsidRDefault="008C63E0" w:rsidP="00414DEF">
            <w:pPr>
              <w:spacing w:before="40" w:after="40"/>
              <w:jc w:val="center"/>
              <w:rPr>
                <w:rFonts w:cs="Arial"/>
                <w:sz w:val="18"/>
                <w:szCs w:val="18"/>
              </w:rPr>
            </w:pPr>
            <w:r>
              <w:rPr>
                <w:rFonts w:cs="Arial"/>
                <w:sz w:val="18"/>
                <w:szCs w:val="18"/>
                <w:lang w:val="en-GB"/>
              </w:rPr>
              <w:t>24633-24661</w:t>
            </w:r>
          </w:p>
        </w:tc>
        <w:tc>
          <w:tcPr>
            <w:tcW w:w="1701" w:type="dxa"/>
            <w:tcBorders>
              <w:top w:val="single" w:sz="4" w:space="0" w:color="auto"/>
              <w:bottom w:val="single" w:sz="4" w:space="0" w:color="auto"/>
            </w:tcBorders>
            <w:shd w:val="clear" w:color="auto" w:fill="FABF8F" w:themeFill="accent6" w:themeFillTint="99"/>
            <w:vAlign w:val="center"/>
          </w:tcPr>
          <w:p w14:paraId="3D5ED176" w14:textId="77777777" w:rsidR="008C63E0" w:rsidRPr="002C4D99" w:rsidRDefault="008C63E0" w:rsidP="00414DEF">
            <w:pPr>
              <w:spacing w:before="40" w:after="40"/>
              <w:jc w:val="center"/>
              <w:rPr>
                <w:rFonts w:cs="Arial"/>
                <w:sz w:val="18"/>
                <w:szCs w:val="18"/>
              </w:rPr>
            </w:pPr>
            <w:r>
              <w:rPr>
                <w:rFonts w:cs="Arial"/>
                <w:sz w:val="18"/>
                <w:szCs w:val="18"/>
                <w:lang w:val="en-GB"/>
              </w:rPr>
              <w:t>25641-25669</w:t>
            </w:r>
          </w:p>
        </w:tc>
        <w:tc>
          <w:tcPr>
            <w:tcW w:w="2410" w:type="dxa"/>
            <w:vMerge w:val="restart"/>
            <w:tcBorders>
              <w:top w:val="single" w:sz="4" w:space="0" w:color="auto"/>
              <w:bottom w:val="single" w:sz="4" w:space="0" w:color="auto"/>
            </w:tcBorders>
            <w:shd w:val="clear" w:color="auto" w:fill="FABF8F" w:themeFill="accent6" w:themeFillTint="99"/>
            <w:vAlign w:val="center"/>
          </w:tcPr>
          <w:p w14:paraId="198810F3" w14:textId="4C2442CB" w:rsidR="008C63E0" w:rsidRPr="000D44F7" w:rsidRDefault="008C63E0" w:rsidP="002723C1">
            <w:pPr>
              <w:spacing w:before="40" w:after="40"/>
              <w:jc w:val="center"/>
              <w:rPr>
                <w:rFonts w:cs="Arial"/>
                <w:sz w:val="18"/>
                <w:szCs w:val="18"/>
              </w:rPr>
            </w:pPr>
            <w:r>
              <w:rPr>
                <w:rFonts w:cs="Arial"/>
                <w:i/>
                <w:iCs/>
                <w:sz w:val="18"/>
                <w:szCs w:val="18"/>
                <w:lang w:val="en-GB"/>
              </w:rPr>
              <w:t>5 April 2027</w:t>
            </w:r>
          </w:p>
        </w:tc>
      </w:tr>
      <w:tr w:rsidR="008C63E0" w:rsidRPr="00E11348" w14:paraId="306E2B47" w14:textId="77777777" w:rsidTr="00414DEF">
        <w:tc>
          <w:tcPr>
            <w:tcW w:w="2411" w:type="dxa"/>
            <w:vMerge/>
            <w:tcBorders>
              <w:top w:val="single" w:sz="4" w:space="0" w:color="auto"/>
            </w:tcBorders>
            <w:shd w:val="clear" w:color="auto" w:fill="CCCCCC" w:themeFill="text2" w:themeFillTint="33"/>
            <w:vAlign w:val="center"/>
          </w:tcPr>
          <w:p w14:paraId="37EDC006" w14:textId="77777777" w:rsidR="008C63E0" w:rsidRPr="000D44F7" w:rsidRDefault="008C63E0" w:rsidP="00414DEF">
            <w:pPr>
              <w:spacing w:before="40" w:after="40"/>
              <w:jc w:val="center"/>
              <w:rPr>
                <w:rFonts w:cs="Arial"/>
                <w:sz w:val="18"/>
                <w:szCs w:val="18"/>
              </w:rPr>
            </w:pPr>
          </w:p>
        </w:tc>
        <w:tc>
          <w:tcPr>
            <w:tcW w:w="1559" w:type="dxa"/>
            <w:tcBorders>
              <w:top w:val="single" w:sz="4" w:space="0" w:color="auto"/>
              <w:bottom w:val="single" w:sz="4" w:space="0" w:color="auto"/>
            </w:tcBorders>
            <w:shd w:val="clear" w:color="auto" w:fill="FABF8F" w:themeFill="accent6" w:themeFillTint="99"/>
            <w:vAlign w:val="center"/>
          </w:tcPr>
          <w:p w14:paraId="36EC832B" w14:textId="77777777" w:rsidR="008C63E0" w:rsidRPr="000D44F7" w:rsidRDefault="008C63E0" w:rsidP="00414DEF">
            <w:pPr>
              <w:spacing w:before="40" w:after="40"/>
              <w:jc w:val="center"/>
              <w:rPr>
                <w:rFonts w:cs="Arial"/>
                <w:color w:val="000000"/>
                <w:sz w:val="18"/>
                <w:szCs w:val="18"/>
              </w:rPr>
            </w:pPr>
            <w:r>
              <w:rPr>
                <w:rFonts w:cs="Arial"/>
                <w:color w:val="000000"/>
                <w:sz w:val="18"/>
                <w:szCs w:val="18"/>
                <w:lang w:val="en-GB"/>
              </w:rPr>
              <w:t>Basic block 5</w:t>
            </w:r>
          </w:p>
        </w:tc>
        <w:tc>
          <w:tcPr>
            <w:tcW w:w="1701" w:type="dxa"/>
            <w:tcBorders>
              <w:top w:val="single" w:sz="4" w:space="0" w:color="auto"/>
              <w:bottom w:val="single" w:sz="4" w:space="0" w:color="auto"/>
            </w:tcBorders>
            <w:shd w:val="clear" w:color="auto" w:fill="FABF8F" w:themeFill="accent6" w:themeFillTint="99"/>
            <w:vAlign w:val="center"/>
          </w:tcPr>
          <w:p w14:paraId="2A70CC0F" w14:textId="77777777" w:rsidR="008C63E0" w:rsidRPr="002C4D99" w:rsidRDefault="008C63E0" w:rsidP="00414DEF">
            <w:pPr>
              <w:spacing w:before="40" w:after="40"/>
              <w:jc w:val="center"/>
              <w:rPr>
                <w:rFonts w:cs="Arial"/>
                <w:sz w:val="18"/>
                <w:szCs w:val="18"/>
              </w:rPr>
            </w:pPr>
            <w:r>
              <w:rPr>
                <w:rFonts w:cs="Arial"/>
                <w:sz w:val="18"/>
                <w:szCs w:val="18"/>
                <w:lang w:val="en-GB"/>
              </w:rPr>
              <w:t>24661-24689</w:t>
            </w:r>
          </w:p>
        </w:tc>
        <w:tc>
          <w:tcPr>
            <w:tcW w:w="1701" w:type="dxa"/>
            <w:tcBorders>
              <w:top w:val="single" w:sz="4" w:space="0" w:color="auto"/>
              <w:bottom w:val="single" w:sz="4" w:space="0" w:color="auto"/>
            </w:tcBorders>
            <w:shd w:val="clear" w:color="auto" w:fill="FABF8F" w:themeFill="accent6" w:themeFillTint="99"/>
            <w:vAlign w:val="center"/>
          </w:tcPr>
          <w:p w14:paraId="44512135" w14:textId="77777777" w:rsidR="008C63E0" w:rsidRPr="002C4D99" w:rsidRDefault="008C63E0" w:rsidP="00414DEF">
            <w:pPr>
              <w:spacing w:before="40" w:after="40"/>
              <w:jc w:val="center"/>
              <w:rPr>
                <w:rFonts w:cs="Arial"/>
                <w:sz w:val="18"/>
                <w:szCs w:val="18"/>
              </w:rPr>
            </w:pPr>
            <w:r>
              <w:rPr>
                <w:rFonts w:cs="Arial"/>
                <w:sz w:val="18"/>
                <w:szCs w:val="18"/>
                <w:lang w:val="en-GB"/>
              </w:rPr>
              <w:t>25669-25697</w:t>
            </w:r>
          </w:p>
        </w:tc>
        <w:tc>
          <w:tcPr>
            <w:tcW w:w="2410" w:type="dxa"/>
            <w:vMerge/>
            <w:tcBorders>
              <w:top w:val="single" w:sz="4" w:space="0" w:color="auto"/>
            </w:tcBorders>
            <w:shd w:val="clear" w:color="auto" w:fill="CCCCCC" w:themeFill="text2" w:themeFillTint="33"/>
            <w:vAlign w:val="center"/>
          </w:tcPr>
          <w:p w14:paraId="7773CC36" w14:textId="77777777" w:rsidR="008C63E0" w:rsidRPr="000D44F7" w:rsidRDefault="008C63E0" w:rsidP="00414DEF">
            <w:pPr>
              <w:spacing w:before="40" w:after="40"/>
              <w:jc w:val="center"/>
              <w:rPr>
                <w:rFonts w:cs="Arial"/>
                <w:sz w:val="18"/>
                <w:szCs w:val="18"/>
              </w:rPr>
            </w:pPr>
          </w:p>
        </w:tc>
      </w:tr>
      <w:tr w:rsidR="008C63E0" w:rsidRPr="00E11348" w14:paraId="2DF3690E" w14:textId="77777777" w:rsidTr="00414DEF">
        <w:tc>
          <w:tcPr>
            <w:tcW w:w="2411" w:type="dxa"/>
            <w:shd w:val="clear" w:color="auto" w:fill="auto"/>
            <w:vAlign w:val="center"/>
          </w:tcPr>
          <w:p w14:paraId="0D7F1FC8" w14:textId="77777777" w:rsidR="008C63E0" w:rsidRPr="000D44F7" w:rsidRDefault="008C63E0" w:rsidP="00414DEF">
            <w:pPr>
              <w:spacing w:before="40" w:after="40"/>
              <w:jc w:val="center"/>
              <w:rPr>
                <w:rFonts w:cs="Arial"/>
                <w:bCs/>
                <w:spacing w:val="20"/>
                <w:sz w:val="18"/>
                <w:szCs w:val="18"/>
              </w:rPr>
            </w:pPr>
            <w:r>
              <w:rPr>
                <w:rFonts w:cs="Arial"/>
                <w:sz w:val="18"/>
                <w:szCs w:val="18"/>
                <w:lang w:val="en-GB"/>
              </w:rPr>
              <w:t>GUARD BAND</w:t>
            </w:r>
          </w:p>
        </w:tc>
        <w:tc>
          <w:tcPr>
            <w:tcW w:w="1559" w:type="dxa"/>
            <w:tcBorders>
              <w:top w:val="single" w:sz="4" w:space="0" w:color="auto"/>
            </w:tcBorders>
            <w:shd w:val="clear" w:color="auto" w:fill="auto"/>
            <w:vAlign w:val="center"/>
          </w:tcPr>
          <w:p w14:paraId="60F2FF17" w14:textId="77777777" w:rsidR="008C63E0" w:rsidRPr="000D44F7" w:rsidRDefault="008C63E0" w:rsidP="00414DEF">
            <w:pPr>
              <w:spacing w:before="40" w:after="40"/>
              <w:jc w:val="center"/>
              <w:rPr>
                <w:rFonts w:cs="Arial"/>
                <w:color w:val="000000"/>
                <w:sz w:val="18"/>
                <w:szCs w:val="18"/>
              </w:rPr>
            </w:pPr>
            <w:r>
              <w:rPr>
                <w:rFonts w:cs="Arial"/>
                <w:color w:val="000000"/>
                <w:sz w:val="18"/>
                <w:szCs w:val="18"/>
                <w:lang w:val="en-GB"/>
              </w:rPr>
              <w:t>Basic block 6</w:t>
            </w:r>
          </w:p>
        </w:tc>
        <w:tc>
          <w:tcPr>
            <w:tcW w:w="1701" w:type="dxa"/>
            <w:tcBorders>
              <w:top w:val="single" w:sz="4" w:space="0" w:color="auto"/>
            </w:tcBorders>
            <w:shd w:val="clear" w:color="auto" w:fill="auto"/>
            <w:vAlign w:val="center"/>
          </w:tcPr>
          <w:p w14:paraId="6531017A" w14:textId="77777777" w:rsidR="008C63E0" w:rsidRPr="002C4D99" w:rsidRDefault="008C63E0" w:rsidP="00414DEF">
            <w:pPr>
              <w:spacing w:before="40" w:after="40"/>
              <w:jc w:val="center"/>
              <w:rPr>
                <w:rFonts w:cs="Arial"/>
                <w:sz w:val="18"/>
                <w:szCs w:val="18"/>
              </w:rPr>
            </w:pPr>
            <w:r>
              <w:rPr>
                <w:rFonts w:cs="Arial"/>
                <w:sz w:val="18"/>
                <w:szCs w:val="18"/>
                <w:lang w:val="en-GB"/>
              </w:rPr>
              <w:t>24689-24717</w:t>
            </w:r>
          </w:p>
        </w:tc>
        <w:tc>
          <w:tcPr>
            <w:tcW w:w="1701" w:type="dxa"/>
            <w:tcBorders>
              <w:top w:val="single" w:sz="4" w:space="0" w:color="auto"/>
            </w:tcBorders>
            <w:shd w:val="clear" w:color="auto" w:fill="auto"/>
            <w:vAlign w:val="center"/>
          </w:tcPr>
          <w:p w14:paraId="24128348" w14:textId="77777777" w:rsidR="008C63E0" w:rsidRPr="002C4D99" w:rsidRDefault="008C63E0" w:rsidP="00414DEF">
            <w:pPr>
              <w:spacing w:before="40" w:after="40"/>
              <w:jc w:val="center"/>
              <w:rPr>
                <w:rFonts w:cs="Arial"/>
                <w:sz w:val="18"/>
                <w:szCs w:val="18"/>
              </w:rPr>
            </w:pPr>
            <w:r>
              <w:rPr>
                <w:rFonts w:cs="Arial"/>
                <w:sz w:val="18"/>
                <w:szCs w:val="18"/>
                <w:lang w:val="en-GB"/>
              </w:rPr>
              <w:t>25697-25725</w:t>
            </w:r>
          </w:p>
        </w:tc>
        <w:tc>
          <w:tcPr>
            <w:tcW w:w="2410" w:type="dxa"/>
            <w:shd w:val="clear" w:color="auto" w:fill="auto"/>
            <w:vAlign w:val="center"/>
          </w:tcPr>
          <w:p w14:paraId="75433273" w14:textId="77777777" w:rsidR="008C63E0" w:rsidRPr="000D44F7" w:rsidRDefault="008C63E0" w:rsidP="00414DEF">
            <w:pPr>
              <w:spacing w:before="40" w:after="40"/>
              <w:jc w:val="center"/>
              <w:rPr>
                <w:rFonts w:cs="Arial"/>
                <w:sz w:val="18"/>
                <w:szCs w:val="18"/>
              </w:rPr>
            </w:pPr>
          </w:p>
        </w:tc>
      </w:tr>
      <w:tr w:rsidR="008C63E0" w:rsidRPr="00E11348" w14:paraId="4DA63CE3" w14:textId="77777777" w:rsidTr="00532807">
        <w:tc>
          <w:tcPr>
            <w:tcW w:w="2411" w:type="dxa"/>
            <w:vMerge w:val="restart"/>
            <w:shd w:val="clear" w:color="auto" w:fill="D6E3BC" w:themeFill="accent3" w:themeFillTint="66"/>
            <w:vAlign w:val="center"/>
          </w:tcPr>
          <w:p w14:paraId="66BACB7C" w14:textId="3CF7C2A2" w:rsidR="008C63E0" w:rsidRPr="000D44F7" w:rsidRDefault="008C63E0" w:rsidP="00532807">
            <w:pPr>
              <w:jc w:val="center"/>
              <w:rPr>
                <w:rFonts w:cs="Arial"/>
                <w:sz w:val="18"/>
                <w:szCs w:val="18"/>
              </w:rPr>
            </w:pPr>
            <w:r>
              <w:rPr>
                <w:rFonts w:cs="Arial"/>
                <w:b/>
                <w:bCs/>
                <w:sz w:val="18"/>
                <w:szCs w:val="18"/>
                <w:lang w:val="en-GB"/>
              </w:rPr>
              <w:t>Telenor Magyarország Zrt.</w:t>
            </w:r>
            <w:r>
              <w:rPr>
                <w:rStyle w:val="Lbjegyzet-hivatkozs"/>
                <w:rFonts w:cs="Arial"/>
                <w:b/>
                <w:bCs/>
                <w:sz w:val="18"/>
                <w:szCs w:val="18"/>
                <w:lang w:val="en-GB"/>
              </w:rPr>
              <w:footnoteReference w:id="43"/>
            </w:r>
          </w:p>
        </w:tc>
        <w:tc>
          <w:tcPr>
            <w:tcW w:w="1559" w:type="dxa"/>
            <w:shd w:val="clear" w:color="auto" w:fill="D6E3BC" w:themeFill="accent3" w:themeFillTint="66"/>
            <w:vAlign w:val="center"/>
          </w:tcPr>
          <w:p w14:paraId="271D3D53"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7</w:t>
            </w:r>
          </w:p>
        </w:tc>
        <w:tc>
          <w:tcPr>
            <w:tcW w:w="1701" w:type="dxa"/>
            <w:shd w:val="clear" w:color="auto" w:fill="D6E3BC" w:themeFill="accent3" w:themeFillTint="66"/>
            <w:vAlign w:val="center"/>
          </w:tcPr>
          <w:p w14:paraId="27C6547F" w14:textId="77777777" w:rsidR="008C63E0" w:rsidRPr="002C4D99" w:rsidRDefault="008C63E0" w:rsidP="00414DEF">
            <w:pPr>
              <w:keepNext/>
              <w:spacing w:before="40" w:after="40"/>
              <w:jc w:val="center"/>
              <w:rPr>
                <w:rFonts w:cs="Arial"/>
                <w:sz w:val="18"/>
                <w:szCs w:val="18"/>
              </w:rPr>
            </w:pPr>
            <w:r>
              <w:rPr>
                <w:rFonts w:cs="Arial"/>
                <w:sz w:val="18"/>
                <w:szCs w:val="18"/>
                <w:lang w:val="en-GB"/>
              </w:rPr>
              <w:t>24717-24745</w:t>
            </w:r>
          </w:p>
        </w:tc>
        <w:tc>
          <w:tcPr>
            <w:tcW w:w="1701" w:type="dxa"/>
            <w:shd w:val="clear" w:color="auto" w:fill="D6E3BC" w:themeFill="accent3" w:themeFillTint="66"/>
            <w:vAlign w:val="center"/>
          </w:tcPr>
          <w:p w14:paraId="7EA46094" w14:textId="77777777" w:rsidR="008C63E0" w:rsidRPr="002C4D99" w:rsidRDefault="008C63E0" w:rsidP="00414DEF">
            <w:pPr>
              <w:keepNext/>
              <w:spacing w:before="40" w:after="40"/>
              <w:jc w:val="center"/>
              <w:rPr>
                <w:rFonts w:cs="Arial"/>
                <w:sz w:val="18"/>
                <w:szCs w:val="18"/>
              </w:rPr>
            </w:pPr>
            <w:r>
              <w:rPr>
                <w:rFonts w:cs="Arial"/>
                <w:sz w:val="18"/>
                <w:szCs w:val="18"/>
                <w:lang w:val="en-GB"/>
              </w:rPr>
              <w:t>25725-25753</w:t>
            </w:r>
          </w:p>
        </w:tc>
        <w:tc>
          <w:tcPr>
            <w:tcW w:w="2410" w:type="dxa"/>
            <w:vMerge w:val="restart"/>
            <w:shd w:val="clear" w:color="auto" w:fill="D6E3BC" w:themeFill="accent3" w:themeFillTint="66"/>
            <w:vAlign w:val="center"/>
          </w:tcPr>
          <w:p w14:paraId="55237E04" w14:textId="31871439" w:rsidR="008C63E0" w:rsidRPr="000D44F7" w:rsidRDefault="002723C1" w:rsidP="002723C1">
            <w:pPr>
              <w:spacing w:before="40" w:after="40"/>
              <w:jc w:val="center"/>
              <w:rPr>
                <w:rFonts w:cs="Arial"/>
                <w:sz w:val="18"/>
                <w:szCs w:val="18"/>
              </w:rPr>
            </w:pPr>
            <w:r>
              <w:rPr>
                <w:rFonts w:cs="Arial"/>
                <w:i/>
                <w:iCs/>
                <w:sz w:val="18"/>
                <w:szCs w:val="18"/>
                <w:lang w:val="en-GB"/>
              </w:rPr>
              <w:t>5 April 2027</w:t>
            </w:r>
          </w:p>
        </w:tc>
      </w:tr>
      <w:tr w:rsidR="008C63E0" w:rsidRPr="00E11348" w14:paraId="6EC2E842" w14:textId="77777777" w:rsidTr="00414DEF">
        <w:tc>
          <w:tcPr>
            <w:tcW w:w="2411" w:type="dxa"/>
            <w:vMerge/>
            <w:shd w:val="clear" w:color="auto" w:fill="D6E3BC" w:themeFill="accent3" w:themeFillTint="66"/>
            <w:vAlign w:val="center"/>
          </w:tcPr>
          <w:p w14:paraId="7D7ABDB5" w14:textId="77777777" w:rsidR="008C63E0" w:rsidRDefault="008C63E0" w:rsidP="00414DEF">
            <w:pPr>
              <w:jc w:val="center"/>
            </w:pPr>
          </w:p>
        </w:tc>
        <w:tc>
          <w:tcPr>
            <w:tcW w:w="1559" w:type="dxa"/>
            <w:shd w:val="clear" w:color="auto" w:fill="D6E3BC" w:themeFill="accent3" w:themeFillTint="66"/>
            <w:vAlign w:val="center"/>
          </w:tcPr>
          <w:p w14:paraId="68CCC283"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8</w:t>
            </w:r>
          </w:p>
        </w:tc>
        <w:tc>
          <w:tcPr>
            <w:tcW w:w="1701" w:type="dxa"/>
            <w:shd w:val="clear" w:color="auto" w:fill="D6E3BC" w:themeFill="accent3" w:themeFillTint="66"/>
            <w:vAlign w:val="center"/>
          </w:tcPr>
          <w:p w14:paraId="124EFBE0" w14:textId="77777777" w:rsidR="008C63E0" w:rsidRPr="002C4D99" w:rsidRDefault="008C63E0" w:rsidP="00414DEF">
            <w:pPr>
              <w:keepNext/>
              <w:spacing w:before="40" w:after="40"/>
              <w:jc w:val="center"/>
              <w:rPr>
                <w:rFonts w:cs="Arial"/>
                <w:sz w:val="18"/>
                <w:szCs w:val="18"/>
              </w:rPr>
            </w:pPr>
            <w:r>
              <w:rPr>
                <w:rFonts w:cs="Arial"/>
                <w:sz w:val="18"/>
                <w:szCs w:val="18"/>
                <w:lang w:val="en-GB"/>
              </w:rPr>
              <w:t>24745-24773</w:t>
            </w:r>
          </w:p>
        </w:tc>
        <w:tc>
          <w:tcPr>
            <w:tcW w:w="1701" w:type="dxa"/>
            <w:shd w:val="clear" w:color="auto" w:fill="D6E3BC" w:themeFill="accent3" w:themeFillTint="66"/>
            <w:vAlign w:val="center"/>
          </w:tcPr>
          <w:p w14:paraId="7B218382" w14:textId="77777777" w:rsidR="008C63E0" w:rsidRPr="002C4D99" w:rsidRDefault="008C63E0" w:rsidP="00414DEF">
            <w:pPr>
              <w:keepNext/>
              <w:spacing w:before="40" w:after="40"/>
              <w:jc w:val="center"/>
              <w:rPr>
                <w:rFonts w:cs="Arial"/>
                <w:sz w:val="18"/>
                <w:szCs w:val="18"/>
              </w:rPr>
            </w:pPr>
            <w:r>
              <w:rPr>
                <w:rFonts w:cs="Arial"/>
                <w:sz w:val="18"/>
                <w:szCs w:val="18"/>
                <w:lang w:val="en-GB"/>
              </w:rPr>
              <w:t>25753-25781</w:t>
            </w:r>
          </w:p>
        </w:tc>
        <w:tc>
          <w:tcPr>
            <w:tcW w:w="2410" w:type="dxa"/>
            <w:vMerge/>
            <w:shd w:val="clear" w:color="auto" w:fill="D6E3BC" w:themeFill="accent3" w:themeFillTint="66"/>
            <w:vAlign w:val="center"/>
          </w:tcPr>
          <w:p w14:paraId="4FBF08D6" w14:textId="77777777" w:rsidR="008C63E0" w:rsidRPr="000D44F7" w:rsidRDefault="008C63E0" w:rsidP="00414DEF">
            <w:pPr>
              <w:spacing w:before="40" w:after="40"/>
              <w:jc w:val="center"/>
              <w:rPr>
                <w:rFonts w:cs="Arial"/>
                <w:sz w:val="18"/>
                <w:szCs w:val="18"/>
              </w:rPr>
            </w:pPr>
          </w:p>
        </w:tc>
      </w:tr>
      <w:tr w:rsidR="008C63E0" w:rsidRPr="00E11348" w14:paraId="30CC9B2A" w14:textId="77777777" w:rsidTr="00414DEF">
        <w:tc>
          <w:tcPr>
            <w:tcW w:w="2411" w:type="dxa"/>
            <w:vMerge/>
            <w:shd w:val="clear" w:color="auto" w:fill="D6E3BC" w:themeFill="accent3" w:themeFillTint="66"/>
            <w:vAlign w:val="center"/>
          </w:tcPr>
          <w:p w14:paraId="4655291B" w14:textId="77777777" w:rsidR="008C63E0" w:rsidRDefault="008C63E0" w:rsidP="00414DEF">
            <w:pPr>
              <w:jc w:val="center"/>
            </w:pPr>
          </w:p>
        </w:tc>
        <w:tc>
          <w:tcPr>
            <w:tcW w:w="1559" w:type="dxa"/>
            <w:shd w:val="clear" w:color="auto" w:fill="D6E3BC" w:themeFill="accent3" w:themeFillTint="66"/>
            <w:vAlign w:val="center"/>
          </w:tcPr>
          <w:p w14:paraId="4C16D7D6"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9</w:t>
            </w:r>
          </w:p>
        </w:tc>
        <w:tc>
          <w:tcPr>
            <w:tcW w:w="1701" w:type="dxa"/>
            <w:shd w:val="clear" w:color="auto" w:fill="D6E3BC" w:themeFill="accent3" w:themeFillTint="66"/>
            <w:vAlign w:val="center"/>
          </w:tcPr>
          <w:p w14:paraId="2362FD38" w14:textId="77777777" w:rsidR="008C63E0" w:rsidRPr="002C4D99" w:rsidRDefault="008C63E0" w:rsidP="00414DEF">
            <w:pPr>
              <w:keepNext/>
              <w:spacing w:before="40" w:after="40"/>
              <w:jc w:val="center"/>
              <w:rPr>
                <w:rFonts w:cs="Arial"/>
                <w:sz w:val="18"/>
                <w:szCs w:val="18"/>
              </w:rPr>
            </w:pPr>
            <w:r>
              <w:rPr>
                <w:rFonts w:cs="Arial"/>
                <w:sz w:val="18"/>
                <w:szCs w:val="18"/>
                <w:lang w:val="en-GB"/>
              </w:rPr>
              <w:t>24773-24801</w:t>
            </w:r>
          </w:p>
        </w:tc>
        <w:tc>
          <w:tcPr>
            <w:tcW w:w="1701" w:type="dxa"/>
            <w:shd w:val="clear" w:color="auto" w:fill="D6E3BC" w:themeFill="accent3" w:themeFillTint="66"/>
            <w:vAlign w:val="center"/>
          </w:tcPr>
          <w:p w14:paraId="279903F8" w14:textId="77777777" w:rsidR="008C63E0" w:rsidRPr="002C4D99" w:rsidRDefault="008C63E0" w:rsidP="00414DEF">
            <w:pPr>
              <w:keepNext/>
              <w:spacing w:before="40" w:after="40"/>
              <w:jc w:val="center"/>
              <w:rPr>
                <w:rFonts w:cs="Arial"/>
                <w:sz w:val="18"/>
                <w:szCs w:val="18"/>
              </w:rPr>
            </w:pPr>
            <w:r>
              <w:rPr>
                <w:rFonts w:cs="Arial"/>
                <w:sz w:val="18"/>
                <w:szCs w:val="18"/>
                <w:lang w:val="en-GB"/>
              </w:rPr>
              <w:t>25781-25809</w:t>
            </w:r>
          </w:p>
        </w:tc>
        <w:tc>
          <w:tcPr>
            <w:tcW w:w="2410" w:type="dxa"/>
            <w:vMerge/>
            <w:shd w:val="clear" w:color="auto" w:fill="D6E3BC" w:themeFill="accent3" w:themeFillTint="66"/>
            <w:vAlign w:val="center"/>
          </w:tcPr>
          <w:p w14:paraId="343A0488" w14:textId="77777777" w:rsidR="008C63E0" w:rsidRPr="000D44F7" w:rsidRDefault="008C63E0" w:rsidP="00414DEF">
            <w:pPr>
              <w:spacing w:before="40" w:after="40"/>
              <w:jc w:val="center"/>
              <w:rPr>
                <w:rFonts w:cs="Arial"/>
                <w:sz w:val="18"/>
                <w:szCs w:val="18"/>
              </w:rPr>
            </w:pPr>
          </w:p>
        </w:tc>
      </w:tr>
      <w:tr w:rsidR="008C63E0" w:rsidRPr="00E11348" w14:paraId="24352C01" w14:textId="77777777" w:rsidTr="00414DEF">
        <w:tc>
          <w:tcPr>
            <w:tcW w:w="2411" w:type="dxa"/>
            <w:vMerge/>
            <w:shd w:val="clear" w:color="auto" w:fill="D6E3BC" w:themeFill="accent3" w:themeFillTint="66"/>
            <w:vAlign w:val="center"/>
          </w:tcPr>
          <w:p w14:paraId="34697838" w14:textId="77777777" w:rsidR="008C63E0" w:rsidRDefault="008C63E0" w:rsidP="00414DEF">
            <w:pPr>
              <w:jc w:val="center"/>
            </w:pPr>
          </w:p>
        </w:tc>
        <w:tc>
          <w:tcPr>
            <w:tcW w:w="1559" w:type="dxa"/>
            <w:shd w:val="clear" w:color="auto" w:fill="D6E3BC" w:themeFill="accent3" w:themeFillTint="66"/>
            <w:vAlign w:val="center"/>
          </w:tcPr>
          <w:p w14:paraId="4D35CDA4"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10</w:t>
            </w:r>
          </w:p>
        </w:tc>
        <w:tc>
          <w:tcPr>
            <w:tcW w:w="1701" w:type="dxa"/>
            <w:shd w:val="clear" w:color="auto" w:fill="D6E3BC" w:themeFill="accent3" w:themeFillTint="66"/>
            <w:vAlign w:val="center"/>
          </w:tcPr>
          <w:p w14:paraId="241EE97E" w14:textId="77777777" w:rsidR="008C63E0" w:rsidRPr="002C4D99" w:rsidRDefault="008C63E0" w:rsidP="00414DEF">
            <w:pPr>
              <w:keepNext/>
              <w:spacing w:before="40" w:after="40"/>
              <w:jc w:val="center"/>
              <w:rPr>
                <w:rFonts w:cs="Arial"/>
                <w:sz w:val="18"/>
                <w:szCs w:val="18"/>
              </w:rPr>
            </w:pPr>
            <w:r>
              <w:rPr>
                <w:rFonts w:cs="Arial"/>
                <w:sz w:val="18"/>
                <w:szCs w:val="18"/>
                <w:lang w:val="en-GB"/>
              </w:rPr>
              <w:t>24801-24829</w:t>
            </w:r>
          </w:p>
        </w:tc>
        <w:tc>
          <w:tcPr>
            <w:tcW w:w="1701" w:type="dxa"/>
            <w:shd w:val="clear" w:color="auto" w:fill="D6E3BC" w:themeFill="accent3" w:themeFillTint="66"/>
            <w:vAlign w:val="center"/>
          </w:tcPr>
          <w:p w14:paraId="50F0433D" w14:textId="77777777" w:rsidR="008C63E0" w:rsidRPr="002C4D99" w:rsidRDefault="008C63E0" w:rsidP="00414DEF">
            <w:pPr>
              <w:keepNext/>
              <w:spacing w:before="40" w:after="40"/>
              <w:jc w:val="center"/>
              <w:rPr>
                <w:rFonts w:cs="Arial"/>
                <w:sz w:val="18"/>
                <w:szCs w:val="18"/>
              </w:rPr>
            </w:pPr>
            <w:r>
              <w:rPr>
                <w:rFonts w:cs="Arial"/>
                <w:sz w:val="18"/>
                <w:szCs w:val="18"/>
                <w:lang w:val="en-GB"/>
              </w:rPr>
              <w:t>25809-25837</w:t>
            </w:r>
          </w:p>
        </w:tc>
        <w:tc>
          <w:tcPr>
            <w:tcW w:w="2410" w:type="dxa"/>
            <w:vMerge/>
            <w:shd w:val="clear" w:color="auto" w:fill="D6E3BC" w:themeFill="accent3" w:themeFillTint="66"/>
            <w:vAlign w:val="center"/>
          </w:tcPr>
          <w:p w14:paraId="2C506B67" w14:textId="77777777" w:rsidR="008C63E0" w:rsidRPr="000D44F7" w:rsidRDefault="008C63E0" w:rsidP="00414DEF">
            <w:pPr>
              <w:spacing w:before="40" w:after="40"/>
              <w:jc w:val="center"/>
              <w:rPr>
                <w:rFonts w:cs="Arial"/>
                <w:sz w:val="18"/>
                <w:szCs w:val="18"/>
              </w:rPr>
            </w:pPr>
          </w:p>
        </w:tc>
      </w:tr>
      <w:tr w:rsidR="008C63E0" w:rsidRPr="00E11348" w14:paraId="7213FE48" w14:textId="77777777" w:rsidTr="00414DEF">
        <w:tc>
          <w:tcPr>
            <w:tcW w:w="2411" w:type="dxa"/>
            <w:tcBorders>
              <w:bottom w:val="single" w:sz="4" w:space="0" w:color="auto"/>
            </w:tcBorders>
            <w:shd w:val="clear" w:color="auto" w:fill="auto"/>
            <w:vAlign w:val="center"/>
          </w:tcPr>
          <w:p w14:paraId="26E5F72F" w14:textId="77777777" w:rsidR="008C63E0" w:rsidRPr="000D44F7" w:rsidRDefault="008C63E0" w:rsidP="00414DEF">
            <w:pPr>
              <w:spacing w:before="40" w:after="40"/>
              <w:jc w:val="center"/>
              <w:rPr>
                <w:rFonts w:cs="Arial"/>
                <w:sz w:val="18"/>
                <w:szCs w:val="18"/>
              </w:rPr>
            </w:pPr>
            <w:r>
              <w:rPr>
                <w:rFonts w:cs="Arial"/>
                <w:sz w:val="18"/>
                <w:szCs w:val="18"/>
                <w:lang w:val="en-GB"/>
              </w:rPr>
              <w:t>GUARD BAND</w:t>
            </w:r>
          </w:p>
        </w:tc>
        <w:tc>
          <w:tcPr>
            <w:tcW w:w="1559" w:type="dxa"/>
            <w:tcBorders>
              <w:bottom w:val="single" w:sz="4" w:space="0" w:color="auto"/>
            </w:tcBorders>
            <w:shd w:val="clear" w:color="auto" w:fill="auto"/>
            <w:vAlign w:val="center"/>
          </w:tcPr>
          <w:p w14:paraId="5F48913A" w14:textId="77777777" w:rsidR="008C63E0" w:rsidRPr="000D44F7" w:rsidRDefault="008C63E0" w:rsidP="00414DEF">
            <w:pPr>
              <w:spacing w:before="40" w:after="40"/>
              <w:jc w:val="center"/>
              <w:rPr>
                <w:rFonts w:cs="Arial"/>
                <w:sz w:val="18"/>
                <w:szCs w:val="18"/>
              </w:rPr>
            </w:pPr>
            <w:r>
              <w:rPr>
                <w:rFonts w:cs="Arial"/>
                <w:sz w:val="18"/>
                <w:szCs w:val="18"/>
                <w:lang w:val="en-GB"/>
              </w:rPr>
              <w:t>Basic block 11</w:t>
            </w:r>
          </w:p>
        </w:tc>
        <w:tc>
          <w:tcPr>
            <w:tcW w:w="1701" w:type="dxa"/>
            <w:tcBorders>
              <w:bottom w:val="single" w:sz="4" w:space="0" w:color="auto"/>
            </w:tcBorders>
            <w:shd w:val="clear" w:color="auto" w:fill="auto"/>
            <w:vAlign w:val="center"/>
          </w:tcPr>
          <w:p w14:paraId="7DF83F06" w14:textId="77777777" w:rsidR="008C63E0" w:rsidRPr="002C4D99" w:rsidRDefault="008C63E0" w:rsidP="00414DEF">
            <w:pPr>
              <w:spacing w:before="40" w:after="40"/>
              <w:jc w:val="center"/>
              <w:rPr>
                <w:rFonts w:cs="Arial"/>
                <w:sz w:val="18"/>
                <w:szCs w:val="18"/>
              </w:rPr>
            </w:pPr>
            <w:r>
              <w:rPr>
                <w:rFonts w:cs="Arial"/>
                <w:sz w:val="18"/>
                <w:szCs w:val="18"/>
                <w:lang w:val="en-GB"/>
              </w:rPr>
              <w:t>24829-24857</w:t>
            </w:r>
          </w:p>
        </w:tc>
        <w:tc>
          <w:tcPr>
            <w:tcW w:w="1701" w:type="dxa"/>
            <w:tcBorders>
              <w:bottom w:val="single" w:sz="4" w:space="0" w:color="auto"/>
            </w:tcBorders>
            <w:shd w:val="clear" w:color="auto" w:fill="auto"/>
            <w:vAlign w:val="center"/>
          </w:tcPr>
          <w:p w14:paraId="3796CB08" w14:textId="77777777" w:rsidR="008C63E0" w:rsidRPr="002C4D99" w:rsidRDefault="008C63E0" w:rsidP="00414DEF">
            <w:pPr>
              <w:spacing w:before="40" w:after="40"/>
              <w:jc w:val="center"/>
              <w:rPr>
                <w:rFonts w:cs="Arial"/>
                <w:sz w:val="18"/>
                <w:szCs w:val="18"/>
              </w:rPr>
            </w:pPr>
            <w:r>
              <w:rPr>
                <w:rFonts w:cs="Arial"/>
                <w:sz w:val="18"/>
                <w:szCs w:val="18"/>
                <w:lang w:val="en-GB"/>
              </w:rPr>
              <w:t>25837-25865</w:t>
            </w:r>
          </w:p>
        </w:tc>
        <w:tc>
          <w:tcPr>
            <w:tcW w:w="2410" w:type="dxa"/>
            <w:tcBorders>
              <w:bottom w:val="single" w:sz="4" w:space="0" w:color="auto"/>
            </w:tcBorders>
            <w:shd w:val="clear" w:color="auto" w:fill="auto"/>
            <w:vAlign w:val="center"/>
          </w:tcPr>
          <w:p w14:paraId="2EF7C381" w14:textId="77777777" w:rsidR="008C63E0" w:rsidRPr="000D44F7" w:rsidRDefault="008C63E0" w:rsidP="00414DEF">
            <w:pPr>
              <w:spacing w:before="40" w:after="40"/>
              <w:jc w:val="center"/>
              <w:rPr>
                <w:rFonts w:cs="Arial"/>
                <w:sz w:val="18"/>
                <w:szCs w:val="18"/>
              </w:rPr>
            </w:pPr>
          </w:p>
        </w:tc>
      </w:tr>
      <w:tr w:rsidR="008C63E0" w:rsidRPr="00E11348" w14:paraId="52AD94B1" w14:textId="77777777" w:rsidTr="00414DEF">
        <w:tc>
          <w:tcPr>
            <w:tcW w:w="2411" w:type="dxa"/>
            <w:tcBorders>
              <w:top w:val="single" w:sz="4" w:space="0" w:color="auto"/>
              <w:bottom w:val="single" w:sz="4" w:space="0" w:color="auto"/>
            </w:tcBorders>
            <w:shd w:val="clear" w:color="auto" w:fill="auto"/>
            <w:vAlign w:val="center"/>
          </w:tcPr>
          <w:p w14:paraId="040F08DF" w14:textId="3749A386" w:rsidR="008C63E0" w:rsidRPr="001F6A39" w:rsidRDefault="00796A84" w:rsidP="00414DEF">
            <w:pPr>
              <w:spacing w:before="40" w:after="40"/>
              <w:jc w:val="center"/>
              <w:rPr>
                <w:rFonts w:cs="Arial"/>
                <w:b/>
                <w:bCs/>
                <w:spacing w:val="20"/>
                <w:sz w:val="18"/>
                <w:szCs w:val="18"/>
              </w:rPr>
            </w:pPr>
            <w:r>
              <w:rPr>
                <w:rFonts w:cs="Arial"/>
                <w:b/>
                <w:bCs/>
                <w:sz w:val="18"/>
                <w:szCs w:val="18"/>
                <w:lang w:val="en-GB"/>
              </w:rPr>
              <w:t>–</w:t>
            </w:r>
          </w:p>
        </w:tc>
        <w:tc>
          <w:tcPr>
            <w:tcW w:w="1559" w:type="dxa"/>
            <w:tcBorders>
              <w:top w:val="single" w:sz="4" w:space="0" w:color="auto"/>
              <w:bottom w:val="single" w:sz="4" w:space="0" w:color="auto"/>
            </w:tcBorders>
            <w:shd w:val="clear" w:color="auto" w:fill="auto"/>
            <w:vAlign w:val="center"/>
          </w:tcPr>
          <w:p w14:paraId="4FD3F81A"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12</w:t>
            </w:r>
          </w:p>
        </w:tc>
        <w:tc>
          <w:tcPr>
            <w:tcW w:w="1701" w:type="dxa"/>
            <w:tcBorders>
              <w:top w:val="single" w:sz="4" w:space="0" w:color="auto"/>
              <w:bottom w:val="single" w:sz="4" w:space="0" w:color="auto"/>
            </w:tcBorders>
            <w:shd w:val="clear" w:color="auto" w:fill="auto"/>
            <w:vAlign w:val="center"/>
          </w:tcPr>
          <w:p w14:paraId="11E1D3EA" w14:textId="77777777" w:rsidR="008C63E0" w:rsidRPr="002C4D99" w:rsidRDefault="008C63E0" w:rsidP="00414DEF">
            <w:pPr>
              <w:keepNext/>
              <w:spacing w:before="40" w:after="40"/>
              <w:jc w:val="center"/>
              <w:rPr>
                <w:rFonts w:cs="Arial"/>
                <w:sz w:val="18"/>
                <w:szCs w:val="18"/>
              </w:rPr>
            </w:pPr>
            <w:r>
              <w:rPr>
                <w:rFonts w:cs="Arial"/>
                <w:sz w:val="18"/>
                <w:szCs w:val="18"/>
                <w:lang w:val="en-GB"/>
              </w:rPr>
              <w:t>24857-24885</w:t>
            </w:r>
          </w:p>
        </w:tc>
        <w:tc>
          <w:tcPr>
            <w:tcW w:w="1701" w:type="dxa"/>
            <w:tcBorders>
              <w:top w:val="single" w:sz="4" w:space="0" w:color="auto"/>
              <w:bottom w:val="single" w:sz="4" w:space="0" w:color="auto"/>
            </w:tcBorders>
            <w:shd w:val="clear" w:color="auto" w:fill="auto"/>
            <w:vAlign w:val="center"/>
          </w:tcPr>
          <w:p w14:paraId="1F8B8303" w14:textId="77777777" w:rsidR="008C63E0" w:rsidRPr="002C4D99" w:rsidRDefault="008C63E0" w:rsidP="00414DEF">
            <w:pPr>
              <w:keepNext/>
              <w:spacing w:before="40" w:after="40"/>
              <w:jc w:val="center"/>
              <w:rPr>
                <w:rFonts w:cs="Arial"/>
                <w:sz w:val="18"/>
                <w:szCs w:val="18"/>
              </w:rPr>
            </w:pPr>
            <w:r>
              <w:rPr>
                <w:rFonts w:cs="Arial"/>
                <w:sz w:val="18"/>
                <w:szCs w:val="18"/>
                <w:lang w:val="en-GB"/>
              </w:rPr>
              <w:t>25865-25893</w:t>
            </w:r>
          </w:p>
        </w:tc>
        <w:tc>
          <w:tcPr>
            <w:tcW w:w="2410" w:type="dxa"/>
            <w:vMerge w:val="restart"/>
            <w:tcBorders>
              <w:top w:val="single" w:sz="4" w:space="0" w:color="auto"/>
              <w:bottom w:val="single" w:sz="4" w:space="0" w:color="auto"/>
            </w:tcBorders>
            <w:shd w:val="clear" w:color="auto" w:fill="auto"/>
            <w:vAlign w:val="center"/>
          </w:tcPr>
          <w:p w14:paraId="68885EE6" w14:textId="77777777" w:rsidR="008C63E0" w:rsidRPr="000D44F7" w:rsidRDefault="008C63E0" w:rsidP="00414DEF">
            <w:pPr>
              <w:spacing w:before="40" w:after="40"/>
              <w:jc w:val="center"/>
              <w:rPr>
                <w:rFonts w:cs="Arial"/>
                <w:sz w:val="18"/>
                <w:szCs w:val="18"/>
              </w:rPr>
            </w:pPr>
          </w:p>
        </w:tc>
      </w:tr>
      <w:tr w:rsidR="008C63E0" w:rsidRPr="00E11348" w14:paraId="2FF03D81" w14:textId="77777777" w:rsidTr="00414DEF">
        <w:tc>
          <w:tcPr>
            <w:tcW w:w="2411" w:type="dxa"/>
            <w:tcBorders>
              <w:top w:val="single" w:sz="4" w:space="0" w:color="auto"/>
              <w:bottom w:val="single" w:sz="4" w:space="0" w:color="auto"/>
            </w:tcBorders>
            <w:shd w:val="clear" w:color="auto" w:fill="auto"/>
            <w:vAlign w:val="center"/>
          </w:tcPr>
          <w:p w14:paraId="682E1CCB" w14:textId="4D5753C7" w:rsidR="008C63E0" w:rsidRPr="001F6A39" w:rsidRDefault="00796A84" w:rsidP="00414DEF">
            <w:pPr>
              <w:spacing w:before="40" w:after="40"/>
              <w:jc w:val="center"/>
              <w:rPr>
                <w:rFonts w:cs="Arial"/>
                <w:b/>
                <w:bCs/>
                <w:spacing w:val="20"/>
                <w:sz w:val="18"/>
                <w:szCs w:val="18"/>
              </w:rPr>
            </w:pPr>
            <w:r>
              <w:rPr>
                <w:rFonts w:cs="Arial"/>
                <w:b/>
                <w:bCs/>
                <w:sz w:val="18"/>
                <w:szCs w:val="18"/>
                <w:lang w:val="en-GB"/>
              </w:rPr>
              <w:t>–</w:t>
            </w:r>
          </w:p>
        </w:tc>
        <w:tc>
          <w:tcPr>
            <w:tcW w:w="1559" w:type="dxa"/>
            <w:tcBorders>
              <w:top w:val="single" w:sz="4" w:space="0" w:color="auto"/>
              <w:bottom w:val="single" w:sz="4" w:space="0" w:color="auto"/>
            </w:tcBorders>
            <w:shd w:val="clear" w:color="auto" w:fill="auto"/>
            <w:vAlign w:val="center"/>
          </w:tcPr>
          <w:p w14:paraId="4C13976C"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13</w:t>
            </w:r>
          </w:p>
        </w:tc>
        <w:tc>
          <w:tcPr>
            <w:tcW w:w="1701" w:type="dxa"/>
            <w:tcBorders>
              <w:top w:val="single" w:sz="4" w:space="0" w:color="auto"/>
              <w:bottom w:val="single" w:sz="4" w:space="0" w:color="auto"/>
            </w:tcBorders>
            <w:shd w:val="clear" w:color="auto" w:fill="auto"/>
            <w:vAlign w:val="center"/>
          </w:tcPr>
          <w:p w14:paraId="26A4F7DB" w14:textId="77777777" w:rsidR="008C63E0" w:rsidRPr="002C4D99" w:rsidRDefault="008C63E0" w:rsidP="00414DEF">
            <w:pPr>
              <w:keepNext/>
              <w:spacing w:before="40" w:after="40"/>
              <w:jc w:val="center"/>
              <w:rPr>
                <w:rFonts w:cs="Arial"/>
                <w:sz w:val="18"/>
                <w:szCs w:val="18"/>
              </w:rPr>
            </w:pPr>
            <w:r>
              <w:rPr>
                <w:rFonts w:cs="Arial"/>
                <w:sz w:val="18"/>
                <w:szCs w:val="18"/>
                <w:lang w:val="en-GB"/>
              </w:rPr>
              <w:t>24885-24913</w:t>
            </w:r>
          </w:p>
        </w:tc>
        <w:tc>
          <w:tcPr>
            <w:tcW w:w="1701" w:type="dxa"/>
            <w:tcBorders>
              <w:top w:val="single" w:sz="4" w:space="0" w:color="auto"/>
              <w:bottom w:val="single" w:sz="4" w:space="0" w:color="auto"/>
            </w:tcBorders>
            <w:shd w:val="clear" w:color="auto" w:fill="auto"/>
            <w:vAlign w:val="center"/>
          </w:tcPr>
          <w:p w14:paraId="21C55C6F" w14:textId="77777777" w:rsidR="008C63E0" w:rsidRPr="002C4D99" w:rsidRDefault="008C63E0" w:rsidP="00414DEF">
            <w:pPr>
              <w:keepNext/>
              <w:spacing w:before="40" w:after="40"/>
              <w:jc w:val="center"/>
              <w:rPr>
                <w:rFonts w:cs="Arial"/>
                <w:sz w:val="18"/>
                <w:szCs w:val="18"/>
              </w:rPr>
            </w:pPr>
            <w:r>
              <w:rPr>
                <w:rFonts w:cs="Arial"/>
                <w:sz w:val="18"/>
                <w:szCs w:val="18"/>
                <w:lang w:val="en-GB"/>
              </w:rPr>
              <w:t>25893-25921</w:t>
            </w:r>
          </w:p>
        </w:tc>
        <w:tc>
          <w:tcPr>
            <w:tcW w:w="2410" w:type="dxa"/>
            <w:vMerge/>
            <w:tcBorders>
              <w:top w:val="single" w:sz="4" w:space="0" w:color="auto"/>
            </w:tcBorders>
            <w:shd w:val="clear" w:color="auto" w:fill="E5B8B7" w:themeFill="accent2" w:themeFillTint="66"/>
            <w:vAlign w:val="center"/>
          </w:tcPr>
          <w:p w14:paraId="2B77D9EE" w14:textId="77777777" w:rsidR="008C63E0" w:rsidRPr="000D44F7" w:rsidRDefault="008C63E0" w:rsidP="00414DEF">
            <w:pPr>
              <w:spacing w:before="40" w:after="40"/>
              <w:jc w:val="center"/>
              <w:rPr>
                <w:rFonts w:cs="Arial"/>
                <w:sz w:val="18"/>
                <w:szCs w:val="18"/>
              </w:rPr>
            </w:pPr>
          </w:p>
        </w:tc>
      </w:tr>
      <w:tr w:rsidR="008C63E0" w:rsidRPr="00E11348" w14:paraId="490552E5" w14:textId="77777777" w:rsidTr="00295A10">
        <w:tc>
          <w:tcPr>
            <w:tcW w:w="2411" w:type="dxa"/>
            <w:vMerge w:val="restart"/>
            <w:tcBorders>
              <w:top w:val="single" w:sz="4" w:space="0" w:color="auto"/>
            </w:tcBorders>
            <w:shd w:val="clear" w:color="auto" w:fill="E5B8B7" w:themeFill="accent2" w:themeFillTint="66"/>
            <w:vAlign w:val="center"/>
          </w:tcPr>
          <w:p w14:paraId="3CE00DE5" w14:textId="1A12E950" w:rsidR="008C63E0" w:rsidRPr="001F6A39" w:rsidRDefault="008C63E0" w:rsidP="00295A10">
            <w:pPr>
              <w:spacing w:before="40" w:after="40"/>
              <w:jc w:val="center"/>
              <w:rPr>
                <w:rFonts w:cs="Arial"/>
                <w:b/>
                <w:bCs/>
                <w:spacing w:val="20"/>
                <w:sz w:val="18"/>
                <w:szCs w:val="18"/>
              </w:rPr>
            </w:pPr>
            <w:r>
              <w:rPr>
                <w:rFonts w:cs="Arial"/>
                <w:b/>
                <w:bCs/>
                <w:sz w:val="18"/>
                <w:szCs w:val="18"/>
                <w:lang w:val="en-GB"/>
              </w:rPr>
              <w:t>Antenna Hungária Zrt.</w:t>
            </w:r>
          </w:p>
        </w:tc>
        <w:tc>
          <w:tcPr>
            <w:tcW w:w="1559" w:type="dxa"/>
            <w:tcBorders>
              <w:top w:val="single" w:sz="4" w:space="0" w:color="auto"/>
            </w:tcBorders>
            <w:shd w:val="clear" w:color="auto" w:fill="E5B8B7" w:themeFill="accent2" w:themeFillTint="66"/>
            <w:vAlign w:val="center"/>
          </w:tcPr>
          <w:p w14:paraId="7A81E6E0"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14</w:t>
            </w:r>
          </w:p>
        </w:tc>
        <w:tc>
          <w:tcPr>
            <w:tcW w:w="1701" w:type="dxa"/>
            <w:tcBorders>
              <w:top w:val="single" w:sz="4" w:space="0" w:color="auto"/>
            </w:tcBorders>
            <w:shd w:val="clear" w:color="auto" w:fill="E5B8B7" w:themeFill="accent2" w:themeFillTint="66"/>
            <w:vAlign w:val="center"/>
          </w:tcPr>
          <w:p w14:paraId="648313A9" w14:textId="77777777" w:rsidR="008C63E0" w:rsidRPr="002C4D99" w:rsidRDefault="008C63E0" w:rsidP="00414DEF">
            <w:pPr>
              <w:keepNext/>
              <w:spacing w:before="40" w:after="40"/>
              <w:jc w:val="center"/>
              <w:rPr>
                <w:rFonts w:cs="Arial"/>
                <w:sz w:val="18"/>
                <w:szCs w:val="18"/>
              </w:rPr>
            </w:pPr>
            <w:r>
              <w:rPr>
                <w:rFonts w:cs="Arial"/>
                <w:sz w:val="18"/>
                <w:szCs w:val="18"/>
                <w:lang w:val="en-GB"/>
              </w:rPr>
              <w:t>24913-24941</w:t>
            </w:r>
          </w:p>
        </w:tc>
        <w:tc>
          <w:tcPr>
            <w:tcW w:w="1701" w:type="dxa"/>
            <w:tcBorders>
              <w:top w:val="single" w:sz="4" w:space="0" w:color="auto"/>
            </w:tcBorders>
            <w:shd w:val="clear" w:color="auto" w:fill="E5B8B7" w:themeFill="accent2" w:themeFillTint="66"/>
            <w:vAlign w:val="center"/>
          </w:tcPr>
          <w:p w14:paraId="13963701" w14:textId="77777777" w:rsidR="008C63E0" w:rsidRPr="002C4D99" w:rsidRDefault="008C63E0" w:rsidP="00414DEF">
            <w:pPr>
              <w:keepNext/>
              <w:spacing w:before="40" w:after="40"/>
              <w:jc w:val="center"/>
              <w:rPr>
                <w:rFonts w:cs="Arial"/>
                <w:sz w:val="18"/>
                <w:szCs w:val="18"/>
              </w:rPr>
            </w:pPr>
            <w:r>
              <w:rPr>
                <w:rFonts w:cs="Arial"/>
                <w:sz w:val="18"/>
                <w:szCs w:val="18"/>
                <w:lang w:val="en-GB"/>
              </w:rPr>
              <w:t>25921-25949</w:t>
            </w:r>
          </w:p>
        </w:tc>
        <w:tc>
          <w:tcPr>
            <w:tcW w:w="2410" w:type="dxa"/>
            <w:vMerge w:val="restart"/>
            <w:shd w:val="clear" w:color="auto" w:fill="E5B8B7" w:themeFill="accent2" w:themeFillTint="66"/>
            <w:vAlign w:val="center"/>
          </w:tcPr>
          <w:p w14:paraId="6FAFDEDA" w14:textId="75FEF4EE" w:rsidR="008C63E0" w:rsidRPr="000D44F7" w:rsidRDefault="008C63E0" w:rsidP="002723C1">
            <w:pPr>
              <w:spacing w:before="40" w:after="40"/>
              <w:jc w:val="center"/>
              <w:rPr>
                <w:rFonts w:cs="Arial"/>
                <w:sz w:val="18"/>
                <w:szCs w:val="18"/>
              </w:rPr>
            </w:pPr>
            <w:r>
              <w:rPr>
                <w:rFonts w:cs="Arial"/>
                <w:i/>
                <w:iCs/>
                <w:sz w:val="18"/>
                <w:szCs w:val="18"/>
                <w:lang w:val="en-GB"/>
              </w:rPr>
              <w:t>5 April 2027</w:t>
            </w:r>
          </w:p>
        </w:tc>
      </w:tr>
      <w:tr w:rsidR="008C63E0" w:rsidRPr="00E11348" w14:paraId="0C600B5F" w14:textId="77777777" w:rsidTr="00414DEF">
        <w:trPr>
          <w:trHeight w:val="288"/>
        </w:trPr>
        <w:tc>
          <w:tcPr>
            <w:tcW w:w="2411" w:type="dxa"/>
            <w:vMerge/>
            <w:shd w:val="clear" w:color="auto" w:fill="E5B8B7" w:themeFill="accent2" w:themeFillTint="66"/>
            <w:vAlign w:val="center"/>
          </w:tcPr>
          <w:p w14:paraId="6C4A0536" w14:textId="77777777" w:rsidR="008C63E0" w:rsidRPr="001F6A39" w:rsidRDefault="008C63E0" w:rsidP="00414DEF">
            <w:pPr>
              <w:spacing w:before="40" w:after="40"/>
              <w:jc w:val="center"/>
              <w:rPr>
                <w:rFonts w:cs="Arial"/>
                <w:b/>
                <w:bCs/>
                <w:spacing w:val="20"/>
                <w:sz w:val="18"/>
                <w:szCs w:val="18"/>
              </w:rPr>
            </w:pPr>
          </w:p>
        </w:tc>
        <w:tc>
          <w:tcPr>
            <w:tcW w:w="1559" w:type="dxa"/>
            <w:shd w:val="clear" w:color="auto" w:fill="E5B8B7" w:themeFill="accent2" w:themeFillTint="66"/>
            <w:vAlign w:val="center"/>
          </w:tcPr>
          <w:p w14:paraId="6EB6E9A4"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15</w:t>
            </w:r>
          </w:p>
        </w:tc>
        <w:tc>
          <w:tcPr>
            <w:tcW w:w="1701" w:type="dxa"/>
            <w:shd w:val="clear" w:color="auto" w:fill="E5B8B7" w:themeFill="accent2" w:themeFillTint="66"/>
            <w:vAlign w:val="center"/>
          </w:tcPr>
          <w:p w14:paraId="7A2E30AF" w14:textId="77777777" w:rsidR="008C63E0" w:rsidRPr="002C4D99" w:rsidRDefault="008C63E0" w:rsidP="00414DEF">
            <w:pPr>
              <w:keepNext/>
              <w:spacing w:before="40" w:after="40"/>
              <w:jc w:val="center"/>
              <w:rPr>
                <w:rFonts w:cs="Arial"/>
                <w:sz w:val="18"/>
                <w:szCs w:val="18"/>
              </w:rPr>
            </w:pPr>
            <w:r>
              <w:rPr>
                <w:rFonts w:cs="Arial"/>
                <w:sz w:val="18"/>
                <w:szCs w:val="18"/>
                <w:lang w:val="en-GB"/>
              </w:rPr>
              <w:t>24941-24969</w:t>
            </w:r>
          </w:p>
        </w:tc>
        <w:tc>
          <w:tcPr>
            <w:tcW w:w="1701" w:type="dxa"/>
            <w:shd w:val="clear" w:color="auto" w:fill="E5B8B7" w:themeFill="accent2" w:themeFillTint="66"/>
            <w:vAlign w:val="center"/>
          </w:tcPr>
          <w:p w14:paraId="590EB05E" w14:textId="77777777" w:rsidR="008C63E0" w:rsidRPr="002C4D99" w:rsidRDefault="008C63E0" w:rsidP="00414DEF">
            <w:pPr>
              <w:keepNext/>
              <w:spacing w:before="40" w:after="40"/>
              <w:jc w:val="center"/>
              <w:rPr>
                <w:rFonts w:cs="Arial"/>
                <w:sz w:val="18"/>
                <w:szCs w:val="18"/>
              </w:rPr>
            </w:pPr>
            <w:r>
              <w:rPr>
                <w:rFonts w:cs="Arial"/>
                <w:sz w:val="18"/>
                <w:szCs w:val="18"/>
                <w:lang w:val="en-GB"/>
              </w:rPr>
              <w:t>25949-25977</w:t>
            </w:r>
          </w:p>
        </w:tc>
        <w:tc>
          <w:tcPr>
            <w:tcW w:w="2410" w:type="dxa"/>
            <w:vMerge/>
            <w:shd w:val="clear" w:color="auto" w:fill="E5B8B7" w:themeFill="accent2" w:themeFillTint="66"/>
            <w:vAlign w:val="center"/>
          </w:tcPr>
          <w:p w14:paraId="2390FDA9" w14:textId="77777777" w:rsidR="008C63E0" w:rsidRPr="000D44F7" w:rsidRDefault="008C63E0" w:rsidP="00414DEF">
            <w:pPr>
              <w:spacing w:before="40" w:after="40"/>
              <w:jc w:val="center"/>
              <w:rPr>
                <w:rFonts w:cs="Arial"/>
                <w:sz w:val="18"/>
                <w:szCs w:val="18"/>
              </w:rPr>
            </w:pPr>
          </w:p>
        </w:tc>
      </w:tr>
      <w:tr w:rsidR="008C63E0" w:rsidRPr="00E11348" w14:paraId="19B11DB6" w14:textId="77777777" w:rsidTr="00414DEF">
        <w:tc>
          <w:tcPr>
            <w:tcW w:w="2411" w:type="dxa"/>
            <w:vMerge/>
            <w:shd w:val="clear" w:color="auto" w:fill="E5B8B7" w:themeFill="accent2" w:themeFillTint="66"/>
            <w:vAlign w:val="center"/>
          </w:tcPr>
          <w:p w14:paraId="5BA10038" w14:textId="77777777" w:rsidR="008C63E0" w:rsidRPr="001F6A39" w:rsidRDefault="008C63E0" w:rsidP="00414DEF">
            <w:pPr>
              <w:spacing w:before="40" w:after="40"/>
              <w:jc w:val="center"/>
              <w:rPr>
                <w:rFonts w:cs="Arial"/>
                <w:b/>
                <w:bCs/>
                <w:spacing w:val="20"/>
                <w:sz w:val="18"/>
                <w:szCs w:val="18"/>
              </w:rPr>
            </w:pPr>
          </w:p>
        </w:tc>
        <w:tc>
          <w:tcPr>
            <w:tcW w:w="1559" w:type="dxa"/>
            <w:shd w:val="clear" w:color="auto" w:fill="E5B8B7" w:themeFill="accent2" w:themeFillTint="66"/>
            <w:vAlign w:val="center"/>
          </w:tcPr>
          <w:p w14:paraId="4A9253D6"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16</w:t>
            </w:r>
          </w:p>
        </w:tc>
        <w:tc>
          <w:tcPr>
            <w:tcW w:w="1701" w:type="dxa"/>
            <w:shd w:val="clear" w:color="auto" w:fill="E5B8B7" w:themeFill="accent2" w:themeFillTint="66"/>
            <w:vAlign w:val="center"/>
          </w:tcPr>
          <w:p w14:paraId="6AA71D5E" w14:textId="77777777" w:rsidR="008C63E0" w:rsidRPr="002C4D99" w:rsidRDefault="008C63E0" w:rsidP="00414DEF">
            <w:pPr>
              <w:keepNext/>
              <w:spacing w:before="40" w:after="40"/>
              <w:jc w:val="center"/>
              <w:rPr>
                <w:rFonts w:cs="Arial"/>
                <w:sz w:val="18"/>
                <w:szCs w:val="18"/>
              </w:rPr>
            </w:pPr>
            <w:r>
              <w:rPr>
                <w:rFonts w:cs="Arial"/>
                <w:sz w:val="18"/>
                <w:szCs w:val="18"/>
                <w:lang w:val="en-GB"/>
              </w:rPr>
              <w:t>24969-24997</w:t>
            </w:r>
          </w:p>
        </w:tc>
        <w:tc>
          <w:tcPr>
            <w:tcW w:w="1701" w:type="dxa"/>
            <w:shd w:val="clear" w:color="auto" w:fill="E5B8B7" w:themeFill="accent2" w:themeFillTint="66"/>
            <w:vAlign w:val="center"/>
          </w:tcPr>
          <w:p w14:paraId="281E9D2E" w14:textId="77777777" w:rsidR="008C63E0" w:rsidRPr="002C4D99" w:rsidRDefault="008C63E0" w:rsidP="00414DEF">
            <w:pPr>
              <w:keepNext/>
              <w:spacing w:before="40" w:after="40"/>
              <w:jc w:val="center"/>
              <w:rPr>
                <w:rFonts w:cs="Arial"/>
                <w:sz w:val="18"/>
                <w:szCs w:val="18"/>
              </w:rPr>
            </w:pPr>
            <w:r>
              <w:rPr>
                <w:rFonts w:cs="Arial"/>
                <w:sz w:val="18"/>
                <w:szCs w:val="18"/>
                <w:lang w:val="en-GB"/>
              </w:rPr>
              <w:t>25977-26005</w:t>
            </w:r>
          </w:p>
        </w:tc>
        <w:tc>
          <w:tcPr>
            <w:tcW w:w="2410" w:type="dxa"/>
            <w:vMerge/>
            <w:shd w:val="clear" w:color="auto" w:fill="E5B8B7" w:themeFill="accent2" w:themeFillTint="66"/>
            <w:vAlign w:val="center"/>
          </w:tcPr>
          <w:p w14:paraId="3980B51E" w14:textId="77777777" w:rsidR="008C63E0" w:rsidRPr="000D44F7" w:rsidRDefault="008C63E0" w:rsidP="00414DEF">
            <w:pPr>
              <w:spacing w:before="40" w:after="40"/>
              <w:jc w:val="center"/>
              <w:rPr>
                <w:rFonts w:cs="Arial"/>
                <w:sz w:val="18"/>
                <w:szCs w:val="18"/>
              </w:rPr>
            </w:pPr>
          </w:p>
        </w:tc>
      </w:tr>
      <w:tr w:rsidR="008C63E0" w:rsidRPr="00E11348" w14:paraId="77CE2DA6" w14:textId="77777777" w:rsidTr="00414DEF">
        <w:tc>
          <w:tcPr>
            <w:tcW w:w="2411" w:type="dxa"/>
            <w:vMerge/>
            <w:shd w:val="clear" w:color="auto" w:fill="E5B8B7" w:themeFill="accent2" w:themeFillTint="66"/>
            <w:vAlign w:val="center"/>
          </w:tcPr>
          <w:p w14:paraId="3ACD927A" w14:textId="77777777" w:rsidR="008C63E0" w:rsidRPr="001F6A39" w:rsidRDefault="008C63E0" w:rsidP="00414DEF">
            <w:pPr>
              <w:spacing w:before="40" w:after="40"/>
              <w:jc w:val="center"/>
              <w:rPr>
                <w:rFonts w:cs="Arial"/>
                <w:b/>
                <w:bCs/>
                <w:spacing w:val="20"/>
                <w:sz w:val="18"/>
                <w:szCs w:val="18"/>
              </w:rPr>
            </w:pPr>
          </w:p>
        </w:tc>
        <w:tc>
          <w:tcPr>
            <w:tcW w:w="1559" w:type="dxa"/>
            <w:shd w:val="clear" w:color="auto" w:fill="E5B8B7" w:themeFill="accent2" w:themeFillTint="66"/>
            <w:vAlign w:val="center"/>
          </w:tcPr>
          <w:p w14:paraId="7B793778"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17</w:t>
            </w:r>
          </w:p>
        </w:tc>
        <w:tc>
          <w:tcPr>
            <w:tcW w:w="1701" w:type="dxa"/>
            <w:shd w:val="clear" w:color="auto" w:fill="E5B8B7" w:themeFill="accent2" w:themeFillTint="66"/>
            <w:vAlign w:val="center"/>
          </w:tcPr>
          <w:p w14:paraId="7451FF09" w14:textId="77777777" w:rsidR="008C63E0" w:rsidRPr="002C4D99" w:rsidRDefault="008C63E0" w:rsidP="00414DEF">
            <w:pPr>
              <w:keepNext/>
              <w:spacing w:before="40" w:after="40"/>
              <w:jc w:val="center"/>
              <w:rPr>
                <w:rFonts w:cs="Arial"/>
                <w:sz w:val="18"/>
                <w:szCs w:val="18"/>
              </w:rPr>
            </w:pPr>
            <w:r>
              <w:rPr>
                <w:rFonts w:cs="Arial"/>
                <w:sz w:val="18"/>
                <w:szCs w:val="18"/>
                <w:lang w:val="en-GB"/>
              </w:rPr>
              <w:t>24997-25025</w:t>
            </w:r>
          </w:p>
        </w:tc>
        <w:tc>
          <w:tcPr>
            <w:tcW w:w="1701" w:type="dxa"/>
            <w:shd w:val="clear" w:color="auto" w:fill="E5B8B7" w:themeFill="accent2" w:themeFillTint="66"/>
            <w:vAlign w:val="center"/>
          </w:tcPr>
          <w:p w14:paraId="08B1F3A2" w14:textId="77777777" w:rsidR="008C63E0" w:rsidRPr="002C4D99" w:rsidRDefault="008C63E0" w:rsidP="00414DEF">
            <w:pPr>
              <w:keepNext/>
              <w:spacing w:before="40" w:after="40"/>
              <w:jc w:val="center"/>
              <w:rPr>
                <w:rFonts w:cs="Arial"/>
                <w:sz w:val="18"/>
                <w:szCs w:val="18"/>
              </w:rPr>
            </w:pPr>
            <w:r>
              <w:rPr>
                <w:rFonts w:cs="Arial"/>
                <w:sz w:val="18"/>
                <w:szCs w:val="18"/>
                <w:lang w:val="en-GB"/>
              </w:rPr>
              <w:t>26005-26033</w:t>
            </w:r>
          </w:p>
        </w:tc>
        <w:tc>
          <w:tcPr>
            <w:tcW w:w="2410" w:type="dxa"/>
            <w:vMerge/>
            <w:shd w:val="clear" w:color="auto" w:fill="E5B8B7" w:themeFill="accent2" w:themeFillTint="66"/>
            <w:vAlign w:val="center"/>
          </w:tcPr>
          <w:p w14:paraId="2DDC4EF7" w14:textId="77777777" w:rsidR="008C63E0" w:rsidRPr="000D44F7" w:rsidRDefault="008C63E0" w:rsidP="00414DEF">
            <w:pPr>
              <w:spacing w:before="40" w:after="40"/>
              <w:jc w:val="center"/>
              <w:rPr>
                <w:rFonts w:cs="Arial"/>
                <w:sz w:val="18"/>
                <w:szCs w:val="18"/>
              </w:rPr>
            </w:pPr>
          </w:p>
        </w:tc>
      </w:tr>
      <w:tr w:rsidR="008C63E0" w:rsidRPr="00E11348" w14:paraId="737D1073" w14:textId="77777777" w:rsidTr="00414DEF">
        <w:tc>
          <w:tcPr>
            <w:tcW w:w="2411" w:type="dxa"/>
            <w:shd w:val="clear" w:color="auto" w:fill="auto"/>
            <w:vAlign w:val="center"/>
          </w:tcPr>
          <w:p w14:paraId="3BBA23EE" w14:textId="77777777" w:rsidR="008C63E0" w:rsidRPr="000D44F7" w:rsidRDefault="008C63E0" w:rsidP="00414DEF">
            <w:pPr>
              <w:spacing w:before="40" w:after="40"/>
              <w:jc w:val="center"/>
              <w:rPr>
                <w:rFonts w:cs="Arial"/>
                <w:bCs/>
                <w:spacing w:val="20"/>
                <w:sz w:val="18"/>
                <w:szCs w:val="18"/>
              </w:rPr>
            </w:pPr>
            <w:r>
              <w:rPr>
                <w:rFonts w:cs="Arial"/>
                <w:sz w:val="18"/>
                <w:szCs w:val="18"/>
                <w:lang w:val="en-GB"/>
              </w:rPr>
              <w:t>GUARD BAND</w:t>
            </w:r>
          </w:p>
        </w:tc>
        <w:tc>
          <w:tcPr>
            <w:tcW w:w="1559" w:type="dxa"/>
            <w:shd w:val="clear" w:color="auto" w:fill="auto"/>
            <w:vAlign w:val="center"/>
          </w:tcPr>
          <w:p w14:paraId="6F012737" w14:textId="77777777" w:rsidR="008C63E0" w:rsidRPr="000D44F7" w:rsidRDefault="008C63E0" w:rsidP="00414DEF">
            <w:pPr>
              <w:spacing w:before="40" w:after="40"/>
              <w:jc w:val="center"/>
              <w:rPr>
                <w:rFonts w:cs="Arial"/>
                <w:sz w:val="18"/>
                <w:szCs w:val="18"/>
              </w:rPr>
            </w:pPr>
            <w:r>
              <w:rPr>
                <w:rFonts w:cs="Arial"/>
                <w:color w:val="000000"/>
                <w:sz w:val="18"/>
                <w:szCs w:val="18"/>
                <w:lang w:val="en-GB"/>
              </w:rPr>
              <w:t>Basic block 18</w:t>
            </w:r>
          </w:p>
        </w:tc>
        <w:tc>
          <w:tcPr>
            <w:tcW w:w="1701" w:type="dxa"/>
            <w:shd w:val="clear" w:color="auto" w:fill="auto"/>
            <w:vAlign w:val="center"/>
          </w:tcPr>
          <w:p w14:paraId="1A4A6D4E" w14:textId="77777777" w:rsidR="008C63E0" w:rsidRPr="002C4D99" w:rsidRDefault="008C63E0" w:rsidP="00414DEF">
            <w:pPr>
              <w:spacing w:before="40" w:after="40"/>
              <w:jc w:val="center"/>
              <w:rPr>
                <w:rFonts w:cs="Arial"/>
                <w:sz w:val="18"/>
                <w:szCs w:val="18"/>
              </w:rPr>
            </w:pPr>
            <w:r>
              <w:rPr>
                <w:rFonts w:cs="Arial"/>
                <w:sz w:val="18"/>
                <w:szCs w:val="18"/>
                <w:lang w:val="en-GB"/>
              </w:rPr>
              <w:t>25025-25053</w:t>
            </w:r>
          </w:p>
        </w:tc>
        <w:tc>
          <w:tcPr>
            <w:tcW w:w="1701" w:type="dxa"/>
            <w:shd w:val="clear" w:color="auto" w:fill="auto"/>
            <w:vAlign w:val="center"/>
          </w:tcPr>
          <w:p w14:paraId="34501AC9" w14:textId="77777777" w:rsidR="008C63E0" w:rsidRPr="002C4D99" w:rsidRDefault="008C63E0" w:rsidP="00414DEF">
            <w:pPr>
              <w:spacing w:before="40" w:after="40"/>
              <w:jc w:val="center"/>
              <w:rPr>
                <w:rFonts w:cs="Arial"/>
                <w:sz w:val="18"/>
                <w:szCs w:val="18"/>
              </w:rPr>
            </w:pPr>
            <w:r>
              <w:rPr>
                <w:rFonts w:cs="Arial"/>
                <w:sz w:val="18"/>
                <w:szCs w:val="18"/>
                <w:lang w:val="en-GB"/>
              </w:rPr>
              <w:t>26033-26061</w:t>
            </w:r>
          </w:p>
        </w:tc>
        <w:tc>
          <w:tcPr>
            <w:tcW w:w="2410" w:type="dxa"/>
            <w:shd w:val="clear" w:color="auto" w:fill="auto"/>
            <w:vAlign w:val="center"/>
          </w:tcPr>
          <w:p w14:paraId="00205582" w14:textId="77777777" w:rsidR="008C63E0" w:rsidRPr="000D44F7" w:rsidRDefault="008C63E0" w:rsidP="00414DEF">
            <w:pPr>
              <w:spacing w:before="40" w:after="40"/>
              <w:jc w:val="center"/>
              <w:rPr>
                <w:rFonts w:cs="Arial"/>
                <w:sz w:val="18"/>
                <w:szCs w:val="18"/>
              </w:rPr>
            </w:pPr>
          </w:p>
        </w:tc>
      </w:tr>
      <w:tr w:rsidR="008C63E0" w:rsidRPr="00E11348" w14:paraId="0426922E" w14:textId="77777777" w:rsidTr="00414DEF">
        <w:tc>
          <w:tcPr>
            <w:tcW w:w="2411" w:type="dxa"/>
            <w:vMerge w:val="restart"/>
            <w:shd w:val="clear" w:color="auto" w:fill="CCC0D9" w:themeFill="accent4" w:themeFillTint="66"/>
            <w:vAlign w:val="center"/>
          </w:tcPr>
          <w:p w14:paraId="4D3E72A4" w14:textId="4ED497D5" w:rsidR="008C63E0" w:rsidRPr="000D44F7" w:rsidRDefault="008C63E0" w:rsidP="006A18B0">
            <w:pPr>
              <w:spacing w:before="40" w:after="40"/>
              <w:jc w:val="center"/>
              <w:rPr>
                <w:rFonts w:cs="Arial"/>
                <w:bCs/>
                <w:spacing w:val="20"/>
                <w:sz w:val="18"/>
                <w:szCs w:val="18"/>
              </w:rPr>
            </w:pPr>
            <w:r>
              <w:rPr>
                <w:rFonts w:cs="Arial"/>
                <w:b/>
                <w:bCs/>
                <w:sz w:val="18"/>
                <w:szCs w:val="18"/>
                <w:lang w:val="en-GB"/>
              </w:rPr>
              <w:t>Vodafone Magyarország Zrt.</w:t>
            </w:r>
          </w:p>
        </w:tc>
        <w:tc>
          <w:tcPr>
            <w:tcW w:w="1559" w:type="dxa"/>
            <w:shd w:val="clear" w:color="auto" w:fill="CCC0D9" w:themeFill="accent4" w:themeFillTint="66"/>
            <w:vAlign w:val="center"/>
          </w:tcPr>
          <w:p w14:paraId="6FC0D936"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19</w:t>
            </w:r>
          </w:p>
        </w:tc>
        <w:tc>
          <w:tcPr>
            <w:tcW w:w="1701" w:type="dxa"/>
            <w:shd w:val="clear" w:color="auto" w:fill="CCC0D9" w:themeFill="accent4" w:themeFillTint="66"/>
            <w:vAlign w:val="center"/>
          </w:tcPr>
          <w:p w14:paraId="5459F270" w14:textId="77777777" w:rsidR="008C63E0" w:rsidRPr="002C4D99" w:rsidRDefault="008C63E0" w:rsidP="00414DEF">
            <w:pPr>
              <w:keepNext/>
              <w:spacing w:before="40" w:after="40"/>
              <w:jc w:val="center"/>
              <w:rPr>
                <w:rFonts w:cs="Arial"/>
                <w:sz w:val="18"/>
                <w:szCs w:val="18"/>
              </w:rPr>
            </w:pPr>
            <w:r>
              <w:rPr>
                <w:rFonts w:cs="Arial"/>
                <w:sz w:val="18"/>
                <w:szCs w:val="18"/>
                <w:lang w:val="en-GB"/>
              </w:rPr>
              <w:t>25053-25081</w:t>
            </w:r>
          </w:p>
        </w:tc>
        <w:tc>
          <w:tcPr>
            <w:tcW w:w="1701" w:type="dxa"/>
            <w:shd w:val="clear" w:color="auto" w:fill="CCC0D9" w:themeFill="accent4" w:themeFillTint="66"/>
            <w:vAlign w:val="center"/>
          </w:tcPr>
          <w:p w14:paraId="19B69C6A" w14:textId="77777777" w:rsidR="008C63E0" w:rsidRPr="002C4D99" w:rsidRDefault="008C63E0" w:rsidP="00414DEF">
            <w:pPr>
              <w:keepNext/>
              <w:spacing w:before="40" w:after="40"/>
              <w:jc w:val="center"/>
              <w:rPr>
                <w:rFonts w:cs="Arial"/>
                <w:sz w:val="18"/>
                <w:szCs w:val="18"/>
              </w:rPr>
            </w:pPr>
            <w:r>
              <w:rPr>
                <w:rFonts w:cs="Arial"/>
                <w:sz w:val="18"/>
                <w:szCs w:val="18"/>
                <w:lang w:val="en-GB"/>
              </w:rPr>
              <w:t>26061-26089</w:t>
            </w:r>
          </w:p>
        </w:tc>
        <w:tc>
          <w:tcPr>
            <w:tcW w:w="2410" w:type="dxa"/>
            <w:vMerge w:val="restart"/>
            <w:shd w:val="clear" w:color="auto" w:fill="CCC0D9" w:themeFill="accent4" w:themeFillTint="66"/>
            <w:vAlign w:val="center"/>
          </w:tcPr>
          <w:p w14:paraId="7A009A26" w14:textId="78C09108" w:rsidR="008C63E0" w:rsidRPr="000D44F7" w:rsidRDefault="008C63E0" w:rsidP="002723C1">
            <w:pPr>
              <w:spacing w:before="40" w:after="40"/>
              <w:jc w:val="center"/>
              <w:rPr>
                <w:rFonts w:cs="Arial"/>
                <w:sz w:val="18"/>
                <w:szCs w:val="18"/>
              </w:rPr>
            </w:pPr>
            <w:r>
              <w:rPr>
                <w:rFonts w:cs="Arial"/>
                <w:i/>
                <w:iCs/>
                <w:sz w:val="18"/>
                <w:szCs w:val="18"/>
                <w:lang w:val="en-GB"/>
              </w:rPr>
              <w:t>5 April 2027</w:t>
            </w:r>
          </w:p>
        </w:tc>
      </w:tr>
      <w:tr w:rsidR="008C63E0" w:rsidRPr="00E11348" w14:paraId="22B816CD" w14:textId="77777777" w:rsidTr="00414DEF">
        <w:tc>
          <w:tcPr>
            <w:tcW w:w="2411" w:type="dxa"/>
            <w:vMerge/>
            <w:shd w:val="clear" w:color="auto" w:fill="CCC0D9" w:themeFill="accent4" w:themeFillTint="66"/>
            <w:vAlign w:val="center"/>
          </w:tcPr>
          <w:p w14:paraId="56C29140" w14:textId="77777777" w:rsidR="008C63E0" w:rsidRDefault="008C63E0" w:rsidP="00414DEF">
            <w:pPr>
              <w:jc w:val="center"/>
            </w:pPr>
          </w:p>
        </w:tc>
        <w:tc>
          <w:tcPr>
            <w:tcW w:w="1559" w:type="dxa"/>
            <w:shd w:val="clear" w:color="auto" w:fill="CCC0D9" w:themeFill="accent4" w:themeFillTint="66"/>
            <w:vAlign w:val="center"/>
          </w:tcPr>
          <w:p w14:paraId="014B3A57"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20</w:t>
            </w:r>
          </w:p>
        </w:tc>
        <w:tc>
          <w:tcPr>
            <w:tcW w:w="1701" w:type="dxa"/>
            <w:shd w:val="clear" w:color="auto" w:fill="CCC0D9" w:themeFill="accent4" w:themeFillTint="66"/>
            <w:vAlign w:val="center"/>
          </w:tcPr>
          <w:p w14:paraId="3E09D946" w14:textId="77777777" w:rsidR="008C63E0" w:rsidRPr="002C4D99" w:rsidRDefault="008C63E0" w:rsidP="00414DEF">
            <w:pPr>
              <w:keepNext/>
              <w:spacing w:before="40" w:after="40"/>
              <w:jc w:val="center"/>
              <w:rPr>
                <w:rFonts w:cs="Arial"/>
                <w:sz w:val="18"/>
                <w:szCs w:val="18"/>
              </w:rPr>
            </w:pPr>
            <w:r>
              <w:rPr>
                <w:rFonts w:cs="Arial"/>
                <w:sz w:val="18"/>
                <w:szCs w:val="18"/>
                <w:lang w:val="en-GB"/>
              </w:rPr>
              <w:t>25081-25109</w:t>
            </w:r>
          </w:p>
        </w:tc>
        <w:tc>
          <w:tcPr>
            <w:tcW w:w="1701" w:type="dxa"/>
            <w:shd w:val="clear" w:color="auto" w:fill="CCC0D9" w:themeFill="accent4" w:themeFillTint="66"/>
            <w:vAlign w:val="center"/>
          </w:tcPr>
          <w:p w14:paraId="1AE118B7" w14:textId="77777777" w:rsidR="008C63E0" w:rsidRPr="002C4D99" w:rsidRDefault="008C63E0" w:rsidP="00414DEF">
            <w:pPr>
              <w:keepNext/>
              <w:spacing w:before="40" w:after="40"/>
              <w:jc w:val="center"/>
              <w:rPr>
                <w:rFonts w:cs="Arial"/>
                <w:sz w:val="18"/>
                <w:szCs w:val="18"/>
              </w:rPr>
            </w:pPr>
            <w:r>
              <w:rPr>
                <w:rFonts w:cs="Arial"/>
                <w:sz w:val="18"/>
                <w:szCs w:val="18"/>
                <w:lang w:val="en-GB"/>
              </w:rPr>
              <w:t>26089-26117</w:t>
            </w:r>
          </w:p>
        </w:tc>
        <w:tc>
          <w:tcPr>
            <w:tcW w:w="2410" w:type="dxa"/>
            <w:vMerge/>
            <w:shd w:val="clear" w:color="auto" w:fill="CCC0D9" w:themeFill="accent4" w:themeFillTint="66"/>
            <w:vAlign w:val="center"/>
          </w:tcPr>
          <w:p w14:paraId="487DF1F5" w14:textId="77777777" w:rsidR="008C63E0" w:rsidRPr="000D44F7" w:rsidRDefault="008C63E0" w:rsidP="00414DEF">
            <w:pPr>
              <w:spacing w:before="40" w:after="40"/>
              <w:jc w:val="center"/>
              <w:rPr>
                <w:rFonts w:cs="Arial"/>
                <w:sz w:val="18"/>
                <w:szCs w:val="18"/>
              </w:rPr>
            </w:pPr>
          </w:p>
        </w:tc>
      </w:tr>
      <w:tr w:rsidR="008C63E0" w:rsidRPr="00E11348" w14:paraId="17A6E3D3" w14:textId="77777777" w:rsidTr="00414DEF">
        <w:tc>
          <w:tcPr>
            <w:tcW w:w="2411" w:type="dxa"/>
            <w:vMerge/>
            <w:shd w:val="clear" w:color="auto" w:fill="CCC0D9" w:themeFill="accent4" w:themeFillTint="66"/>
            <w:vAlign w:val="center"/>
          </w:tcPr>
          <w:p w14:paraId="0B4F854D" w14:textId="77777777" w:rsidR="008C63E0" w:rsidRDefault="008C63E0" w:rsidP="00414DEF">
            <w:pPr>
              <w:jc w:val="center"/>
            </w:pPr>
          </w:p>
        </w:tc>
        <w:tc>
          <w:tcPr>
            <w:tcW w:w="1559" w:type="dxa"/>
            <w:shd w:val="clear" w:color="auto" w:fill="CCC0D9" w:themeFill="accent4" w:themeFillTint="66"/>
            <w:vAlign w:val="center"/>
          </w:tcPr>
          <w:p w14:paraId="04B991C0"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21</w:t>
            </w:r>
          </w:p>
        </w:tc>
        <w:tc>
          <w:tcPr>
            <w:tcW w:w="1701" w:type="dxa"/>
            <w:shd w:val="clear" w:color="auto" w:fill="CCC0D9" w:themeFill="accent4" w:themeFillTint="66"/>
            <w:vAlign w:val="center"/>
          </w:tcPr>
          <w:p w14:paraId="5E191DC2" w14:textId="77777777" w:rsidR="008C63E0" w:rsidRPr="002C4D99" w:rsidRDefault="008C63E0" w:rsidP="00414DEF">
            <w:pPr>
              <w:keepNext/>
              <w:spacing w:before="40" w:after="40"/>
              <w:jc w:val="center"/>
              <w:rPr>
                <w:rFonts w:cs="Arial"/>
                <w:sz w:val="18"/>
                <w:szCs w:val="18"/>
              </w:rPr>
            </w:pPr>
            <w:r>
              <w:rPr>
                <w:rFonts w:cs="Arial"/>
                <w:sz w:val="18"/>
                <w:szCs w:val="18"/>
                <w:lang w:val="en-GB"/>
              </w:rPr>
              <w:t>25109-25137</w:t>
            </w:r>
          </w:p>
        </w:tc>
        <w:tc>
          <w:tcPr>
            <w:tcW w:w="1701" w:type="dxa"/>
            <w:shd w:val="clear" w:color="auto" w:fill="CCC0D9" w:themeFill="accent4" w:themeFillTint="66"/>
            <w:vAlign w:val="center"/>
          </w:tcPr>
          <w:p w14:paraId="04977F5C" w14:textId="77777777" w:rsidR="008C63E0" w:rsidRPr="002C4D99" w:rsidRDefault="008C63E0" w:rsidP="00414DEF">
            <w:pPr>
              <w:keepNext/>
              <w:spacing w:before="40" w:after="40"/>
              <w:jc w:val="center"/>
              <w:rPr>
                <w:rFonts w:cs="Arial"/>
                <w:sz w:val="18"/>
                <w:szCs w:val="18"/>
              </w:rPr>
            </w:pPr>
            <w:r>
              <w:rPr>
                <w:rFonts w:cs="Arial"/>
                <w:sz w:val="18"/>
                <w:szCs w:val="18"/>
                <w:lang w:val="en-GB"/>
              </w:rPr>
              <w:t>26117-26145</w:t>
            </w:r>
          </w:p>
        </w:tc>
        <w:tc>
          <w:tcPr>
            <w:tcW w:w="2410" w:type="dxa"/>
            <w:vMerge/>
            <w:shd w:val="clear" w:color="auto" w:fill="CCC0D9" w:themeFill="accent4" w:themeFillTint="66"/>
            <w:vAlign w:val="center"/>
          </w:tcPr>
          <w:p w14:paraId="42FDA4C5" w14:textId="77777777" w:rsidR="008C63E0" w:rsidRPr="000D44F7" w:rsidRDefault="008C63E0" w:rsidP="00414DEF">
            <w:pPr>
              <w:spacing w:before="40" w:after="40"/>
              <w:jc w:val="center"/>
              <w:rPr>
                <w:rFonts w:cs="Arial"/>
                <w:sz w:val="18"/>
                <w:szCs w:val="18"/>
              </w:rPr>
            </w:pPr>
          </w:p>
        </w:tc>
      </w:tr>
      <w:tr w:rsidR="008C63E0" w:rsidRPr="00E11348" w14:paraId="785D7D79" w14:textId="77777777" w:rsidTr="00414DEF">
        <w:tc>
          <w:tcPr>
            <w:tcW w:w="2411" w:type="dxa"/>
            <w:vMerge/>
            <w:shd w:val="clear" w:color="auto" w:fill="CCC0D9" w:themeFill="accent4" w:themeFillTint="66"/>
            <w:vAlign w:val="center"/>
          </w:tcPr>
          <w:p w14:paraId="787EC95A" w14:textId="77777777" w:rsidR="008C63E0" w:rsidRDefault="008C63E0" w:rsidP="00414DEF">
            <w:pPr>
              <w:jc w:val="center"/>
            </w:pPr>
          </w:p>
        </w:tc>
        <w:tc>
          <w:tcPr>
            <w:tcW w:w="1559" w:type="dxa"/>
            <w:shd w:val="clear" w:color="auto" w:fill="CCC0D9" w:themeFill="accent4" w:themeFillTint="66"/>
            <w:vAlign w:val="center"/>
          </w:tcPr>
          <w:p w14:paraId="32FF6846"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22</w:t>
            </w:r>
          </w:p>
        </w:tc>
        <w:tc>
          <w:tcPr>
            <w:tcW w:w="1701" w:type="dxa"/>
            <w:shd w:val="clear" w:color="auto" w:fill="CCC0D9" w:themeFill="accent4" w:themeFillTint="66"/>
            <w:vAlign w:val="center"/>
          </w:tcPr>
          <w:p w14:paraId="0B501289" w14:textId="77777777" w:rsidR="008C63E0" w:rsidRPr="002C4D99" w:rsidRDefault="008C63E0" w:rsidP="00414DEF">
            <w:pPr>
              <w:keepNext/>
              <w:spacing w:before="40" w:after="40"/>
              <w:jc w:val="center"/>
              <w:rPr>
                <w:rFonts w:cs="Arial"/>
                <w:sz w:val="18"/>
                <w:szCs w:val="18"/>
              </w:rPr>
            </w:pPr>
            <w:r>
              <w:rPr>
                <w:rFonts w:cs="Arial"/>
                <w:sz w:val="18"/>
                <w:szCs w:val="18"/>
                <w:lang w:val="en-GB"/>
              </w:rPr>
              <w:t>25137-26165</w:t>
            </w:r>
          </w:p>
        </w:tc>
        <w:tc>
          <w:tcPr>
            <w:tcW w:w="1701" w:type="dxa"/>
            <w:shd w:val="clear" w:color="auto" w:fill="CCC0D9" w:themeFill="accent4" w:themeFillTint="66"/>
            <w:vAlign w:val="center"/>
          </w:tcPr>
          <w:p w14:paraId="19E3C1BA" w14:textId="77777777" w:rsidR="008C63E0" w:rsidRPr="002C4D99" w:rsidRDefault="008C63E0" w:rsidP="00414DEF">
            <w:pPr>
              <w:keepNext/>
              <w:spacing w:before="40" w:after="40"/>
              <w:jc w:val="center"/>
              <w:rPr>
                <w:rFonts w:cs="Arial"/>
                <w:sz w:val="18"/>
                <w:szCs w:val="18"/>
              </w:rPr>
            </w:pPr>
            <w:r>
              <w:rPr>
                <w:rFonts w:cs="Arial"/>
                <w:sz w:val="18"/>
                <w:szCs w:val="18"/>
                <w:lang w:val="en-GB"/>
              </w:rPr>
              <w:t>26145-26173</w:t>
            </w:r>
          </w:p>
        </w:tc>
        <w:tc>
          <w:tcPr>
            <w:tcW w:w="2410" w:type="dxa"/>
            <w:vMerge/>
            <w:shd w:val="clear" w:color="auto" w:fill="CCC0D9" w:themeFill="accent4" w:themeFillTint="66"/>
            <w:vAlign w:val="center"/>
          </w:tcPr>
          <w:p w14:paraId="518BB9A3" w14:textId="77777777" w:rsidR="008C63E0" w:rsidRPr="000D44F7" w:rsidRDefault="008C63E0" w:rsidP="00414DEF">
            <w:pPr>
              <w:spacing w:before="40" w:after="40"/>
              <w:jc w:val="center"/>
              <w:rPr>
                <w:rFonts w:cs="Arial"/>
                <w:sz w:val="18"/>
                <w:szCs w:val="18"/>
              </w:rPr>
            </w:pPr>
          </w:p>
        </w:tc>
      </w:tr>
      <w:tr w:rsidR="008C63E0" w:rsidRPr="00E11348" w14:paraId="26309FEB" w14:textId="77777777" w:rsidTr="00414DEF">
        <w:tc>
          <w:tcPr>
            <w:tcW w:w="2411" w:type="dxa"/>
            <w:vMerge/>
            <w:shd w:val="clear" w:color="auto" w:fill="CCC0D9" w:themeFill="accent4" w:themeFillTint="66"/>
            <w:vAlign w:val="center"/>
          </w:tcPr>
          <w:p w14:paraId="35A3944D" w14:textId="77777777" w:rsidR="008C63E0" w:rsidRDefault="008C63E0" w:rsidP="00414DEF">
            <w:pPr>
              <w:jc w:val="center"/>
            </w:pPr>
          </w:p>
        </w:tc>
        <w:tc>
          <w:tcPr>
            <w:tcW w:w="1559" w:type="dxa"/>
            <w:shd w:val="clear" w:color="auto" w:fill="CCC0D9" w:themeFill="accent4" w:themeFillTint="66"/>
            <w:vAlign w:val="center"/>
          </w:tcPr>
          <w:p w14:paraId="5F7D25DD"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23</w:t>
            </w:r>
          </w:p>
        </w:tc>
        <w:tc>
          <w:tcPr>
            <w:tcW w:w="1701" w:type="dxa"/>
            <w:shd w:val="clear" w:color="auto" w:fill="CCC0D9" w:themeFill="accent4" w:themeFillTint="66"/>
            <w:vAlign w:val="center"/>
          </w:tcPr>
          <w:p w14:paraId="5F226B98" w14:textId="77777777" w:rsidR="008C63E0" w:rsidRPr="002C4D99" w:rsidRDefault="008C63E0" w:rsidP="00414DEF">
            <w:pPr>
              <w:keepNext/>
              <w:spacing w:before="40" w:after="40"/>
              <w:jc w:val="center"/>
              <w:rPr>
                <w:rFonts w:cs="Arial"/>
                <w:sz w:val="18"/>
                <w:szCs w:val="18"/>
              </w:rPr>
            </w:pPr>
            <w:r>
              <w:rPr>
                <w:rFonts w:cs="Arial"/>
                <w:sz w:val="18"/>
                <w:szCs w:val="18"/>
                <w:lang w:val="en-GB"/>
              </w:rPr>
              <w:t>25165-25193</w:t>
            </w:r>
          </w:p>
        </w:tc>
        <w:tc>
          <w:tcPr>
            <w:tcW w:w="1701" w:type="dxa"/>
            <w:shd w:val="clear" w:color="auto" w:fill="CCC0D9" w:themeFill="accent4" w:themeFillTint="66"/>
            <w:vAlign w:val="center"/>
          </w:tcPr>
          <w:p w14:paraId="46869E07" w14:textId="77777777" w:rsidR="008C63E0" w:rsidRPr="002C4D99" w:rsidRDefault="008C63E0" w:rsidP="00414DEF">
            <w:pPr>
              <w:keepNext/>
              <w:spacing w:before="40" w:after="40"/>
              <w:jc w:val="center"/>
              <w:rPr>
                <w:rFonts w:cs="Arial"/>
                <w:sz w:val="18"/>
                <w:szCs w:val="18"/>
              </w:rPr>
            </w:pPr>
            <w:r>
              <w:rPr>
                <w:rFonts w:cs="Arial"/>
                <w:sz w:val="18"/>
                <w:szCs w:val="18"/>
                <w:lang w:val="en-GB"/>
              </w:rPr>
              <w:t>26173-26201</w:t>
            </w:r>
          </w:p>
        </w:tc>
        <w:tc>
          <w:tcPr>
            <w:tcW w:w="2410" w:type="dxa"/>
            <w:vMerge/>
            <w:shd w:val="clear" w:color="auto" w:fill="CCC0D9" w:themeFill="accent4" w:themeFillTint="66"/>
            <w:vAlign w:val="center"/>
          </w:tcPr>
          <w:p w14:paraId="35695D64" w14:textId="77777777" w:rsidR="008C63E0" w:rsidRPr="000D44F7" w:rsidRDefault="008C63E0" w:rsidP="00414DEF">
            <w:pPr>
              <w:spacing w:before="40" w:after="40"/>
              <w:jc w:val="center"/>
              <w:rPr>
                <w:rFonts w:cs="Arial"/>
                <w:sz w:val="18"/>
                <w:szCs w:val="18"/>
              </w:rPr>
            </w:pPr>
          </w:p>
        </w:tc>
      </w:tr>
      <w:tr w:rsidR="008C63E0" w:rsidRPr="00E11348" w14:paraId="2C0C04FE" w14:textId="77777777" w:rsidTr="00414DEF">
        <w:tc>
          <w:tcPr>
            <w:tcW w:w="2411" w:type="dxa"/>
            <w:vMerge/>
            <w:shd w:val="clear" w:color="auto" w:fill="CCC0D9" w:themeFill="accent4" w:themeFillTint="66"/>
            <w:vAlign w:val="center"/>
          </w:tcPr>
          <w:p w14:paraId="3273C500" w14:textId="77777777" w:rsidR="008C63E0" w:rsidRDefault="008C63E0" w:rsidP="00414DEF">
            <w:pPr>
              <w:jc w:val="center"/>
            </w:pPr>
          </w:p>
        </w:tc>
        <w:tc>
          <w:tcPr>
            <w:tcW w:w="1559" w:type="dxa"/>
            <w:shd w:val="clear" w:color="auto" w:fill="CCC0D9" w:themeFill="accent4" w:themeFillTint="66"/>
            <w:vAlign w:val="center"/>
          </w:tcPr>
          <w:p w14:paraId="1E59678B"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24</w:t>
            </w:r>
          </w:p>
        </w:tc>
        <w:tc>
          <w:tcPr>
            <w:tcW w:w="1701" w:type="dxa"/>
            <w:shd w:val="clear" w:color="auto" w:fill="CCC0D9" w:themeFill="accent4" w:themeFillTint="66"/>
            <w:vAlign w:val="center"/>
          </w:tcPr>
          <w:p w14:paraId="66E61177" w14:textId="77777777" w:rsidR="008C63E0" w:rsidRPr="002C4D99" w:rsidRDefault="008C63E0" w:rsidP="00414DEF">
            <w:pPr>
              <w:keepNext/>
              <w:spacing w:before="40" w:after="40"/>
              <w:jc w:val="center"/>
              <w:rPr>
                <w:rFonts w:cs="Arial"/>
                <w:sz w:val="18"/>
                <w:szCs w:val="18"/>
              </w:rPr>
            </w:pPr>
            <w:r>
              <w:rPr>
                <w:rFonts w:cs="Arial"/>
                <w:sz w:val="18"/>
                <w:szCs w:val="18"/>
                <w:lang w:val="en-GB"/>
              </w:rPr>
              <w:t>25193-25221</w:t>
            </w:r>
          </w:p>
        </w:tc>
        <w:tc>
          <w:tcPr>
            <w:tcW w:w="1701" w:type="dxa"/>
            <w:shd w:val="clear" w:color="auto" w:fill="CCC0D9" w:themeFill="accent4" w:themeFillTint="66"/>
            <w:vAlign w:val="center"/>
          </w:tcPr>
          <w:p w14:paraId="2338F77F" w14:textId="77777777" w:rsidR="008C63E0" w:rsidRPr="002C4D99" w:rsidRDefault="008C63E0" w:rsidP="00414DEF">
            <w:pPr>
              <w:keepNext/>
              <w:spacing w:before="40" w:after="40"/>
              <w:jc w:val="center"/>
              <w:rPr>
                <w:rFonts w:cs="Arial"/>
                <w:sz w:val="18"/>
                <w:szCs w:val="18"/>
              </w:rPr>
            </w:pPr>
            <w:r>
              <w:rPr>
                <w:rFonts w:cs="Arial"/>
                <w:sz w:val="18"/>
                <w:szCs w:val="18"/>
                <w:lang w:val="en-GB"/>
              </w:rPr>
              <w:t>26201-26229</w:t>
            </w:r>
          </w:p>
        </w:tc>
        <w:tc>
          <w:tcPr>
            <w:tcW w:w="2410" w:type="dxa"/>
            <w:vMerge/>
            <w:shd w:val="clear" w:color="auto" w:fill="CCC0D9" w:themeFill="accent4" w:themeFillTint="66"/>
            <w:vAlign w:val="center"/>
          </w:tcPr>
          <w:p w14:paraId="5B7B80E0" w14:textId="77777777" w:rsidR="008C63E0" w:rsidRPr="000D44F7" w:rsidRDefault="008C63E0" w:rsidP="00414DEF">
            <w:pPr>
              <w:spacing w:before="40" w:after="40"/>
              <w:jc w:val="center"/>
              <w:rPr>
                <w:rFonts w:cs="Arial"/>
                <w:sz w:val="18"/>
                <w:szCs w:val="18"/>
              </w:rPr>
            </w:pPr>
          </w:p>
        </w:tc>
      </w:tr>
      <w:tr w:rsidR="008C63E0" w:rsidRPr="00E11348" w14:paraId="138EE5E7" w14:textId="77777777" w:rsidTr="00414DEF">
        <w:tc>
          <w:tcPr>
            <w:tcW w:w="2411" w:type="dxa"/>
            <w:shd w:val="clear" w:color="auto" w:fill="auto"/>
            <w:vAlign w:val="center"/>
          </w:tcPr>
          <w:p w14:paraId="6428422A" w14:textId="77777777" w:rsidR="008C63E0" w:rsidRPr="000D44F7" w:rsidRDefault="008C63E0" w:rsidP="00414DEF">
            <w:pPr>
              <w:spacing w:before="40" w:after="40"/>
              <w:jc w:val="center"/>
              <w:rPr>
                <w:rFonts w:cs="Arial"/>
                <w:bCs/>
                <w:spacing w:val="20"/>
                <w:sz w:val="18"/>
                <w:szCs w:val="18"/>
              </w:rPr>
            </w:pPr>
            <w:r>
              <w:rPr>
                <w:rFonts w:cs="Arial"/>
                <w:sz w:val="18"/>
                <w:szCs w:val="18"/>
                <w:lang w:val="en-GB"/>
              </w:rPr>
              <w:t>GUARD BAND</w:t>
            </w:r>
          </w:p>
        </w:tc>
        <w:tc>
          <w:tcPr>
            <w:tcW w:w="1559" w:type="dxa"/>
            <w:shd w:val="clear" w:color="auto" w:fill="auto"/>
            <w:vAlign w:val="center"/>
          </w:tcPr>
          <w:p w14:paraId="777F2071"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25</w:t>
            </w:r>
          </w:p>
        </w:tc>
        <w:tc>
          <w:tcPr>
            <w:tcW w:w="1701" w:type="dxa"/>
            <w:shd w:val="clear" w:color="auto" w:fill="auto"/>
            <w:vAlign w:val="center"/>
          </w:tcPr>
          <w:p w14:paraId="630C916D" w14:textId="77777777" w:rsidR="008C63E0" w:rsidRPr="002C4D99" w:rsidRDefault="008C63E0" w:rsidP="00414DEF">
            <w:pPr>
              <w:keepNext/>
              <w:spacing w:before="40" w:after="40"/>
              <w:jc w:val="center"/>
              <w:rPr>
                <w:rFonts w:cs="Arial"/>
                <w:sz w:val="18"/>
                <w:szCs w:val="18"/>
              </w:rPr>
            </w:pPr>
            <w:r>
              <w:rPr>
                <w:rFonts w:cs="Arial"/>
                <w:sz w:val="18"/>
                <w:szCs w:val="18"/>
                <w:lang w:val="en-GB"/>
              </w:rPr>
              <w:t>25221-25249</w:t>
            </w:r>
          </w:p>
        </w:tc>
        <w:tc>
          <w:tcPr>
            <w:tcW w:w="1701" w:type="dxa"/>
            <w:shd w:val="clear" w:color="auto" w:fill="auto"/>
            <w:vAlign w:val="center"/>
          </w:tcPr>
          <w:p w14:paraId="7433DE88" w14:textId="77777777" w:rsidR="008C63E0" w:rsidRPr="002C4D99" w:rsidRDefault="008C63E0" w:rsidP="00414DEF">
            <w:pPr>
              <w:keepNext/>
              <w:spacing w:before="40" w:after="40"/>
              <w:jc w:val="center"/>
              <w:rPr>
                <w:rFonts w:cs="Arial"/>
                <w:sz w:val="18"/>
                <w:szCs w:val="18"/>
              </w:rPr>
            </w:pPr>
            <w:r>
              <w:rPr>
                <w:rFonts w:cs="Arial"/>
                <w:sz w:val="18"/>
                <w:szCs w:val="18"/>
                <w:lang w:val="en-GB"/>
              </w:rPr>
              <w:t>26229-26257</w:t>
            </w:r>
          </w:p>
        </w:tc>
        <w:tc>
          <w:tcPr>
            <w:tcW w:w="2410" w:type="dxa"/>
            <w:shd w:val="clear" w:color="auto" w:fill="auto"/>
            <w:vAlign w:val="center"/>
          </w:tcPr>
          <w:p w14:paraId="04ED02BE" w14:textId="77777777" w:rsidR="008C63E0" w:rsidRPr="000D44F7" w:rsidRDefault="008C63E0" w:rsidP="00414DEF">
            <w:pPr>
              <w:spacing w:before="40" w:after="40"/>
              <w:jc w:val="center"/>
              <w:rPr>
                <w:rFonts w:cs="Arial"/>
                <w:sz w:val="18"/>
                <w:szCs w:val="18"/>
              </w:rPr>
            </w:pPr>
          </w:p>
        </w:tc>
      </w:tr>
      <w:tr w:rsidR="008C63E0" w:rsidRPr="00E11348" w14:paraId="3AC38DCE" w14:textId="77777777" w:rsidTr="00414DEF">
        <w:tc>
          <w:tcPr>
            <w:tcW w:w="2411" w:type="dxa"/>
            <w:vMerge w:val="restart"/>
            <w:shd w:val="clear" w:color="auto" w:fill="FABF8F" w:themeFill="accent6" w:themeFillTint="99"/>
            <w:vAlign w:val="center"/>
          </w:tcPr>
          <w:p w14:paraId="71B8221D" w14:textId="65C84C69" w:rsidR="008C63E0" w:rsidRPr="000D44F7" w:rsidRDefault="008C63E0" w:rsidP="006A18B0">
            <w:pPr>
              <w:spacing w:before="40" w:after="40"/>
              <w:jc w:val="center"/>
              <w:rPr>
                <w:rFonts w:cs="Arial"/>
                <w:bCs/>
                <w:spacing w:val="20"/>
                <w:sz w:val="18"/>
                <w:szCs w:val="18"/>
              </w:rPr>
            </w:pPr>
            <w:r>
              <w:rPr>
                <w:rFonts w:cs="Arial"/>
                <w:b/>
                <w:bCs/>
                <w:sz w:val="18"/>
                <w:szCs w:val="18"/>
                <w:lang w:val="en-GB"/>
              </w:rPr>
              <w:t>Magyar Telekom Nyrt.</w:t>
            </w:r>
          </w:p>
        </w:tc>
        <w:tc>
          <w:tcPr>
            <w:tcW w:w="1559" w:type="dxa"/>
            <w:shd w:val="clear" w:color="auto" w:fill="FABF8F" w:themeFill="accent6" w:themeFillTint="99"/>
            <w:vAlign w:val="center"/>
          </w:tcPr>
          <w:p w14:paraId="4001AC25" w14:textId="77777777" w:rsidR="008C63E0" w:rsidRPr="000D44F7" w:rsidRDefault="008C63E0" w:rsidP="00414DEF">
            <w:pPr>
              <w:spacing w:before="40" w:after="40"/>
              <w:jc w:val="center"/>
              <w:rPr>
                <w:rFonts w:cs="Arial"/>
                <w:color w:val="000000"/>
                <w:sz w:val="18"/>
                <w:szCs w:val="18"/>
              </w:rPr>
            </w:pPr>
            <w:r>
              <w:rPr>
                <w:rFonts w:cs="Arial"/>
                <w:color w:val="000000"/>
                <w:sz w:val="18"/>
                <w:szCs w:val="18"/>
                <w:lang w:val="en-GB"/>
              </w:rPr>
              <w:t>Basic block 26</w:t>
            </w:r>
          </w:p>
        </w:tc>
        <w:tc>
          <w:tcPr>
            <w:tcW w:w="1701" w:type="dxa"/>
            <w:shd w:val="clear" w:color="auto" w:fill="FABF8F" w:themeFill="accent6" w:themeFillTint="99"/>
            <w:vAlign w:val="center"/>
          </w:tcPr>
          <w:p w14:paraId="1B35D9CA" w14:textId="77777777" w:rsidR="008C63E0" w:rsidRPr="002C4D99" w:rsidRDefault="008C63E0" w:rsidP="00414DEF">
            <w:pPr>
              <w:spacing w:before="40" w:after="40"/>
              <w:jc w:val="center"/>
              <w:rPr>
                <w:rFonts w:cs="Arial"/>
                <w:sz w:val="18"/>
                <w:szCs w:val="18"/>
              </w:rPr>
            </w:pPr>
            <w:r>
              <w:rPr>
                <w:rFonts w:cs="Arial"/>
                <w:sz w:val="18"/>
                <w:szCs w:val="18"/>
                <w:lang w:val="en-GB"/>
              </w:rPr>
              <w:t>25249-25277</w:t>
            </w:r>
          </w:p>
        </w:tc>
        <w:tc>
          <w:tcPr>
            <w:tcW w:w="1701" w:type="dxa"/>
            <w:shd w:val="clear" w:color="auto" w:fill="FABF8F" w:themeFill="accent6" w:themeFillTint="99"/>
            <w:vAlign w:val="center"/>
          </w:tcPr>
          <w:p w14:paraId="7BF0E5C2" w14:textId="77777777" w:rsidR="008C63E0" w:rsidRPr="002C4D99" w:rsidRDefault="008C63E0" w:rsidP="00414DEF">
            <w:pPr>
              <w:spacing w:before="40" w:after="40"/>
              <w:jc w:val="center"/>
              <w:rPr>
                <w:rFonts w:cs="Arial"/>
                <w:sz w:val="18"/>
                <w:szCs w:val="18"/>
              </w:rPr>
            </w:pPr>
            <w:r>
              <w:rPr>
                <w:rFonts w:cs="Arial"/>
                <w:sz w:val="18"/>
                <w:szCs w:val="18"/>
                <w:lang w:val="en-GB"/>
              </w:rPr>
              <w:t>26257-26285</w:t>
            </w:r>
          </w:p>
        </w:tc>
        <w:tc>
          <w:tcPr>
            <w:tcW w:w="2410" w:type="dxa"/>
            <w:shd w:val="clear" w:color="auto" w:fill="FABF8F" w:themeFill="accent6" w:themeFillTint="99"/>
            <w:vAlign w:val="center"/>
          </w:tcPr>
          <w:p w14:paraId="63AB3956" w14:textId="477F1B2B" w:rsidR="008C63E0" w:rsidRPr="001F6A39" w:rsidRDefault="008C63E0" w:rsidP="00175C1F">
            <w:pPr>
              <w:spacing w:before="40" w:after="40"/>
              <w:jc w:val="center"/>
              <w:rPr>
                <w:rFonts w:cs="Arial"/>
                <w:i/>
                <w:sz w:val="18"/>
                <w:szCs w:val="18"/>
              </w:rPr>
            </w:pPr>
            <w:r>
              <w:rPr>
                <w:rFonts w:cs="Arial"/>
                <w:i/>
                <w:iCs/>
                <w:sz w:val="18"/>
                <w:szCs w:val="18"/>
                <w:lang w:val="en-GB"/>
              </w:rPr>
              <w:t>5 April 2027</w:t>
            </w:r>
          </w:p>
        </w:tc>
      </w:tr>
      <w:tr w:rsidR="008C63E0" w:rsidRPr="009F4F68" w14:paraId="43829CD4" w14:textId="77777777" w:rsidTr="00414DEF">
        <w:tc>
          <w:tcPr>
            <w:tcW w:w="2411" w:type="dxa"/>
            <w:vMerge/>
            <w:shd w:val="clear" w:color="auto" w:fill="FABF8F" w:themeFill="accent6" w:themeFillTint="99"/>
            <w:vAlign w:val="center"/>
          </w:tcPr>
          <w:p w14:paraId="7B23F172" w14:textId="77777777" w:rsidR="008C63E0" w:rsidRDefault="008C63E0" w:rsidP="00414DEF">
            <w:pPr>
              <w:jc w:val="center"/>
            </w:pPr>
          </w:p>
        </w:tc>
        <w:tc>
          <w:tcPr>
            <w:tcW w:w="1559" w:type="dxa"/>
            <w:shd w:val="clear" w:color="auto" w:fill="FABF8F" w:themeFill="accent6" w:themeFillTint="99"/>
            <w:vAlign w:val="center"/>
          </w:tcPr>
          <w:p w14:paraId="2CF2ABE9" w14:textId="77777777" w:rsidR="008C63E0" w:rsidRPr="002C4D99" w:rsidRDefault="008C63E0" w:rsidP="00414DEF">
            <w:pPr>
              <w:spacing w:before="40" w:after="40"/>
              <w:jc w:val="center"/>
              <w:rPr>
                <w:rFonts w:cs="Arial"/>
                <w:sz w:val="18"/>
                <w:szCs w:val="18"/>
              </w:rPr>
            </w:pPr>
            <w:r>
              <w:rPr>
                <w:rFonts w:cs="Arial"/>
                <w:sz w:val="18"/>
                <w:szCs w:val="18"/>
                <w:lang w:val="en-GB"/>
              </w:rPr>
              <w:t>Basic block 27</w:t>
            </w:r>
          </w:p>
        </w:tc>
        <w:tc>
          <w:tcPr>
            <w:tcW w:w="1701" w:type="dxa"/>
            <w:shd w:val="clear" w:color="auto" w:fill="FABF8F" w:themeFill="accent6" w:themeFillTint="99"/>
            <w:vAlign w:val="center"/>
          </w:tcPr>
          <w:p w14:paraId="74B9C91B" w14:textId="77777777" w:rsidR="008C63E0" w:rsidRPr="002C4D99" w:rsidRDefault="008C63E0" w:rsidP="00414DEF">
            <w:pPr>
              <w:spacing w:before="40" w:after="40"/>
              <w:jc w:val="center"/>
              <w:rPr>
                <w:rFonts w:cs="Arial"/>
                <w:sz w:val="18"/>
                <w:szCs w:val="18"/>
              </w:rPr>
            </w:pPr>
            <w:r>
              <w:rPr>
                <w:rFonts w:cs="Arial"/>
                <w:sz w:val="18"/>
                <w:szCs w:val="18"/>
                <w:lang w:val="en-GB"/>
              </w:rPr>
              <w:t>25277-25305</w:t>
            </w:r>
          </w:p>
        </w:tc>
        <w:tc>
          <w:tcPr>
            <w:tcW w:w="1701" w:type="dxa"/>
            <w:shd w:val="clear" w:color="auto" w:fill="FABF8F" w:themeFill="accent6" w:themeFillTint="99"/>
            <w:vAlign w:val="center"/>
          </w:tcPr>
          <w:p w14:paraId="16650B3F" w14:textId="77777777" w:rsidR="008C63E0" w:rsidRPr="002C4D99" w:rsidRDefault="008C63E0" w:rsidP="00414DEF">
            <w:pPr>
              <w:spacing w:before="40" w:after="40"/>
              <w:jc w:val="center"/>
              <w:rPr>
                <w:rFonts w:cs="Arial"/>
                <w:sz w:val="18"/>
                <w:szCs w:val="18"/>
              </w:rPr>
            </w:pPr>
            <w:r>
              <w:rPr>
                <w:rFonts w:cs="Arial"/>
                <w:sz w:val="18"/>
                <w:szCs w:val="18"/>
                <w:lang w:val="en-GB"/>
              </w:rPr>
              <w:t>26285-26313</w:t>
            </w:r>
          </w:p>
        </w:tc>
        <w:tc>
          <w:tcPr>
            <w:tcW w:w="2410" w:type="dxa"/>
            <w:vMerge w:val="restart"/>
            <w:shd w:val="clear" w:color="auto" w:fill="FABF8F" w:themeFill="accent6" w:themeFillTint="99"/>
            <w:vAlign w:val="center"/>
          </w:tcPr>
          <w:p w14:paraId="1DD30564" w14:textId="1B89EDF9" w:rsidR="008C63E0" w:rsidRPr="001F6A39" w:rsidRDefault="00175C1F" w:rsidP="00175C1F">
            <w:pPr>
              <w:spacing w:before="40" w:after="40"/>
              <w:jc w:val="center"/>
              <w:rPr>
                <w:rFonts w:cs="Arial"/>
                <w:i/>
                <w:sz w:val="18"/>
                <w:szCs w:val="18"/>
              </w:rPr>
            </w:pPr>
            <w:r>
              <w:rPr>
                <w:rFonts w:cs="Arial"/>
                <w:i/>
                <w:iCs/>
                <w:sz w:val="18"/>
                <w:szCs w:val="18"/>
                <w:lang w:val="en-GB"/>
              </w:rPr>
              <w:t>15 May 2024</w:t>
            </w:r>
          </w:p>
        </w:tc>
      </w:tr>
      <w:tr w:rsidR="008C63E0" w:rsidRPr="009F4F68" w14:paraId="0C1C89EA" w14:textId="77777777" w:rsidTr="00414DEF">
        <w:tc>
          <w:tcPr>
            <w:tcW w:w="2411" w:type="dxa"/>
            <w:vMerge/>
            <w:shd w:val="clear" w:color="auto" w:fill="FABF8F" w:themeFill="accent6" w:themeFillTint="99"/>
            <w:vAlign w:val="center"/>
          </w:tcPr>
          <w:p w14:paraId="04C74025" w14:textId="77777777" w:rsidR="008C63E0" w:rsidRDefault="008C63E0" w:rsidP="00414DEF">
            <w:pPr>
              <w:jc w:val="center"/>
            </w:pPr>
          </w:p>
        </w:tc>
        <w:tc>
          <w:tcPr>
            <w:tcW w:w="1559" w:type="dxa"/>
            <w:shd w:val="clear" w:color="auto" w:fill="FABF8F" w:themeFill="accent6" w:themeFillTint="99"/>
            <w:vAlign w:val="center"/>
          </w:tcPr>
          <w:p w14:paraId="6AF477B9" w14:textId="77777777" w:rsidR="008C63E0" w:rsidRPr="002C4D99" w:rsidRDefault="008C63E0" w:rsidP="00414DEF">
            <w:pPr>
              <w:spacing w:before="40" w:after="40"/>
              <w:jc w:val="center"/>
              <w:rPr>
                <w:rFonts w:cs="Arial"/>
                <w:sz w:val="18"/>
                <w:szCs w:val="18"/>
              </w:rPr>
            </w:pPr>
            <w:r>
              <w:rPr>
                <w:rFonts w:cs="Arial"/>
                <w:sz w:val="18"/>
                <w:szCs w:val="18"/>
                <w:lang w:val="en-GB"/>
              </w:rPr>
              <w:t>Basic block 28</w:t>
            </w:r>
          </w:p>
        </w:tc>
        <w:tc>
          <w:tcPr>
            <w:tcW w:w="1701" w:type="dxa"/>
            <w:shd w:val="clear" w:color="auto" w:fill="FABF8F" w:themeFill="accent6" w:themeFillTint="99"/>
            <w:vAlign w:val="center"/>
          </w:tcPr>
          <w:p w14:paraId="3FA1DB75" w14:textId="77777777" w:rsidR="008C63E0" w:rsidRPr="002C4D99" w:rsidRDefault="008C63E0" w:rsidP="00414DEF">
            <w:pPr>
              <w:spacing w:before="40" w:after="40"/>
              <w:jc w:val="center"/>
              <w:rPr>
                <w:rFonts w:cs="Arial"/>
                <w:sz w:val="18"/>
                <w:szCs w:val="18"/>
              </w:rPr>
            </w:pPr>
            <w:r>
              <w:rPr>
                <w:rFonts w:cs="Arial"/>
                <w:sz w:val="18"/>
                <w:szCs w:val="18"/>
                <w:lang w:val="en-GB"/>
              </w:rPr>
              <w:t>25305-25333</w:t>
            </w:r>
          </w:p>
        </w:tc>
        <w:tc>
          <w:tcPr>
            <w:tcW w:w="1701" w:type="dxa"/>
            <w:shd w:val="clear" w:color="auto" w:fill="FABF8F" w:themeFill="accent6" w:themeFillTint="99"/>
            <w:vAlign w:val="center"/>
          </w:tcPr>
          <w:p w14:paraId="3F6CFD08" w14:textId="77777777" w:rsidR="008C63E0" w:rsidRPr="002C4D99" w:rsidRDefault="008C63E0" w:rsidP="00414DEF">
            <w:pPr>
              <w:spacing w:before="40" w:after="40"/>
              <w:jc w:val="center"/>
              <w:rPr>
                <w:rFonts w:cs="Arial"/>
                <w:sz w:val="18"/>
                <w:szCs w:val="18"/>
              </w:rPr>
            </w:pPr>
            <w:r>
              <w:rPr>
                <w:rFonts w:cs="Arial"/>
                <w:sz w:val="18"/>
                <w:szCs w:val="18"/>
                <w:lang w:val="en-GB"/>
              </w:rPr>
              <w:t>26313-26341</w:t>
            </w:r>
          </w:p>
        </w:tc>
        <w:tc>
          <w:tcPr>
            <w:tcW w:w="2410" w:type="dxa"/>
            <w:vMerge/>
            <w:shd w:val="clear" w:color="auto" w:fill="FABF8F" w:themeFill="accent6" w:themeFillTint="99"/>
            <w:vAlign w:val="center"/>
          </w:tcPr>
          <w:p w14:paraId="5333FA77" w14:textId="77777777" w:rsidR="008C63E0" w:rsidRPr="002C4D99" w:rsidRDefault="008C63E0" w:rsidP="00414DEF">
            <w:pPr>
              <w:spacing w:before="40" w:after="40"/>
              <w:jc w:val="center"/>
              <w:rPr>
                <w:rFonts w:cs="Arial"/>
                <w:sz w:val="18"/>
                <w:szCs w:val="18"/>
              </w:rPr>
            </w:pPr>
          </w:p>
        </w:tc>
      </w:tr>
      <w:tr w:rsidR="008C63E0" w:rsidRPr="009F4F68" w14:paraId="2564D53B" w14:textId="77777777" w:rsidTr="00414DEF">
        <w:tc>
          <w:tcPr>
            <w:tcW w:w="2411" w:type="dxa"/>
            <w:vMerge/>
            <w:shd w:val="clear" w:color="auto" w:fill="FABF8F" w:themeFill="accent6" w:themeFillTint="99"/>
            <w:vAlign w:val="center"/>
          </w:tcPr>
          <w:p w14:paraId="3DE391F3" w14:textId="77777777" w:rsidR="008C63E0" w:rsidRDefault="008C63E0" w:rsidP="00414DEF">
            <w:pPr>
              <w:jc w:val="center"/>
            </w:pPr>
          </w:p>
        </w:tc>
        <w:tc>
          <w:tcPr>
            <w:tcW w:w="1559" w:type="dxa"/>
            <w:shd w:val="clear" w:color="auto" w:fill="FABF8F" w:themeFill="accent6" w:themeFillTint="99"/>
            <w:vAlign w:val="center"/>
          </w:tcPr>
          <w:p w14:paraId="5E62FD1A" w14:textId="77777777" w:rsidR="008C63E0" w:rsidRPr="002C4D99" w:rsidRDefault="008C63E0" w:rsidP="00414DEF">
            <w:pPr>
              <w:spacing w:before="40" w:after="40"/>
              <w:jc w:val="center"/>
              <w:rPr>
                <w:rFonts w:cs="Arial"/>
                <w:sz w:val="18"/>
                <w:szCs w:val="18"/>
              </w:rPr>
            </w:pPr>
            <w:r>
              <w:rPr>
                <w:rFonts w:cs="Arial"/>
                <w:sz w:val="18"/>
                <w:szCs w:val="18"/>
                <w:lang w:val="en-GB"/>
              </w:rPr>
              <w:t>Basic block 29</w:t>
            </w:r>
          </w:p>
        </w:tc>
        <w:tc>
          <w:tcPr>
            <w:tcW w:w="1701" w:type="dxa"/>
            <w:shd w:val="clear" w:color="auto" w:fill="FABF8F" w:themeFill="accent6" w:themeFillTint="99"/>
            <w:vAlign w:val="center"/>
          </w:tcPr>
          <w:p w14:paraId="1694C8E2" w14:textId="77777777" w:rsidR="008C63E0" w:rsidRPr="002C4D99" w:rsidRDefault="008C63E0" w:rsidP="00414DEF">
            <w:pPr>
              <w:spacing w:before="40" w:after="40"/>
              <w:jc w:val="center"/>
              <w:rPr>
                <w:rFonts w:cs="Arial"/>
                <w:sz w:val="18"/>
                <w:szCs w:val="18"/>
              </w:rPr>
            </w:pPr>
            <w:r>
              <w:rPr>
                <w:rFonts w:cs="Arial"/>
                <w:sz w:val="18"/>
                <w:szCs w:val="18"/>
                <w:lang w:val="en-GB"/>
              </w:rPr>
              <w:t>25333-25361</w:t>
            </w:r>
          </w:p>
        </w:tc>
        <w:tc>
          <w:tcPr>
            <w:tcW w:w="1701" w:type="dxa"/>
            <w:shd w:val="clear" w:color="auto" w:fill="FABF8F" w:themeFill="accent6" w:themeFillTint="99"/>
            <w:vAlign w:val="center"/>
          </w:tcPr>
          <w:p w14:paraId="64EB31EF" w14:textId="77777777" w:rsidR="008C63E0" w:rsidRPr="002C4D99" w:rsidRDefault="008C63E0" w:rsidP="00414DEF">
            <w:pPr>
              <w:spacing w:before="40" w:after="40"/>
              <w:jc w:val="center"/>
              <w:rPr>
                <w:rFonts w:cs="Arial"/>
                <w:sz w:val="18"/>
                <w:szCs w:val="18"/>
              </w:rPr>
            </w:pPr>
            <w:r>
              <w:rPr>
                <w:rFonts w:cs="Arial"/>
                <w:sz w:val="18"/>
                <w:szCs w:val="18"/>
                <w:lang w:val="en-GB"/>
              </w:rPr>
              <w:t>26341-26369</w:t>
            </w:r>
          </w:p>
        </w:tc>
        <w:tc>
          <w:tcPr>
            <w:tcW w:w="2410" w:type="dxa"/>
            <w:vMerge/>
            <w:shd w:val="clear" w:color="auto" w:fill="FABF8F" w:themeFill="accent6" w:themeFillTint="99"/>
            <w:vAlign w:val="center"/>
          </w:tcPr>
          <w:p w14:paraId="2DE781A1" w14:textId="77777777" w:rsidR="008C63E0" w:rsidRPr="002C4D99" w:rsidRDefault="008C63E0" w:rsidP="00414DEF">
            <w:pPr>
              <w:spacing w:before="40" w:after="40"/>
              <w:jc w:val="center"/>
              <w:rPr>
                <w:rFonts w:cs="Arial"/>
                <w:sz w:val="18"/>
                <w:szCs w:val="18"/>
              </w:rPr>
            </w:pPr>
          </w:p>
        </w:tc>
      </w:tr>
      <w:tr w:rsidR="008C63E0" w:rsidRPr="00E11348" w14:paraId="19FF4B47" w14:textId="77777777" w:rsidTr="00414DEF">
        <w:tc>
          <w:tcPr>
            <w:tcW w:w="2411" w:type="dxa"/>
            <w:shd w:val="clear" w:color="auto" w:fill="auto"/>
            <w:vAlign w:val="center"/>
          </w:tcPr>
          <w:p w14:paraId="285506CF" w14:textId="77777777" w:rsidR="008C63E0" w:rsidRPr="000D44F7" w:rsidRDefault="008C63E0" w:rsidP="00414DEF">
            <w:pPr>
              <w:spacing w:before="40" w:after="40"/>
              <w:jc w:val="center"/>
              <w:rPr>
                <w:rFonts w:cs="Arial"/>
                <w:bCs/>
                <w:spacing w:val="20"/>
                <w:sz w:val="18"/>
                <w:szCs w:val="18"/>
              </w:rPr>
            </w:pPr>
            <w:r>
              <w:rPr>
                <w:rFonts w:cs="Arial"/>
                <w:sz w:val="18"/>
                <w:szCs w:val="18"/>
                <w:lang w:val="en-GB"/>
              </w:rPr>
              <w:t>GUARD BAND</w:t>
            </w:r>
          </w:p>
        </w:tc>
        <w:tc>
          <w:tcPr>
            <w:tcW w:w="1559" w:type="dxa"/>
            <w:shd w:val="clear" w:color="auto" w:fill="auto"/>
            <w:vAlign w:val="center"/>
          </w:tcPr>
          <w:p w14:paraId="60F30CE3" w14:textId="77777777" w:rsidR="008C63E0" w:rsidRPr="000D44F7" w:rsidRDefault="008C63E0" w:rsidP="00414DEF">
            <w:pPr>
              <w:keepNext/>
              <w:spacing w:before="40" w:after="40"/>
              <w:jc w:val="center"/>
              <w:rPr>
                <w:rFonts w:cs="Arial"/>
                <w:color w:val="000000"/>
                <w:sz w:val="18"/>
                <w:szCs w:val="18"/>
              </w:rPr>
            </w:pPr>
            <w:r>
              <w:rPr>
                <w:rFonts w:cs="Arial"/>
                <w:color w:val="000000"/>
                <w:sz w:val="18"/>
                <w:szCs w:val="18"/>
                <w:lang w:val="en-GB"/>
              </w:rPr>
              <w:t>Basic block 30</w:t>
            </w:r>
          </w:p>
        </w:tc>
        <w:tc>
          <w:tcPr>
            <w:tcW w:w="1701" w:type="dxa"/>
            <w:shd w:val="clear" w:color="auto" w:fill="auto"/>
            <w:vAlign w:val="center"/>
          </w:tcPr>
          <w:p w14:paraId="67424A90" w14:textId="77777777" w:rsidR="008C63E0" w:rsidRPr="002C4D99" w:rsidRDefault="008C63E0" w:rsidP="00414DEF">
            <w:pPr>
              <w:keepNext/>
              <w:spacing w:before="40" w:after="40"/>
              <w:jc w:val="center"/>
              <w:rPr>
                <w:rFonts w:cs="Arial"/>
                <w:sz w:val="18"/>
                <w:szCs w:val="18"/>
              </w:rPr>
            </w:pPr>
            <w:r>
              <w:rPr>
                <w:rFonts w:cs="Arial"/>
                <w:sz w:val="18"/>
                <w:szCs w:val="18"/>
                <w:lang w:val="en-GB"/>
              </w:rPr>
              <w:t>25361-25389</w:t>
            </w:r>
          </w:p>
        </w:tc>
        <w:tc>
          <w:tcPr>
            <w:tcW w:w="1701" w:type="dxa"/>
            <w:shd w:val="clear" w:color="auto" w:fill="auto"/>
            <w:vAlign w:val="center"/>
          </w:tcPr>
          <w:p w14:paraId="753357F1" w14:textId="77777777" w:rsidR="008C63E0" w:rsidRPr="002C4D99" w:rsidRDefault="008C63E0" w:rsidP="00414DEF">
            <w:pPr>
              <w:keepNext/>
              <w:spacing w:before="40" w:after="40"/>
              <w:jc w:val="center"/>
              <w:rPr>
                <w:rFonts w:cs="Arial"/>
                <w:sz w:val="18"/>
                <w:szCs w:val="18"/>
              </w:rPr>
            </w:pPr>
            <w:r>
              <w:rPr>
                <w:rFonts w:cs="Arial"/>
                <w:sz w:val="18"/>
                <w:szCs w:val="18"/>
                <w:lang w:val="en-GB"/>
              </w:rPr>
              <w:t>26369-26397</w:t>
            </w:r>
          </w:p>
        </w:tc>
        <w:tc>
          <w:tcPr>
            <w:tcW w:w="2410" w:type="dxa"/>
            <w:shd w:val="clear" w:color="auto" w:fill="auto"/>
            <w:vAlign w:val="center"/>
          </w:tcPr>
          <w:p w14:paraId="4DC1AC64" w14:textId="77777777" w:rsidR="008C63E0" w:rsidRPr="000D44F7" w:rsidRDefault="008C63E0" w:rsidP="00414DEF">
            <w:pPr>
              <w:spacing w:before="40" w:after="40"/>
              <w:jc w:val="center"/>
              <w:rPr>
                <w:rFonts w:cs="Arial"/>
                <w:sz w:val="18"/>
                <w:szCs w:val="18"/>
              </w:rPr>
            </w:pPr>
          </w:p>
        </w:tc>
      </w:tr>
      <w:tr w:rsidR="008C63E0" w14:paraId="4BBBE260" w14:textId="77777777" w:rsidTr="00295A10">
        <w:tc>
          <w:tcPr>
            <w:tcW w:w="2411" w:type="dxa"/>
            <w:vMerge w:val="restart"/>
            <w:shd w:val="clear" w:color="auto" w:fill="DDD9C3" w:themeFill="background2" w:themeFillShade="E6"/>
            <w:vAlign w:val="center"/>
          </w:tcPr>
          <w:p w14:paraId="42BCC1B2" w14:textId="0458E7A8" w:rsidR="008C63E0" w:rsidRPr="002C4D99" w:rsidRDefault="008C63E0" w:rsidP="006A18B0">
            <w:pPr>
              <w:spacing w:before="40" w:after="40"/>
              <w:jc w:val="center"/>
              <w:rPr>
                <w:rFonts w:cs="Arial"/>
                <w:bCs/>
                <w:spacing w:val="20"/>
                <w:sz w:val="18"/>
                <w:szCs w:val="18"/>
              </w:rPr>
            </w:pPr>
            <w:r>
              <w:rPr>
                <w:rFonts w:cs="Arial"/>
                <w:b/>
                <w:bCs/>
                <w:sz w:val="18"/>
                <w:szCs w:val="18"/>
                <w:lang w:val="en-GB"/>
              </w:rPr>
              <w:t>Digi Kft.</w:t>
            </w:r>
          </w:p>
        </w:tc>
        <w:tc>
          <w:tcPr>
            <w:tcW w:w="1559" w:type="dxa"/>
            <w:shd w:val="clear" w:color="auto" w:fill="DDD9C3" w:themeFill="background2" w:themeFillShade="E6"/>
            <w:vAlign w:val="center"/>
          </w:tcPr>
          <w:p w14:paraId="5E5F9BDC" w14:textId="77777777" w:rsidR="008C63E0" w:rsidRPr="002C4D99" w:rsidRDefault="008C63E0" w:rsidP="00414DEF">
            <w:pPr>
              <w:spacing w:before="40" w:after="40"/>
              <w:jc w:val="center"/>
              <w:rPr>
                <w:rFonts w:cs="Arial"/>
                <w:sz w:val="18"/>
                <w:szCs w:val="18"/>
              </w:rPr>
            </w:pPr>
            <w:r>
              <w:rPr>
                <w:rFonts w:cs="Arial"/>
                <w:sz w:val="18"/>
                <w:szCs w:val="18"/>
                <w:lang w:val="en-GB"/>
              </w:rPr>
              <w:t>Basic block 31</w:t>
            </w:r>
          </w:p>
        </w:tc>
        <w:tc>
          <w:tcPr>
            <w:tcW w:w="1701" w:type="dxa"/>
            <w:shd w:val="clear" w:color="auto" w:fill="DDD9C3" w:themeFill="background2" w:themeFillShade="E6"/>
            <w:vAlign w:val="center"/>
          </w:tcPr>
          <w:p w14:paraId="14EB2ABB" w14:textId="77777777" w:rsidR="008C63E0" w:rsidRPr="002C4D99" w:rsidRDefault="008C63E0" w:rsidP="00414DEF">
            <w:pPr>
              <w:keepNext/>
              <w:spacing w:before="40" w:after="40"/>
              <w:jc w:val="center"/>
              <w:rPr>
                <w:rFonts w:cs="Arial"/>
                <w:sz w:val="18"/>
                <w:szCs w:val="18"/>
              </w:rPr>
            </w:pPr>
            <w:r>
              <w:rPr>
                <w:rFonts w:cs="Arial"/>
                <w:sz w:val="18"/>
                <w:szCs w:val="18"/>
                <w:lang w:val="en-GB"/>
              </w:rPr>
              <w:t>25389-25417</w:t>
            </w:r>
          </w:p>
        </w:tc>
        <w:tc>
          <w:tcPr>
            <w:tcW w:w="1701" w:type="dxa"/>
            <w:shd w:val="clear" w:color="auto" w:fill="DDD9C3" w:themeFill="background2" w:themeFillShade="E6"/>
            <w:vAlign w:val="center"/>
          </w:tcPr>
          <w:p w14:paraId="1CD2F950" w14:textId="77777777" w:rsidR="008C63E0" w:rsidRPr="002C4D99" w:rsidRDefault="008C63E0" w:rsidP="00414DEF">
            <w:pPr>
              <w:spacing w:before="40" w:after="40"/>
              <w:jc w:val="center"/>
              <w:rPr>
                <w:rFonts w:eastAsia="Arial Unicode MS" w:cs="Arial"/>
                <w:sz w:val="18"/>
                <w:szCs w:val="18"/>
              </w:rPr>
            </w:pPr>
            <w:r>
              <w:rPr>
                <w:rFonts w:cs="Arial"/>
                <w:sz w:val="18"/>
                <w:szCs w:val="18"/>
                <w:lang w:val="en-GB"/>
              </w:rPr>
              <w:t>26397-26425</w:t>
            </w:r>
          </w:p>
        </w:tc>
        <w:tc>
          <w:tcPr>
            <w:tcW w:w="2410" w:type="dxa"/>
            <w:vMerge w:val="restart"/>
            <w:shd w:val="clear" w:color="auto" w:fill="DDD9C3" w:themeFill="background2" w:themeFillShade="E6"/>
            <w:vAlign w:val="center"/>
          </w:tcPr>
          <w:p w14:paraId="64B34070" w14:textId="38777084" w:rsidR="008C63E0" w:rsidRPr="001F6A39" w:rsidRDefault="008C63E0" w:rsidP="00175C1F">
            <w:pPr>
              <w:spacing w:before="40" w:after="40"/>
              <w:jc w:val="center"/>
              <w:rPr>
                <w:rFonts w:cs="Arial"/>
                <w:i/>
                <w:sz w:val="18"/>
                <w:szCs w:val="18"/>
              </w:rPr>
            </w:pPr>
            <w:r>
              <w:rPr>
                <w:rFonts w:cs="Arial"/>
                <w:i/>
                <w:iCs/>
                <w:sz w:val="18"/>
                <w:szCs w:val="18"/>
                <w:lang w:val="en-GB"/>
              </w:rPr>
              <w:t>5 April 2027</w:t>
            </w:r>
          </w:p>
        </w:tc>
      </w:tr>
      <w:tr w:rsidR="008C63E0" w14:paraId="45A4538E" w14:textId="77777777" w:rsidTr="00414DEF">
        <w:tc>
          <w:tcPr>
            <w:tcW w:w="2411" w:type="dxa"/>
            <w:vMerge/>
            <w:shd w:val="clear" w:color="auto" w:fill="DDD9C3" w:themeFill="background2" w:themeFillShade="E6"/>
            <w:vAlign w:val="center"/>
          </w:tcPr>
          <w:p w14:paraId="01E866FA" w14:textId="77777777" w:rsidR="008C63E0" w:rsidRPr="002C4D99" w:rsidRDefault="008C63E0" w:rsidP="00414DEF">
            <w:pPr>
              <w:spacing w:before="40" w:after="40"/>
              <w:jc w:val="center"/>
              <w:rPr>
                <w:rFonts w:cs="Arial"/>
                <w:bCs/>
                <w:spacing w:val="20"/>
                <w:sz w:val="18"/>
                <w:szCs w:val="18"/>
              </w:rPr>
            </w:pPr>
          </w:p>
        </w:tc>
        <w:tc>
          <w:tcPr>
            <w:tcW w:w="1559" w:type="dxa"/>
            <w:shd w:val="clear" w:color="auto" w:fill="DDD9C3" w:themeFill="background2" w:themeFillShade="E6"/>
            <w:vAlign w:val="center"/>
          </w:tcPr>
          <w:p w14:paraId="4BC34017" w14:textId="77777777" w:rsidR="008C63E0" w:rsidRPr="002C4D99" w:rsidRDefault="008C63E0" w:rsidP="00414DEF">
            <w:pPr>
              <w:spacing w:before="40" w:after="40"/>
              <w:jc w:val="center"/>
              <w:rPr>
                <w:rFonts w:cs="Arial"/>
                <w:sz w:val="18"/>
                <w:szCs w:val="18"/>
              </w:rPr>
            </w:pPr>
            <w:r>
              <w:rPr>
                <w:rFonts w:cs="Arial"/>
                <w:sz w:val="18"/>
                <w:szCs w:val="18"/>
                <w:lang w:val="en-GB"/>
              </w:rPr>
              <w:t>Basic block 32</w:t>
            </w:r>
          </w:p>
        </w:tc>
        <w:tc>
          <w:tcPr>
            <w:tcW w:w="1701" w:type="dxa"/>
            <w:shd w:val="clear" w:color="auto" w:fill="DDD9C3" w:themeFill="background2" w:themeFillShade="E6"/>
            <w:vAlign w:val="center"/>
          </w:tcPr>
          <w:p w14:paraId="1C7E7FD6" w14:textId="77777777" w:rsidR="008C63E0" w:rsidRPr="002C4D99" w:rsidRDefault="008C63E0" w:rsidP="00414DEF">
            <w:pPr>
              <w:keepNext/>
              <w:spacing w:before="40" w:after="40"/>
              <w:jc w:val="center"/>
              <w:rPr>
                <w:rFonts w:cs="Arial"/>
                <w:sz w:val="18"/>
                <w:szCs w:val="18"/>
              </w:rPr>
            </w:pPr>
            <w:r>
              <w:rPr>
                <w:rFonts w:cs="Arial"/>
                <w:sz w:val="18"/>
                <w:szCs w:val="18"/>
                <w:lang w:val="en-GB"/>
              </w:rPr>
              <w:t>25417-25445</w:t>
            </w:r>
          </w:p>
        </w:tc>
        <w:tc>
          <w:tcPr>
            <w:tcW w:w="1701" w:type="dxa"/>
            <w:shd w:val="clear" w:color="auto" w:fill="DDD9C3" w:themeFill="background2" w:themeFillShade="E6"/>
            <w:vAlign w:val="center"/>
          </w:tcPr>
          <w:p w14:paraId="3BFAF82E" w14:textId="77777777" w:rsidR="008C63E0" w:rsidRPr="002C4D99" w:rsidRDefault="008C63E0" w:rsidP="00414DEF">
            <w:pPr>
              <w:spacing w:before="40" w:after="40"/>
              <w:jc w:val="center"/>
              <w:rPr>
                <w:rFonts w:eastAsia="Arial Unicode MS" w:cs="Arial"/>
                <w:sz w:val="18"/>
                <w:szCs w:val="18"/>
              </w:rPr>
            </w:pPr>
            <w:r>
              <w:rPr>
                <w:rFonts w:cs="Arial"/>
                <w:sz w:val="18"/>
                <w:szCs w:val="18"/>
                <w:lang w:val="en-GB"/>
              </w:rPr>
              <w:t>26425-26453</w:t>
            </w:r>
          </w:p>
        </w:tc>
        <w:tc>
          <w:tcPr>
            <w:tcW w:w="2410" w:type="dxa"/>
            <w:vMerge/>
            <w:shd w:val="clear" w:color="auto" w:fill="DDD9C3" w:themeFill="background2" w:themeFillShade="E6"/>
            <w:vAlign w:val="center"/>
          </w:tcPr>
          <w:p w14:paraId="260FC279" w14:textId="77777777" w:rsidR="008C63E0" w:rsidRPr="002C4D99" w:rsidRDefault="008C63E0" w:rsidP="00414DEF">
            <w:pPr>
              <w:spacing w:before="40" w:after="40"/>
              <w:jc w:val="center"/>
              <w:rPr>
                <w:rFonts w:cs="Arial"/>
                <w:sz w:val="18"/>
                <w:szCs w:val="18"/>
              </w:rPr>
            </w:pPr>
          </w:p>
        </w:tc>
      </w:tr>
    </w:tbl>
    <w:p w14:paraId="726D9E03" w14:textId="3BFDBA88" w:rsidR="008C63E0" w:rsidRDefault="008C63E0" w:rsidP="00702FCC">
      <w:pPr>
        <w:pStyle w:val="Behzottbekezdsnmhh"/>
        <w:spacing w:before="120"/>
      </w:pPr>
      <w:r>
        <w:rPr>
          <w:lang w:val="en-GB"/>
        </w:rPr>
        <w:t xml:space="preserve">The </w:t>
      </w:r>
      <w:r w:rsidR="00EB7AA4">
        <w:rPr>
          <w:lang w:val="en-GB"/>
        </w:rPr>
        <w:t xml:space="preserve">entitlement to </w:t>
      </w:r>
      <w:r>
        <w:rPr>
          <w:lang w:val="en-GB"/>
        </w:rPr>
        <w:t xml:space="preserve">radio spectrum </w:t>
      </w:r>
      <w:r w:rsidR="00EB7AA4">
        <w:rPr>
          <w:lang w:val="en-GB"/>
        </w:rPr>
        <w:t xml:space="preserve">use </w:t>
      </w:r>
      <w:r>
        <w:rPr>
          <w:lang w:val="en-GB"/>
        </w:rPr>
        <w:t xml:space="preserve">for basic blocks 12 and 13 expired in 2019, the right holder (Antenna Hungária Zrt.) did not opt for a 5-year extension, therefore these two basic blocks are currently not </w:t>
      </w:r>
      <w:r w:rsidR="00EB7AA4">
        <w:rPr>
          <w:lang w:val="en-GB"/>
        </w:rPr>
        <w:t>distributed</w:t>
      </w:r>
      <w:r>
        <w:rPr>
          <w:lang w:val="en-GB"/>
        </w:rPr>
        <w:t xml:space="preserve">, i.e. empty. The </w:t>
      </w:r>
      <w:r w:rsidR="00EB7AA4">
        <w:rPr>
          <w:lang w:val="en-GB"/>
        </w:rPr>
        <w:t>entitlement to</w:t>
      </w:r>
      <w:r>
        <w:rPr>
          <w:lang w:val="en-GB"/>
        </w:rPr>
        <w:t xml:space="preserve"> radio spectrum </w:t>
      </w:r>
      <w:r w:rsidR="00EB7AA4">
        <w:rPr>
          <w:lang w:val="en-GB"/>
        </w:rPr>
        <w:t xml:space="preserve">use </w:t>
      </w:r>
      <w:r>
        <w:rPr>
          <w:lang w:val="en-GB"/>
        </w:rPr>
        <w:t xml:space="preserve">for basic blocks 27-29 of Magyar </w:t>
      </w:r>
      <w:r>
        <w:rPr>
          <w:lang w:val="en-GB"/>
        </w:rPr>
        <w:lastRenderedPageBreak/>
        <w:t xml:space="preserve">Telekom Nyrt. </w:t>
      </w:r>
      <w:r w:rsidR="00EB7AA4">
        <w:rPr>
          <w:lang w:val="en-GB"/>
        </w:rPr>
        <w:t xml:space="preserve">was </w:t>
      </w:r>
      <w:r>
        <w:rPr>
          <w:lang w:val="en-GB"/>
        </w:rPr>
        <w:t xml:space="preserve">also </w:t>
      </w:r>
      <w:r w:rsidR="00EB7AA4">
        <w:rPr>
          <w:lang w:val="en-GB"/>
        </w:rPr>
        <w:t xml:space="preserve">to be </w:t>
      </w:r>
      <w:r>
        <w:rPr>
          <w:lang w:val="en-GB"/>
        </w:rPr>
        <w:t xml:space="preserve">expired in 2019, which was extended by 5 years, so the relevant licence expires in 2024. The remaining </w:t>
      </w:r>
      <w:r w:rsidR="00E26640">
        <w:rPr>
          <w:lang w:val="en-GB"/>
        </w:rPr>
        <w:t>entitlements to</w:t>
      </w:r>
      <w:r>
        <w:rPr>
          <w:lang w:val="en-GB"/>
        </w:rPr>
        <w:t xml:space="preserve"> radio spectrum </w:t>
      </w:r>
      <w:r w:rsidR="00E26640">
        <w:rPr>
          <w:lang w:val="en-GB"/>
        </w:rPr>
        <w:t xml:space="preserve">use </w:t>
      </w:r>
      <w:r>
        <w:rPr>
          <w:lang w:val="en-GB"/>
        </w:rPr>
        <w:t xml:space="preserve">will expire in 2027. </w:t>
      </w:r>
    </w:p>
    <w:p w14:paraId="1017DA12" w14:textId="2C32DD46" w:rsidR="00D43693" w:rsidRDefault="00D43693" w:rsidP="00D43693">
      <w:pPr>
        <w:pStyle w:val="Behzottbekezdsnmhh"/>
      </w:pPr>
      <w:r>
        <w:rPr>
          <w:lang w:val="en-GB"/>
        </w:rPr>
        <w:t xml:space="preserve">Current </w:t>
      </w:r>
      <w:r w:rsidR="00E26640">
        <w:rPr>
          <w:lang w:val="en-GB"/>
        </w:rPr>
        <w:t>entitlements to</w:t>
      </w:r>
      <w:r>
        <w:rPr>
          <w:lang w:val="en-GB"/>
        </w:rPr>
        <w:t xml:space="preserve"> radio spectrum </w:t>
      </w:r>
      <w:r w:rsidR="00E26640">
        <w:rPr>
          <w:lang w:val="en-GB"/>
        </w:rPr>
        <w:t xml:space="preserve">use </w:t>
      </w:r>
      <w:r>
        <w:rPr>
          <w:lang w:val="en-GB"/>
        </w:rPr>
        <w:t xml:space="preserve">are </w:t>
      </w:r>
      <w:r w:rsidR="00E26640">
        <w:rPr>
          <w:lang w:val="en-GB"/>
        </w:rPr>
        <w:t xml:space="preserve">distributed </w:t>
      </w:r>
      <w:r>
        <w:rPr>
          <w:lang w:val="en-GB"/>
        </w:rPr>
        <w:t>among the right holders with the following spectrum quantities:</w:t>
      </w:r>
    </w:p>
    <w:p w14:paraId="7E15A98B" w14:textId="0765CA49" w:rsidR="00D43693" w:rsidRPr="0015072A" w:rsidRDefault="00172E2E" w:rsidP="00D43693">
      <w:pPr>
        <w:pStyle w:val="Listaszerbekezds"/>
        <w:numPr>
          <w:ilvl w:val="0"/>
          <w:numId w:val="36"/>
        </w:numPr>
        <w:spacing w:line="240" w:lineRule="auto"/>
        <w:rPr>
          <w:sz w:val="20"/>
          <w:szCs w:val="20"/>
        </w:rPr>
      </w:pPr>
      <w:r>
        <w:rPr>
          <w:sz w:val="20"/>
          <w:szCs w:val="20"/>
          <w:lang w:val="en-GB"/>
        </w:rPr>
        <w:t>Magyar Telekom Nyrt.: 2×168 MHz in total, of which 2×84 MHz will expire in 2024.</w:t>
      </w:r>
    </w:p>
    <w:p w14:paraId="201644DD" w14:textId="06EAD038" w:rsidR="00D43693" w:rsidRPr="003F137A" w:rsidRDefault="00D43693" w:rsidP="00D43693">
      <w:pPr>
        <w:pStyle w:val="Listaszerbekezds"/>
        <w:numPr>
          <w:ilvl w:val="0"/>
          <w:numId w:val="36"/>
        </w:numPr>
        <w:spacing w:line="240" w:lineRule="auto"/>
        <w:rPr>
          <w:sz w:val="20"/>
          <w:szCs w:val="20"/>
        </w:rPr>
      </w:pPr>
      <w:r>
        <w:rPr>
          <w:sz w:val="20"/>
          <w:szCs w:val="20"/>
          <w:lang w:val="en-GB"/>
        </w:rPr>
        <w:t>Telenor Magyarország Zrt.: 2×112 MHz</w:t>
      </w:r>
    </w:p>
    <w:p w14:paraId="115CA66F" w14:textId="136C267E" w:rsidR="00D43693" w:rsidRPr="003F137A" w:rsidRDefault="00D43693" w:rsidP="00D43693">
      <w:pPr>
        <w:pStyle w:val="Listaszerbekezds"/>
        <w:numPr>
          <w:ilvl w:val="0"/>
          <w:numId w:val="36"/>
        </w:numPr>
        <w:spacing w:line="240" w:lineRule="auto"/>
        <w:rPr>
          <w:sz w:val="20"/>
          <w:szCs w:val="20"/>
        </w:rPr>
      </w:pPr>
      <w:r>
        <w:rPr>
          <w:sz w:val="20"/>
          <w:szCs w:val="20"/>
          <w:lang w:val="en-GB"/>
        </w:rPr>
        <w:t>Vodafone Magyarország Zrt.: 2×168 MHz</w:t>
      </w:r>
    </w:p>
    <w:p w14:paraId="2A69A321" w14:textId="64975849" w:rsidR="00D43693" w:rsidRPr="003F137A" w:rsidRDefault="00D43693" w:rsidP="00D43693">
      <w:pPr>
        <w:pStyle w:val="Listaszerbekezds"/>
        <w:numPr>
          <w:ilvl w:val="0"/>
          <w:numId w:val="36"/>
        </w:numPr>
        <w:spacing w:line="240" w:lineRule="auto"/>
        <w:rPr>
          <w:sz w:val="20"/>
          <w:szCs w:val="20"/>
        </w:rPr>
      </w:pPr>
      <w:r>
        <w:rPr>
          <w:sz w:val="20"/>
          <w:szCs w:val="20"/>
          <w:lang w:val="en-GB"/>
        </w:rPr>
        <w:t>Antenna Hungária Zrt.: 2×112 MHz</w:t>
      </w:r>
    </w:p>
    <w:p w14:paraId="31A3E24F" w14:textId="4BE4B03F" w:rsidR="00D43693" w:rsidRDefault="00D43693" w:rsidP="00D43693">
      <w:pPr>
        <w:pStyle w:val="Listaszerbekezds"/>
        <w:numPr>
          <w:ilvl w:val="0"/>
          <w:numId w:val="36"/>
        </w:numPr>
        <w:spacing w:line="240" w:lineRule="auto"/>
        <w:rPr>
          <w:sz w:val="20"/>
          <w:szCs w:val="20"/>
        </w:rPr>
      </w:pPr>
      <w:r>
        <w:rPr>
          <w:sz w:val="20"/>
          <w:szCs w:val="20"/>
          <w:lang w:val="en-GB"/>
        </w:rPr>
        <w:t>Digi Kft.: 2×56 MHz</w:t>
      </w:r>
    </w:p>
    <w:p w14:paraId="7253BBEB" w14:textId="77777777" w:rsidR="008C63E0" w:rsidRDefault="008C63E0" w:rsidP="00B4773E">
      <w:pPr>
        <w:pStyle w:val="Cmsor1szmozottnmhh"/>
        <w:pageBreakBefore w:val="0"/>
        <w:spacing w:before="360"/>
        <w:ind w:left="431" w:hanging="431"/>
      </w:pPr>
      <w:bookmarkStart w:id="43" w:name="_Toc92461626"/>
      <w:bookmarkStart w:id="44" w:name="_Toc26254673"/>
      <w:bookmarkStart w:id="45" w:name="_Toc473880728"/>
      <w:bookmarkStart w:id="46" w:name="_Toc98343983"/>
      <w:r>
        <w:rPr>
          <w:bCs/>
          <w:lang w:val="en-GB"/>
        </w:rPr>
        <w:t>National regulatory plans</w:t>
      </w:r>
      <w:bookmarkEnd w:id="43"/>
      <w:bookmarkEnd w:id="44"/>
      <w:bookmarkEnd w:id="45"/>
      <w:bookmarkEnd w:id="46"/>
    </w:p>
    <w:p w14:paraId="3731E3E0" w14:textId="38E8142E" w:rsidR="00926AD6" w:rsidRDefault="008C63E0" w:rsidP="008C63E0">
      <w:pPr>
        <w:pStyle w:val="Behzottbekezdsnmhh"/>
        <w:rPr>
          <w:color w:val="000000"/>
          <w:shd w:val="clear" w:color="auto" w:fill="FFFFFF"/>
        </w:rPr>
      </w:pPr>
      <w:r>
        <w:rPr>
          <w:lang w:val="en-GB"/>
        </w:rPr>
        <w:t xml:space="preserve">The Code and Decision (EU) 2019/784 are the Union acts that have a fundamental impact on the regulation of future use. In accordance with the Union legislation, the </w:t>
      </w:r>
      <w:r>
        <w:rPr>
          <w:color w:val="000000"/>
          <w:shd w:val="clear" w:color="auto" w:fill="FFFFFF"/>
          <w:lang w:val="en-GB"/>
        </w:rPr>
        <w:t xml:space="preserve">24.25-27.5 GHz frequency band should be </w:t>
      </w:r>
      <w:r w:rsidR="005E52B8">
        <w:rPr>
          <w:color w:val="000000"/>
          <w:shd w:val="clear" w:color="auto" w:fill="FFFFFF"/>
          <w:lang w:val="en-GB"/>
        </w:rPr>
        <w:t xml:space="preserve">designated </w:t>
      </w:r>
      <w:r>
        <w:rPr>
          <w:color w:val="000000"/>
          <w:shd w:val="clear" w:color="auto" w:fill="FFFFFF"/>
          <w:lang w:val="en-GB"/>
        </w:rPr>
        <w:t xml:space="preserve">and made available for terrestrial systems capable of providing wireless broadband electronic communications services, on a non-exclusive basis, and the use of at least 1 GHz of the frequency band should be possible, provided that there is clear evidence of market demand and that there is no significant constraint on the migration of existing use or release of the </w:t>
      </w:r>
      <w:r>
        <w:rPr>
          <w:lang w:val="en-GB"/>
        </w:rPr>
        <w:t>frequency</w:t>
      </w:r>
      <w:r>
        <w:rPr>
          <w:color w:val="000000"/>
          <w:shd w:val="clear" w:color="auto" w:fill="FFFFFF"/>
          <w:lang w:val="en-GB"/>
        </w:rPr>
        <w:t xml:space="preserve"> band. Among the implementation tasks of the Member States, the codification of legislation is not sufficient, but the review of existing rights of use for radio spectrum and the assessment of market needs are also required steps. The NMHH is currently studying the possibilities and ideas of the current radio spectrum users, as well as the needs of those interested, their substantiation, the plans already formulated and the possibilities of implementation. If there is a market demand for the introduction of terrestrial systems capable of providing wireless broadband electronic communications services, the NMHH will study, in the light of existing usage and the ideas related thereto, how the needs relate to the amount of radio spectrum available and will compare this to the expiry date of the rights. </w:t>
      </w:r>
    </w:p>
    <w:p w14:paraId="604C59C5" w14:textId="4CB5CD2C" w:rsidR="00926AD6" w:rsidRPr="00926AD6" w:rsidRDefault="00926AD6" w:rsidP="00926AD6">
      <w:pPr>
        <w:pStyle w:val="Behzottbekezdsnmhh"/>
        <w:rPr>
          <w:color w:val="000000"/>
          <w:shd w:val="clear" w:color="auto" w:fill="FFFFFF"/>
        </w:rPr>
      </w:pPr>
      <w:r>
        <w:rPr>
          <w:color w:val="000000"/>
          <w:shd w:val="clear" w:color="auto" w:fill="FFFFFF"/>
          <w:lang w:val="en-GB"/>
        </w:rPr>
        <w:t>Pursuant to Section 55/B (4) of the Electronic Communications Act, the implementation of the Code enables the NMHH to authorize temporarily in the frequency bands specified by decree of the President, for a period not exceeding three years, an alternative use of all or part of a radio spectrum (including the use of existing bands), where there are rights of use for radio spectrum, instead of the harmonized use of that spectrum. Licensing for alternative use shall be subject to the condition that:</w:t>
      </w:r>
    </w:p>
    <w:p w14:paraId="6C1CD705" w14:textId="5A44FA27" w:rsidR="00926AD6" w:rsidRPr="00926AD6" w:rsidRDefault="00926AD6" w:rsidP="00926AD6">
      <w:pPr>
        <w:pStyle w:val="Behzottbekezdsnmhh"/>
        <w:rPr>
          <w:color w:val="000000"/>
          <w:shd w:val="clear" w:color="auto" w:fill="FFFFFF"/>
        </w:rPr>
      </w:pPr>
      <w:r>
        <w:rPr>
          <w:color w:val="000000"/>
          <w:shd w:val="clear" w:color="auto" w:fill="FFFFFF"/>
          <w:lang w:val="en-GB"/>
        </w:rPr>
        <w:t xml:space="preserve">a) a public </w:t>
      </w:r>
      <w:r w:rsidR="00A83B88" w:rsidRPr="00A83B88">
        <w:rPr>
          <w:color w:val="000000"/>
          <w:shd w:val="clear" w:color="auto" w:fill="FFFFFF"/>
          <w:lang w:val="en-GB"/>
        </w:rPr>
        <w:t xml:space="preserve">consultation </w:t>
      </w:r>
      <w:r>
        <w:rPr>
          <w:color w:val="000000"/>
          <w:shd w:val="clear" w:color="auto" w:fill="FFFFFF"/>
          <w:lang w:val="en-GB"/>
        </w:rPr>
        <w:t>is held in the interest of a forward-looking assessment of market demand for radio spectrum usage, and there is a lack of market demand for the harmonized use of that radio spectrum; and</w:t>
      </w:r>
    </w:p>
    <w:p w14:paraId="5FE75369" w14:textId="2971CFB5" w:rsidR="00926AD6" w:rsidRDefault="00926AD6" w:rsidP="00926AD6">
      <w:pPr>
        <w:pStyle w:val="Behzottbekezdsnmhh"/>
        <w:rPr>
          <w:color w:val="000000"/>
          <w:shd w:val="clear" w:color="auto" w:fill="FFFFFF"/>
        </w:rPr>
      </w:pPr>
      <w:r>
        <w:rPr>
          <w:color w:val="000000"/>
          <w:shd w:val="clear" w:color="auto" w:fill="FFFFFF"/>
          <w:lang w:val="en-GB"/>
        </w:rPr>
        <w:t>b) said alternative use of that radio spectrum does not prevent harmonized use in other Member States.</w:t>
      </w:r>
    </w:p>
    <w:p w14:paraId="4FD63206" w14:textId="641EC4FC" w:rsidR="00941E4B" w:rsidRDefault="00941E4B" w:rsidP="008C63E0">
      <w:pPr>
        <w:pStyle w:val="Behzottbekezdsnmhh"/>
        <w:rPr>
          <w:color w:val="000000"/>
          <w:shd w:val="clear" w:color="auto" w:fill="FFFFFF"/>
        </w:rPr>
      </w:pPr>
      <w:r>
        <w:rPr>
          <w:color w:val="000000"/>
          <w:shd w:val="clear" w:color="auto" w:fill="FFFFFF"/>
          <w:lang w:val="en-GB"/>
        </w:rPr>
        <w:t xml:space="preserve">In the light of the Union’s obligations and market needs for 5G systems, it is necessary to make available another technically appropriate </w:t>
      </w:r>
      <w:r>
        <w:rPr>
          <w:lang w:val="en-GB"/>
        </w:rPr>
        <w:t>frequency</w:t>
      </w:r>
      <w:r>
        <w:rPr>
          <w:color w:val="000000"/>
          <w:shd w:val="clear" w:color="auto" w:fill="FFFFFF"/>
          <w:lang w:val="en-GB"/>
        </w:rPr>
        <w:t xml:space="preserve"> band other than the 26 GHz band for migration of existing systems, which can ensure the continued operation of the backhaul network links. The 32 GHz frequency band has been identified for this purpose. The technical conditions for the planned use of the 32 GHz frequency band have already been published in the NFFF Decree and further details of the planned competitive procedure are already included in the draft amendment to the NFFF Decree, which is currently undergoing technical notification</w:t>
      </w:r>
      <w:r w:rsidR="005E52B8">
        <w:rPr>
          <w:color w:val="000000"/>
          <w:shd w:val="clear" w:color="auto" w:fill="FFFFFF"/>
          <w:lang w:val="en-GB"/>
        </w:rPr>
        <w:t xml:space="preserve"> procedure</w:t>
      </w:r>
      <w:r>
        <w:rPr>
          <w:color w:val="000000"/>
          <w:shd w:val="clear" w:color="auto" w:fill="FFFFFF"/>
          <w:lang w:val="en-GB"/>
        </w:rPr>
        <w:t>.</w:t>
      </w:r>
    </w:p>
    <w:p w14:paraId="093DE897" w14:textId="53F5C855" w:rsidR="003C53E6" w:rsidRDefault="008C63E0" w:rsidP="003C53E6">
      <w:pPr>
        <w:pStyle w:val="Behzottbekezdsnmhh"/>
        <w:rPr>
          <w:color w:val="000000"/>
          <w:shd w:val="clear" w:color="auto" w:fill="FFFFFF"/>
          <w:lang w:val="en-GB"/>
        </w:rPr>
      </w:pPr>
      <w:r>
        <w:rPr>
          <w:color w:val="000000"/>
          <w:shd w:val="clear" w:color="auto" w:fill="FFFFFF"/>
          <w:lang w:val="en-GB"/>
        </w:rPr>
        <w:t>Different sub-bands of the 26 GHz frequency band can be used to various degrees to meet future 5G spectrum needs.</w:t>
      </w:r>
    </w:p>
    <w:p w14:paraId="1713593F" w14:textId="77777777" w:rsidR="00383BD0" w:rsidRDefault="00383BD0" w:rsidP="003C53E6">
      <w:pPr>
        <w:pStyle w:val="Behzottbekezdsnmhh"/>
        <w:rPr>
          <w:color w:val="000000"/>
          <w:shd w:val="clear" w:color="auto" w:fill="FFFFFF"/>
        </w:rPr>
      </w:pPr>
    </w:p>
    <w:p w14:paraId="555ED360" w14:textId="3B9DE6DE" w:rsidR="008C63E0" w:rsidRPr="00B45181" w:rsidRDefault="004942E2" w:rsidP="004942E2">
      <w:pPr>
        <w:pStyle w:val="Cmsor2szmozottnmhh"/>
        <w:rPr>
          <w:shd w:val="clear" w:color="auto" w:fill="FFFFFF"/>
        </w:rPr>
      </w:pPr>
      <w:bookmarkStart w:id="47" w:name="_Toc92461627"/>
      <w:bookmarkStart w:id="48" w:name="_Toc98343984"/>
      <w:r>
        <w:rPr>
          <w:bCs/>
          <w:shd w:val="clear" w:color="auto" w:fill="FFFFFF"/>
          <w:lang w:val="en-GB"/>
        </w:rPr>
        <w:lastRenderedPageBreak/>
        <w:t>24.25-24.5 GHz band</w:t>
      </w:r>
      <w:bookmarkEnd w:id="47"/>
      <w:bookmarkEnd w:id="48"/>
    </w:p>
    <w:p w14:paraId="75C80E4C" w14:textId="533E8B39" w:rsidR="008C63E0" w:rsidRDefault="008C63E0" w:rsidP="008C63E0">
      <w:pPr>
        <w:pStyle w:val="Behzottbekezdsnmhh"/>
        <w:rPr>
          <w:color w:val="000000"/>
          <w:shd w:val="clear" w:color="auto" w:fill="FFFFFF"/>
        </w:rPr>
      </w:pPr>
      <w:r>
        <w:rPr>
          <w:color w:val="000000"/>
          <w:shd w:val="clear" w:color="auto" w:fill="FFFFFF"/>
          <w:lang w:val="en-GB"/>
        </w:rPr>
        <w:t xml:space="preserve">Considering that this sub-band is currently not used and is not expected to be used differently from the MFCN in the future, the use of this </w:t>
      </w:r>
      <w:r>
        <w:rPr>
          <w:lang w:val="en-GB"/>
        </w:rPr>
        <w:t>frequency</w:t>
      </w:r>
      <w:r w:rsidR="00383BD0">
        <w:rPr>
          <w:lang w:val="en-GB"/>
        </w:rPr>
        <w:t xml:space="preserve"> </w:t>
      </w:r>
      <w:r>
        <w:rPr>
          <w:color w:val="000000"/>
          <w:shd w:val="clear" w:color="auto" w:fill="FFFFFF"/>
          <w:lang w:val="en-GB"/>
        </w:rPr>
        <w:t>range of 250 MHz by 5G systems can still be made available.</w:t>
      </w:r>
    </w:p>
    <w:p w14:paraId="16D95EC4" w14:textId="68FAE09C" w:rsidR="008C63E0" w:rsidRPr="00B45181" w:rsidRDefault="004942E2" w:rsidP="00C44441">
      <w:pPr>
        <w:pStyle w:val="Cmsor2szmozottnmhh"/>
        <w:spacing w:before="240"/>
        <w:ind w:left="578" w:hanging="578"/>
        <w:rPr>
          <w:shd w:val="clear" w:color="auto" w:fill="FFFFFF"/>
        </w:rPr>
      </w:pPr>
      <w:bookmarkStart w:id="49" w:name="_Toc92461628"/>
      <w:bookmarkStart w:id="50" w:name="_Toc98343985"/>
      <w:r>
        <w:rPr>
          <w:bCs/>
          <w:shd w:val="clear" w:color="auto" w:fill="FFFFFF"/>
          <w:lang w:val="en-GB"/>
        </w:rPr>
        <w:t>24.5-26.5 GHz band</w:t>
      </w:r>
      <w:bookmarkEnd w:id="49"/>
      <w:bookmarkEnd w:id="50"/>
    </w:p>
    <w:p w14:paraId="2C154113" w14:textId="0C6856BD" w:rsidR="008C63E0" w:rsidRDefault="008C63E0" w:rsidP="008C63E0">
      <w:pPr>
        <w:pStyle w:val="Behzottbekezdsnmhh"/>
        <w:rPr>
          <w:color w:val="000000"/>
          <w:shd w:val="clear" w:color="auto" w:fill="FFFFFF"/>
        </w:rPr>
      </w:pPr>
      <w:r>
        <w:rPr>
          <w:color w:val="000000"/>
          <w:shd w:val="clear" w:color="auto" w:fill="FFFFFF"/>
          <w:lang w:val="en-GB"/>
        </w:rPr>
        <w:t xml:space="preserve">Where the 24.5-26.5 GHz frequency band becomes available for next-generation MFCN systems, a different </w:t>
      </w:r>
      <w:r>
        <w:rPr>
          <w:lang w:val="en-GB"/>
        </w:rPr>
        <w:t>frequency</w:t>
      </w:r>
      <w:r w:rsidR="00383BD0">
        <w:rPr>
          <w:lang w:val="en-GB"/>
        </w:rPr>
        <w:t xml:space="preserve"> </w:t>
      </w:r>
      <w:r>
        <w:rPr>
          <w:color w:val="000000"/>
          <w:shd w:val="clear" w:color="auto" w:fill="FFFFFF"/>
          <w:lang w:val="en-GB"/>
        </w:rPr>
        <w:t xml:space="preserve">band for backhaul network links must be provided for fixed </w:t>
      </w:r>
      <w:r w:rsidR="005E52B8">
        <w:rPr>
          <w:color w:val="000000"/>
          <w:shd w:val="clear" w:color="auto" w:fill="FFFFFF"/>
          <w:lang w:val="en-GB"/>
        </w:rPr>
        <w:t xml:space="preserve">service </w:t>
      </w:r>
      <w:r>
        <w:rPr>
          <w:color w:val="000000"/>
          <w:shd w:val="clear" w:color="auto" w:fill="FFFFFF"/>
          <w:lang w:val="en-GB"/>
        </w:rPr>
        <w:t>systems operating on the basis of current entitlements, which:</w:t>
      </w:r>
    </w:p>
    <w:p w14:paraId="466E2E66" w14:textId="77777777" w:rsidR="008C63E0" w:rsidRDefault="008C63E0" w:rsidP="008C63E0">
      <w:pPr>
        <w:pStyle w:val="Behzottbekezdsnmhh"/>
        <w:numPr>
          <w:ilvl w:val="0"/>
          <w:numId w:val="62"/>
        </w:numPr>
        <w:rPr>
          <w:color w:val="000000"/>
          <w:shd w:val="clear" w:color="auto" w:fill="FFFFFF"/>
        </w:rPr>
      </w:pPr>
      <w:r>
        <w:rPr>
          <w:color w:val="000000"/>
          <w:shd w:val="clear" w:color="auto" w:fill="FFFFFF"/>
          <w:lang w:val="en-GB"/>
        </w:rPr>
        <w:t>is not currently in use, so no compatibility issues need to be considered,</w:t>
      </w:r>
    </w:p>
    <w:p w14:paraId="0BF6D740" w14:textId="75CD28F0" w:rsidR="008C63E0" w:rsidRDefault="008C63E0" w:rsidP="008C63E0">
      <w:pPr>
        <w:pStyle w:val="Behzottbekezdsnmhh"/>
        <w:numPr>
          <w:ilvl w:val="0"/>
          <w:numId w:val="62"/>
        </w:numPr>
        <w:rPr>
          <w:color w:val="000000"/>
          <w:shd w:val="clear" w:color="auto" w:fill="FFFFFF"/>
        </w:rPr>
      </w:pPr>
      <w:r>
        <w:rPr>
          <w:color w:val="000000"/>
          <w:shd w:val="clear" w:color="auto" w:fill="FFFFFF"/>
          <w:lang w:val="en-GB"/>
        </w:rPr>
        <w:t xml:space="preserve">is suitable for the use of high-capacity fixed </w:t>
      </w:r>
      <w:r w:rsidR="005E52B8">
        <w:rPr>
          <w:color w:val="000000"/>
          <w:shd w:val="clear" w:color="auto" w:fill="FFFFFF"/>
          <w:lang w:val="en-GB"/>
        </w:rPr>
        <w:t xml:space="preserve">service </w:t>
      </w:r>
      <w:r>
        <w:rPr>
          <w:color w:val="000000"/>
          <w:shd w:val="clear" w:color="auto" w:fill="FFFFFF"/>
          <w:lang w:val="en-GB"/>
        </w:rPr>
        <w:t xml:space="preserve">systems, harmonised technical conditions </w:t>
      </w:r>
      <w:r>
        <w:rPr>
          <w:lang w:val="en-GB"/>
        </w:rPr>
        <w:t>for the</w:t>
      </w:r>
      <w:r>
        <w:rPr>
          <w:color w:val="000000"/>
          <w:shd w:val="clear" w:color="auto" w:fill="FFFFFF"/>
          <w:lang w:val="en-GB"/>
        </w:rPr>
        <w:t xml:space="preserve"> use of the frequency band and channel arrangement are available,</w:t>
      </w:r>
    </w:p>
    <w:p w14:paraId="17AC5DB6" w14:textId="0D2448A1" w:rsidR="008C63E0" w:rsidRDefault="008C63E0" w:rsidP="008C63E0">
      <w:pPr>
        <w:pStyle w:val="Behzottbekezdsnmhh"/>
        <w:numPr>
          <w:ilvl w:val="0"/>
          <w:numId w:val="62"/>
        </w:numPr>
        <w:rPr>
          <w:color w:val="000000"/>
          <w:shd w:val="clear" w:color="auto" w:fill="FFFFFF"/>
        </w:rPr>
      </w:pPr>
      <w:r>
        <w:rPr>
          <w:color w:val="000000"/>
          <w:shd w:val="clear" w:color="auto" w:fill="FFFFFF"/>
          <w:lang w:val="en-GB"/>
        </w:rPr>
        <w:t xml:space="preserve">wave propagation characteristics </w:t>
      </w:r>
      <w:r w:rsidR="005E52B8">
        <w:rPr>
          <w:color w:val="000000"/>
          <w:shd w:val="clear" w:color="auto" w:fill="FFFFFF"/>
          <w:lang w:val="en-GB"/>
        </w:rPr>
        <w:t xml:space="preserve">are </w:t>
      </w:r>
      <w:r>
        <w:rPr>
          <w:color w:val="000000"/>
          <w:shd w:val="clear" w:color="auto" w:fill="FFFFFF"/>
          <w:lang w:val="en-GB"/>
        </w:rPr>
        <w:t xml:space="preserve">similar to those of the 26 GHz </w:t>
      </w:r>
      <w:r>
        <w:rPr>
          <w:lang w:val="en-GB"/>
        </w:rPr>
        <w:t>frequency</w:t>
      </w:r>
      <w:r w:rsidR="00383BD0">
        <w:rPr>
          <w:lang w:val="en-GB"/>
        </w:rPr>
        <w:t xml:space="preserve"> </w:t>
      </w:r>
      <w:r>
        <w:rPr>
          <w:color w:val="000000"/>
          <w:shd w:val="clear" w:color="auto" w:fill="FFFFFF"/>
          <w:lang w:val="en-GB"/>
        </w:rPr>
        <w:t>band (</w:t>
      </w:r>
      <w:r w:rsidR="005E52B8">
        <w:rPr>
          <w:color w:val="000000"/>
          <w:shd w:val="clear" w:color="auto" w:fill="FFFFFF"/>
          <w:lang w:val="en-GB"/>
        </w:rPr>
        <w:t>planning can be made with similar link lengths</w:t>
      </w:r>
      <w:r>
        <w:rPr>
          <w:color w:val="000000"/>
          <w:shd w:val="clear" w:color="auto" w:fill="FFFFFF"/>
          <w:lang w:val="en-GB"/>
        </w:rPr>
        <w:t>),</w:t>
      </w:r>
    </w:p>
    <w:p w14:paraId="4A93D014" w14:textId="05ECB70C" w:rsidR="008C63E0" w:rsidRDefault="008C63E0" w:rsidP="008C63E0">
      <w:pPr>
        <w:pStyle w:val="Behzottbekezdsnmhh"/>
        <w:numPr>
          <w:ilvl w:val="0"/>
          <w:numId w:val="62"/>
        </w:numPr>
        <w:rPr>
          <w:color w:val="000000"/>
          <w:shd w:val="clear" w:color="auto" w:fill="FFFFFF"/>
        </w:rPr>
      </w:pPr>
      <w:r>
        <w:rPr>
          <w:color w:val="000000"/>
          <w:shd w:val="clear" w:color="auto" w:fill="FFFFFF"/>
          <w:lang w:val="en-GB"/>
        </w:rPr>
        <w:t xml:space="preserve">has a continuous spectrum volume similar to that of the 26 GHz </w:t>
      </w:r>
      <w:r>
        <w:rPr>
          <w:lang w:val="en-GB"/>
        </w:rPr>
        <w:t>frequency</w:t>
      </w:r>
      <w:r w:rsidR="00383BD0">
        <w:rPr>
          <w:lang w:val="en-GB"/>
        </w:rPr>
        <w:t xml:space="preserve"> </w:t>
      </w:r>
      <w:r>
        <w:rPr>
          <w:color w:val="000000"/>
          <w:shd w:val="clear" w:color="auto" w:fill="FFFFFF"/>
          <w:lang w:val="en-GB"/>
        </w:rPr>
        <w:t>band,</w:t>
      </w:r>
    </w:p>
    <w:p w14:paraId="23A27B9D" w14:textId="77777777" w:rsidR="008C63E0" w:rsidRDefault="008C63E0" w:rsidP="008C63E0">
      <w:pPr>
        <w:pStyle w:val="Behzottbekezdsnmhh"/>
        <w:numPr>
          <w:ilvl w:val="0"/>
          <w:numId w:val="62"/>
        </w:numPr>
        <w:rPr>
          <w:color w:val="000000"/>
          <w:shd w:val="clear" w:color="auto" w:fill="FFFFFF"/>
        </w:rPr>
      </w:pPr>
      <w:r>
        <w:rPr>
          <w:color w:val="000000"/>
          <w:shd w:val="clear" w:color="auto" w:fill="FFFFFF"/>
          <w:lang w:val="en-GB"/>
        </w:rPr>
        <w:t>systems can be operated in the framework of block management,</w:t>
      </w:r>
    </w:p>
    <w:p w14:paraId="2B6D028A" w14:textId="77777777" w:rsidR="008C63E0" w:rsidRDefault="008C63E0" w:rsidP="008C63E0">
      <w:pPr>
        <w:pStyle w:val="Behzottbekezdsnmhh"/>
        <w:numPr>
          <w:ilvl w:val="0"/>
          <w:numId w:val="62"/>
        </w:numPr>
        <w:rPr>
          <w:color w:val="000000"/>
          <w:shd w:val="clear" w:color="auto" w:fill="FFFFFF"/>
        </w:rPr>
      </w:pPr>
      <w:r>
        <w:rPr>
          <w:color w:val="000000"/>
          <w:shd w:val="clear" w:color="auto" w:fill="FFFFFF"/>
          <w:lang w:val="en-GB"/>
        </w:rPr>
        <w:t>high-capacity devices capable of serving next-generation base stations are available on the market.</w:t>
      </w:r>
    </w:p>
    <w:p w14:paraId="10072D12" w14:textId="3F497EED" w:rsidR="008C63E0" w:rsidRDefault="008C63E0" w:rsidP="008C63E0">
      <w:pPr>
        <w:pStyle w:val="Behzottbekezdsnmhh"/>
      </w:pPr>
      <w:r>
        <w:rPr>
          <w:lang w:val="en-GB"/>
        </w:rPr>
        <w:t>A given quantity of backhaul network links may be transferred to other microwave frequency bands or replaced by optical connection, but this is not always possible, so it is necessary to make a new frequency band available.</w:t>
      </w:r>
    </w:p>
    <w:p w14:paraId="74D114E7" w14:textId="5B3AD978" w:rsidR="00F942AA" w:rsidRPr="00A56D0C" w:rsidRDefault="00F942AA" w:rsidP="00C44441">
      <w:pPr>
        <w:pStyle w:val="Cmsor3szmozottnmhh"/>
        <w:spacing w:before="240"/>
        <w:ind w:left="1996"/>
      </w:pPr>
      <w:bookmarkStart w:id="51" w:name="_Toc98343986"/>
      <w:r>
        <w:rPr>
          <w:bCs/>
          <w:lang w:val="en-GB"/>
        </w:rPr>
        <w:t>Possibility of replacing 24.5-26.5 GHz frequency band systems</w:t>
      </w:r>
      <w:bookmarkEnd w:id="51"/>
    </w:p>
    <w:p w14:paraId="7E58C335" w14:textId="65A1FF7C" w:rsidR="008C63E0" w:rsidRDefault="008C63E0" w:rsidP="008C63E0">
      <w:pPr>
        <w:pStyle w:val="Behzottbekezdsnmhh"/>
        <w:rPr>
          <w:color w:val="000000"/>
          <w:shd w:val="clear" w:color="auto" w:fill="FFFFFF"/>
        </w:rPr>
      </w:pPr>
      <w:r>
        <w:rPr>
          <w:color w:val="000000"/>
          <w:shd w:val="clear" w:color="auto" w:fill="FFFFFF"/>
          <w:lang w:val="en-GB"/>
        </w:rPr>
        <w:t xml:space="preserve">The 32 GHz frequency band is the most appropriate of the possible frequency bands that meet the above conditions. The frequency band of 28 GHz also came up as an option, but that </w:t>
      </w:r>
      <w:r>
        <w:rPr>
          <w:lang w:val="en-GB"/>
        </w:rPr>
        <w:t>frequency</w:t>
      </w:r>
      <w:r w:rsidR="00383BD0">
        <w:rPr>
          <w:lang w:val="en-GB"/>
        </w:rPr>
        <w:t xml:space="preserve"> </w:t>
      </w:r>
      <w:r>
        <w:rPr>
          <w:color w:val="000000"/>
          <w:shd w:val="clear" w:color="auto" w:fill="FFFFFF"/>
          <w:lang w:val="en-GB"/>
        </w:rPr>
        <w:t xml:space="preserve">band is less suitable because it is </w:t>
      </w:r>
      <w:r w:rsidR="000720C9">
        <w:rPr>
          <w:color w:val="000000"/>
          <w:shd w:val="clear" w:color="auto" w:fill="FFFFFF"/>
          <w:lang w:val="en-GB"/>
        </w:rPr>
        <w:t xml:space="preserve">segmented </w:t>
      </w:r>
      <w:r>
        <w:rPr>
          <w:color w:val="000000"/>
          <w:shd w:val="clear" w:color="auto" w:fill="FFFFFF"/>
          <w:lang w:val="en-GB"/>
        </w:rPr>
        <w:t xml:space="preserve">(some parts </w:t>
      </w:r>
      <w:r w:rsidR="000720C9">
        <w:rPr>
          <w:color w:val="000000"/>
          <w:shd w:val="clear" w:color="auto" w:fill="FFFFFF"/>
          <w:lang w:val="en-GB"/>
        </w:rPr>
        <w:t>available for</w:t>
      </w:r>
      <w:r>
        <w:rPr>
          <w:color w:val="000000"/>
          <w:shd w:val="clear" w:color="auto" w:fill="FFFFFF"/>
          <w:lang w:val="en-GB"/>
        </w:rPr>
        <w:t xml:space="preserve"> fixed-satellite service and others for fixed-service systems), which does not allow conti</w:t>
      </w:r>
      <w:r w:rsidR="000720C9">
        <w:rPr>
          <w:color w:val="000000"/>
          <w:shd w:val="clear" w:color="auto" w:fill="FFFFFF"/>
          <w:lang w:val="en-GB"/>
        </w:rPr>
        <w:t>g</w:t>
      </w:r>
      <w:r>
        <w:rPr>
          <w:color w:val="000000"/>
          <w:shd w:val="clear" w:color="auto" w:fill="FFFFFF"/>
          <w:lang w:val="en-GB"/>
        </w:rPr>
        <w:t xml:space="preserve">uous spectrum use, band </w:t>
      </w:r>
      <w:r w:rsidR="000720C9">
        <w:rPr>
          <w:color w:val="000000"/>
          <w:shd w:val="clear" w:color="auto" w:fill="FFFFFF"/>
          <w:lang w:val="en-GB"/>
        </w:rPr>
        <w:t>distribution</w:t>
      </w:r>
      <w:r>
        <w:rPr>
          <w:color w:val="000000"/>
          <w:shd w:val="clear" w:color="auto" w:fill="FFFFFF"/>
          <w:lang w:val="en-GB"/>
        </w:rPr>
        <w:t>, and only about 1 GHz of spectrum is available for fixed-service applications (including both halves of the paired band).</w:t>
      </w:r>
    </w:p>
    <w:p w14:paraId="2E45C6E2" w14:textId="32C55D18" w:rsidR="008C63E0" w:rsidRDefault="008C63E0" w:rsidP="008C63E0">
      <w:pPr>
        <w:pStyle w:val="Behzottbekezdsnmhh"/>
      </w:pPr>
      <w:r>
        <w:rPr>
          <w:lang w:val="en-GB"/>
        </w:rPr>
        <w:t xml:space="preserve">The 32 GHz frequency band is currently </w:t>
      </w:r>
      <w:r w:rsidR="000720C9">
        <w:rPr>
          <w:lang w:val="en-GB"/>
        </w:rPr>
        <w:t xml:space="preserve">designated </w:t>
      </w:r>
      <w:r>
        <w:rPr>
          <w:lang w:val="en-GB"/>
        </w:rPr>
        <w:t xml:space="preserve">for fixed point-to-point and point-to-multipoint systems based on Recommendation ERC/REC/(01)02. Accordingly, the band usage rules are included in the relevant part of the NFFF Decree. The frequency band is also </w:t>
      </w:r>
      <w:r w:rsidR="000720C9">
        <w:rPr>
          <w:lang w:val="en-GB"/>
        </w:rPr>
        <w:t xml:space="preserve">designated </w:t>
      </w:r>
      <w:r>
        <w:rPr>
          <w:lang w:val="en-GB"/>
        </w:rPr>
        <w:t xml:space="preserve">for </w:t>
      </w:r>
      <w:r w:rsidR="000720C9">
        <w:rPr>
          <w:lang w:val="en-GB"/>
        </w:rPr>
        <w:t>common use of</w:t>
      </w:r>
      <w:r>
        <w:rPr>
          <w:lang w:val="en-GB"/>
        </w:rPr>
        <w:t xml:space="preserve">airport surface detection equipment (ASDE) operating </w:t>
      </w:r>
      <w:r w:rsidR="000720C9">
        <w:rPr>
          <w:lang w:val="en-GB"/>
        </w:rPr>
        <w:t xml:space="preserve">under </w:t>
      </w:r>
      <w:r>
        <w:rPr>
          <w:lang w:val="en-GB"/>
        </w:rPr>
        <w:t>radar navigation service, but there is no practical use of this kind</w:t>
      </w:r>
      <w:r w:rsidR="000412C6">
        <w:rPr>
          <w:lang w:val="en-GB"/>
        </w:rPr>
        <w:t xml:space="preserve"> </w:t>
      </w:r>
      <w:r w:rsidR="000720C9">
        <w:rPr>
          <w:lang w:val="en-GB"/>
        </w:rPr>
        <w:t>of application</w:t>
      </w:r>
      <w:r>
        <w:rPr>
          <w:lang w:val="en-GB"/>
        </w:rPr>
        <w:t xml:space="preserve"> in either civil or non-civil areas. In addition, the 31.8-32.3 GHz band is </w:t>
      </w:r>
      <w:r w:rsidR="000720C9">
        <w:rPr>
          <w:lang w:val="en-GB"/>
        </w:rPr>
        <w:t xml:space="preserve">planned </w:t>
      </w:r>
      <w:r>
        <w:rPr>
          <w:lang w:val="en-GB"/>
        </w:rPr>
        <w:t xml:space="preserve">for space research (deep space, space-to-Earth), but such use is not expected in Hungary in the near future. Harmonised technical conditions at CEPT level and channel arrangement rules are available in Recommendation ERC/REC/(01)02, which are already included in the NFFF Decree. </w:t>
      </w:r>
      <w:r>
        <w:rPr>
          <w:b/>
          <w:bCs/>
          <w:lang w:val="en-GB"/>
        </w:rPr>
        <w:t xml:space="preserve">Detailed information on the 32 GHz frequency band is included in the 32 GHz band </w:t>
      </w:r>
      <w:r w:rsidR="00831E5E">
        <w:rPr>
          <w:b/>
          <w:bCs/>
          <w:lang w:val="en-GB"/>
        </w:rPr>
        <w:t>overview</w:t>
      </w:r>
      <w:r>
        <w:rPr>
          <w:b/>
          <w:bCs/>
          <w:lang w:val="en-GB"/>
        </w:rPr>
        <w:t>.</w:t>
      </w:r>
      <w:r>
        <w:rPr>
          <w:lang w:val="en-GB"/>
        </w:rPr>
        <w:t xml:space="preserve"> </w:t>
      </w:r>
    </w:p>
    <w:p w14:paraId="0696950F" w14:textId="5A9F3ACC" w:rsidR="00086DCE" w:rsidRDefault="009D432E" w:rsidP="00C44441">
      <w:pPr>
        <w:pStyle w:val="Cmsor3szmozottnmhh"/>
        <w:spacing w:before="240"/>
        <w:ind w:left="1996"/>
      </w:pPr>
      <w:bookmarkStart w:id="52" w:name="_Toc98343987"/>
      <w:r>
        <w:rPr>
          <w:bCs/>
          <w:lang w:val="en-GB"/>
        </w:rPr>
        <w:t>Making the 24.5-26.5 GHz band partially available for MFCN purpose</w:t>
      </w:r>
      <w:bookmarkEnd w:id="52"/>
      <w:r>
        <w:rPr>
          <w:bCs/>
          <w:lang w:val="en-GB"/>
        </w:rPr>
        <w:t xml:space="preserve"> </w:t>
      </w:r>
    </w:p>
    <w:p w14:paraId="7C2761C5" w14:textId="49EB3D75" w:rsidR="008C63E0" w:rsidRDefault="008C63E0" w:rsidP="008C63E0">
      <w:pPr>
        <w:pStyle w:val="Behzottbekezdsnmhh"/>
      </w:pPr>
      <w:r>
        <w:rPr>
          <w:lang w:val="en-GB"/>
        </w:rPr>
        <w:lastRenderedPageBreak/>
        <w:t xml:space="preserve">Considering the current </w:t>
      </w:r>
      <w:r w:rsidR="00E219B8">
        <w:rPr>
          <w:lang w:val="en-GB"/>
        </w:rPr>
        <w:t xml:space="preserve">entitlements </w:t>
      </w:r>
      <w:r>
        <w:rPr>
          <w:lang w:val="en-GB"/>
        </w:rPr>
        <w:t xml:space="preserve">and band </w:t>
      </w:r>
      <w:r w:rsidR="00E219B8">
        <w:rPr>
          <w:lang w:val="en-GB"/>
        </w:rPr>
        <w:t>distribution</w:t>
      </w:r>
      <w:r>
        <w:rPr>
          <w:lang w:val="en-GB"/>
        </w:rPr>
        <w:t xml:space="preserve">, different options are available. The first user block in the lower part of the frequency band starts at 24,633 MHz, which means that 133 MHz free spectrum is available in the lower part of the paired (FDD) 24.5-26.5 GHz frequency band. By transforming the lower free band into an unpaired arrangement and merging it with the 24.25-24.5 GHz band below it, a </w:t>
      </w:r>
      <w:r w:rsidR="00E219B8">
        <w:rPr>
          <w:lang w:val="en-GB"/>
        </w:rPr>
        <w:t xml:space="preserve">contiguous </w:t>
      </w:r>
      <w:r>
        <w:rPr>
          <w:lang w:val="en-GB"/>
        </w:rPr>
        <w:t xml:space="preserve">TDD spectrum of 383 MHz may be created. </w:t>
      </w:r>
      <w:r w:rsidR="00E219B8">
        <w:rPr>
          <w:lang w:val="en-GB"/>
        </w:rPr>
        <w:t>A certain amount of it</w:t>
      </w:r>
      <w:r>
        <w:rPr>
          <w:lang w:val="en-GB"/>
        </w:rPr>
        <w:t xml:space="preserve"> should be used </w:t>
      </w:r>
      <w:r w:rsidR="00E219B8">
        <w:rPr>
          <w:lang w:val="en-GB"/>
        </w:rPr>
        <w:t xml:space="preserve">as a guard band </w:t>
      </w:r>
      <w:r>
        <w:rPr>
          <w:lang w:val="en-GB"/>
        </w:rPr>
        <w:t xml:space="preserve">for frequency separation due to the adjacent FDD user block if the use of spatial separation or other mitigation techniques do not provide sufficient protection for the smooth operation of systems of different types and modes. It may also be possible to group a user block with entitlements to frequency usage expiring in 2024 in the frequency band by </w:t>
      </w:r>
      <w:r w:rsidR="00E219B8">
        <w:rPr>
          <w:lang w:val="en-GB"/>
        </w:rPr>
        <w:t xml:space="preserve">replacing </w:t>
      </w:r>
      <w:r>
        <w:rPr>
          <w:lang w:val="en-GB"/>
        </w:rPr>
        <w:t>user blocks with different expiry dates and band rearrangements. As a result, after 2024 there would be a large, conti</w:t>
      </w:r>
      <w:r w:rsidR="00E219B8">
        <w:rPr>
          <w:lang w:val="en-GB"/>
        </w:rPr>
        <w:t>g</w:t>
      </w:r>
      <w:r>
        <w:rPr>
          <w:lang w:val="en-GB"/>
        </w:rPr>
        <w:t>uous unused radio spectrum available for TDD use (spectrum separation considerations should also be taken into account in this case).</w:t>
      </w:r>
    </w:p>
    <w:p w14:paraId="1CD9F089" w14:textId="77777777" w:rsidR="00133E39" w:rsidRPr="005833AB" w:rsidRDefault="00133E39" w:rsidP="008C63E0">
      <w:pPr>
        <w:pStyle w:val="Behzottbekezdsnmhh"/>
      </w:pPr>
    </w:p>
    <w:p w14:paraId="0DDECD69" w14:textId="6173CC7B" w:rsidR="008C63E0" w:rsidRDefault="008C63E0" w:rsidP="004942E2">
      <w:pPr>
        <w:pStyle w:val="Cmsor2szmozottnmhh"/>
        <w:rPr>
          <w:shd w:val="clear" w:color="auto" w:fill="FFFFFF"/>
        </w:rPr>
      </w:pPr>
      <w:bookmarkStart w:id="53" w:name="_Toc92461629"/>
      <w:bookmarkStart w:id="54" w:name="_Toc98343988"/>
      <w:r>
        <w:rPr>
          <w:bCs/>
          <w:shd w:val="clear" w:color="auto" w:fill="FFFFFF"/>
          <w:lang w:val="en-GB"/>
        </w:rPr>
        <w:t>26.5-27.5 GHz band</w:t>
      </w:r>
      <w:bookmarkEnd w:id="53"/>
      <w:bookmarkEnd w:id="54"/>
    </w:p>
    <w:p w14:paraId="377AFEF3" w14:textId="4776203E" w:rsidR="008C63E0" w:rsidRPr="008C7D61" w:rsidRDefault="008C63E0" w:rsidP="008C63E0">
      <w:pPr>
        <w:pStyle w:val="Behzottbekezdsnmhh"/>
        <w:rPr>
          <w:color w:val="000000"/>
          <w:shd w:val="clear" w:color="auto" w:fill="FFFFFF"/>
        </w:rPr>
      </w:pPr>
      <w:r>
        <w:rPr>
          <w:color w:val="000000"/>
          <w:shd w:val="clear" w:color="auto" w:fill="FFFFFF"/>
          <w:lang w:val="en-GB"/>
        </w:rPr>
        <w:t xml:space="preserve">This band is currently </w:t>
      </w:r>
      <w:r w:rsidR="000009D2">
        <w:rPr>
          <w:color w:val="000000"/>
          <w:shd w:val="clear" w:color="auto" w:fill="FFFFFF"/>
          <w:lang w:val="en-GB"/>
        </w:rPr>
        <w:t xml:space="preserve">designated </w:t>
      </w:r>
      <w:r>
        <w:rPr>
          <w:color w:val="000000"/>
          <w:shd w:val="clear" w:color="auto" w:fill="FFFFFF"/>
          <w:lang w:val="en-GB"/>
        </w:rPr>
        <w:t>for non-civil purposes and is currently NATO-harmonised</w:t>
      </w:r>
      <w:r>
        <w:rPr>
          <w:rStyle w:val="Lbjegyzet-hivatkozs"/>
          <w:color w:val="000000"/>
          <w:shd w:val="clear" w:color="auto" w:fill="FFFFFF"/>
          <w:lang w:val="en-GB"/>
        </w:rPr>
        <w:footnoteReference w:id="44"/>
      </w:r>
      <w:r>
        <w:rPr>
          <w:color w:val="000000"/>
          <w:shd w:val="clear" w:color="auto" w:fill="FFFFFF"/>
          <w:lang w:val="en-GB"/>
        </w:rPr>
        <w:t xml:space="preserve">. </w:t>
      </w:r>
      <w:r>
        <w:rPr>
          <w:lang w:val="en-GB"/>
        </w:rPr>
        <w:t xml:space="preserve">For non-civil uses in the 26.5-27.5 GHz frequency range, the radio spectrum usage right may be obtained after the harmonisation of the civil and non-civil radio spectrum management aspects. Under the current rules and pursuant to Decision (EU) 2019/784, the </w:t>
      </w:r>
      <w:r>
        <w:rPr>
          <w:shd w:val="clear" w:color="auto" w:fill="FFFFFF"/>
          <w:lang w:val="en-GB"/>
        </w:rPr>
        <w:t xml:space="preserve">26.5-27.5 GHz band is </w:t>
      </w:r>
      <w:r w:rsidR="001A5122">
        <w:rPr>
          <w:shd w:val="clear" w:color="auto" w:fill="FFFFFF"/>
          <w:lang w:val="en-GB"/>
        </w:rPr>
        <w:t xml:space="preserve">planned </w:t>
      </w:r>
      <w:r>
        <w:rPr>
          <w:shd w:val="clear" w:color="auto" w:fill="FFFFFF"/>
          <w:lang w:val="en-GB"/>
        </w:rPr>
        <w:t>for civil use</w:t>
      </w:r>
      <w:r>
        <w:rPr>
          <w:lang w:val="en-GB"/>
        </w:rPr>
        <w:t>. The</w:t>
      </w:r>
      <w:r>
        <w:rPr>
          <w:shd w:val="clear" w:color="auto" w:fill="FFFFFF"/>
          <w:lang w:val="en-GB"/>
        </w:rPr>
        <w:t xml:space="preserve"> future use of the band</w:t>
      </w:r>
      <w:r>
        <w:rPr>
          <w:lang w:val="en-GB"/>
        </w:rPr>
        <w:t xml:space="preserve"> also depends on consultations with the non-civil side and plans for non-civil use. </w:t>
      </w:r>
    </w:p>
    <w:p w14:paraId="29C8D9B0" w14:textId="19F3790C" w:rsidR="006159D3" w:rsidRPr="00E9176B" w:rsidRDefault="000F2E37" w:rsidP="000F2E37">
      <w:pPr>
        <w:pStyle w:val="Behzottbekezdsnmhh"/>
      </w:pPr>
      <w:r>
        <w:rPr>
          <w:lang w:val="en-GB"/>
        </w:rPr>
        <w:t xml:space="preserve">On the basis of Union obligations, Member States must allow for the use of at least 1 GHz of the 26 GHz frequency band by 31 December 2020 in order to facilitate the deployment of 5G networks where there is a justified market demand. This upper 1 GHz band offers a solution to meet the EU’s obligation, as it is currently not in use. However, this issue must also be treated with extreme caution, since if we were to divide this quantity before the assessment/emergence of the actual needs, and then make arrangements for the whole band later, it might not be optimal for the market. We start from the assumption that an operator actually needs 800-1000 MHz to provide good quality 5G service. In this case, the distribution of 1 GHz can provide two paths: </w:t>
      </w:r>
    </w:p>
    <w:p w14:paraId="78D51920" w14:textId="6F9D46B4" w:rsidR="006159D3" w:rsidRPr="00E9176B" w:rsidRDefault="00F92470" w:rsidP="0013034F">
      <w:pPr>
        <w:pStyle w:val="Behzottbekezdsnmhh"/>
        <w:numPr>
          <w:ilvl w:val="0"/>
          <w:numId w:val="85"/>
        </w:numPr>
      </w:pPr>
      <w:r>
        <w:rPr>
          <w:lang w:val="en-GB"/>
        </w:rPr>
        <w:t xml:space="preserve">by creating a larger contiguous block, a single right holder can acquire radio spectrum in the first round and implement really good 5G service for a single operator, or </w:t>
      </w:r>
    </w:p>
    <w:p w14:paraId="05678221" w14:textId="005449F0" w:rsidR="006159D3" w:rsidRDefault="00E9176B" w:rsidP="0013034F">
      <w:pPr>
        <w:pStyle w:val="Behzottbekezdsnmhh"/>
        <w:numPr>
          <w:ilvl w:val="0"/>
          <w:numId w:val="85"/>
        </w:numPr>
      </w:pPr>
      <w:r>
        <w:rPr>
          <w:lang w:val="en-GB"/>
        </w:rPr>
        <w:t>by creating more user blocks with lower acquired spectrum maximum quantitative values, more right holders may appear in the first round, that is, user blocks are smaller than optimal, and then at a later date, in a second round, the whole 26 GHz frequency band will be available with 5G, thus solving the quantitative issue, but then a band rearrangement will be necessary to form larger contiguous blocks.</w:t>
      </w:r>
    </w:p>
    <w:p w14:paraId="61E0F446" w14:textId="03B41EBB" w:rsidR="0005034B" w:rsidRDefault="00E9176B" w:rsidP="00E9176B">
      <w:pPr>
        <w:pStyle w:val="Behzottbekezdsnmhh"/>
        <w:ind w:firstLine="0"/>
      </w:pPr>
      <w:r>
        <w:rPr>
          <w:lang w:val="en-GB"/>
        </w:rPr>
        <w:t xml:space="preserve">Another issue is the subsequent compensation of non-civil claims from the remaining 2 GHz. </w:t>
      </w:r>
    </w:p>
    <w:p w14:paraId="509904D6" w14:textId="6F726579" w:rsidR="000F2E37" w:rsidRDefault="00011730" w:rsidP="009D3535">
      <w:pPr>
        <w:pStyle w:val="Behzottbekezdsnmhh"/>
        <w:ind w:firstLine="0"/>
      </w:pPr>
      <w:r>
        <w:rPr>
          <w:lang w:val="en-GB"/>
        </w:rPr>
        <w:t xml:space="preserve">An important issue for the utilisation of the frequency band is the size of user blocks and what real market needs need to be considered. During the utilisation of the band for 5G purposes, it is also important to avoid the need to rearrange the band shortly after it is put into use, so the needs, professional and user aspects and </w:t>
      </w:r>
      <w:r w:rsidR="001A5122">
        <w:rPr>
          <w:lang w:val="en-GB"/>
        </w:rPr>
        <w:t>authorisation regimes</w:t>
      </w:r>
      <w:r>
        <w:rPr>
          <w:lang w:val="en-GB"/>
        </w:rPr>
        <w:t xml:space="preserve"> must be assessed before the detailed regulation is established. </w:t>
      </w:r>
    </w:p>
    <w:p w14:paraId="7FD7FDF1" w14:textId="77777777" w:rsidR="006E5C5B" w:rsidRPr="000F2E37" w:rsidRDefault="006E5C5B" w:rsidP="009D3535">
      <w:pPr>
        <w:pStyle w:val="Behzottbekezdsnmhh"/>
        <w:ind w:firstLine="0"/>
      </w:pPr>
    </w:p>
    <w:p w14:paraId="316499AC" w14:textId="63762C55" w:rsidR="009D432E" w:rsidRDefault="00A56D0C" w:rsidP="009D432E">
      <w:pPr>
        <w:pStyle w:val="Cmsor2szmozottnmhh"/>
        <w:rPr>
          <w:shd w:val="clear" w:color="auto" w:fill="FFFFFF"/>
        </w:rPr>
      </w:pPr>
      <w:bookmarkStart w:id="55" w:name="_Toc98343989"/>
      <w:r>
        <w:rPr>
          <w:bCs/>
          <w:shd w:val="clear" w:color="auto" w:fill="FFFFFF"/>
          <w:lang w:val="en-GB"/>
        </w:rPr>
        <w:lastRenderedPageBreak/>
        <w:t>Regulatory steps</w:t>
      </w:r>
      <w:bookmarkEnd w:id="55"/>
    </w:p>
    <w:p w14:paraId="72395469" w14:textId="556F476E" w:rsidR="007F518E" w:rsidRPr="004E52FB" w:rsidRDefault="007F518E" w:rsidP="007F518E">
      <w:pPr>
        <w:pStyle w:val="Behzottbekezdsnmhh"/>
      </w:pPr>
      <w:r>
        <w:rPr>
          <w:rFonts w:eastAsia="Calibri"/>
          <w:lang w:val="en-GB"/>
        </w:rPr>
        <w:t>Detailed regulatory steps related to the utilisation of the 26 GHz frequency band for mobile purposes (amendment to the NFFF Decree, preparation of documentation in case of a competitive procedure) may be taken after the needs have been assessed and the necessary policy and conceptual decisions have been taken, taking into account the following aspects:</w:t>
      </w:r>
    </w:p>
    <w:p w14:paraId="77325B21" w14:textId="2DAFD611" w:rsidR="008C63E0" w:rsidRDefault="008C63E0" w:rsidP="008C63E0">
      <w:pPr>
        <w:pStyle w:val="Behzottbekezdsnmhh"/>
        <w:numPr>
          <w:ilvl w:val="0"/>
          <w:numId w:val="64"/>
        </w:numPr>
      </w:pPr>
      <w:r>
        <w:rPr>
          <w:lang w:val="en-GB"/>
        </w:rPr>
        <w:t>detailed definition of technical conditions by taking into account international regulatory results,</w:t>
      </w:r>
    </w:p>
    <w:p w14:paraId="61DEE577" w14:textId="19A23BBD" w:rsidR="008C63E0" w:rsidRDefault="004D7478" w:rsidP="008C63E0">
      <w:pPr>
        <w:pStyle w:val="Behzottbekezdsnmhh"/>
        <w:numPr>
          <w:ilvl w:val="0"/>
          <w:numId w:val="64"/>
        </w:numPr>
      </w:pPr>
      <w:r>
        <w:rPr>
          <w:lang w:val="en-GB"/>
        </w:rPr>
        <w:t>determine the authorisation regime</w:t>
      </w:r>
      <w:r w:rsidR="008C63E0">
        <w:rPr>
          <w:lang w:val="en-GB"/>
        </w:rPr>
        <w:t xml:space="preserve"> (as </w:t>
      </w:r>
      <w:r>
        <w:rPr>
          <w:lang w:val="en-GB"/>
        </w:rPr>
        <w:t>exempted from individual</w:t>
      </w:r>
      <w:r w:rsidR="008C63E0">
        <w:rPr>
          <w:lang w:val="en-GB"/>
        </w:rPr>
        <w:t xml:space="preserve"> licence, </w:t>
      </w:r>
      <w:r>
        <w:rPr>
          <w:lang w:val="en-GB"/>
        </w:rPr>
        <w:t xml:space="preserve">light </w:t>
      </w:r>
      <w:r w:rsidR="008C63E0">
        <w:rPr>
          <w:lang w:val="en-GB"/>
        </w:rPr>
        <w:t>licen</w:t>
      </w:r>
      <w:r>
        <w:rPr>
          <w:lang w:val="en-GB"/>
        </w:rPr>
        <w:t>sing</w:t>
      </w:r>
      <w:r w:rsidR="008C63E0">
        <w:rPr>
          <w:lang w:val="en-GB"/>
        </w:rPr>
        <w:t>, first-come, first-served sale or competitive procedure) for the whole or parts of the 26 GHz frequency band in a uniform or different way, and</w:t>
      </w:r>
    </w:p>
    <w:p w14:paraId="3F15F666" w14:textId="50BDBAAE" w:rsidR="008C63E0" w:rsidRDefault="001C3EC9" w:rsidP="008C63E0">
      <w:pPr>
        <w:pStyle w:val="Behzottbekezdsnmhh"/>
        <w:numPr>
          <w:ilvl w:val="0"/>
          <w:numId w:val="64"/>
        </w:numPr>
      </w:pPr>
      <w:r>
        <w:rPr>
          <w:lang w:val="en-GB"/>
        </w:rPr>
        <w:t>regulation of the conditions for obtaining radio spectrum usage right (e.g. minimum, maximum acquisition rules, allowing band rearrangement, secondary trade rules).</w:t>
      </w:r>
    </w:p>
    <w:p w14:paraId="489A7DAC" w14:textId="19E1B0BB" w:rsidR="007357FF" w:rsidRDefault="007357FF">
      <w:pPr>
        <w:spacing w:after="200"/>
        <w:jc w:val="left"/>
        <w:rPr>
          <w:i/>
          <w:sz w:val="20"/>
          <w:szCs w:val="20"/>
        </w:rPr>
      </w:pPr>
    </w:p>
    <w:p w14:paraId="69D4086C" w14:textId="63ED9501" w:rsidR="008C63E0" w:rsidRDefault="008C63E0" w:rsidP="008C63E0">
      <w:pPr>
        <w:pStyle w:val="Cmsor1szmozottnmhh"/>
        <w:pageBreakBefore w:val="0"/>
        <w:ind w:left="431" w:hanging="431"/>
      </w:pPr>
      <w:bookmarkStart w:id="56" w:name="_Toc92461630"/>
      <w:bookmarkStart w:id="57" w:name="_Toc26254674"/>
      <w:bookmarkStart w:id="58" w:name="_Toc98343990"/>
      <w:r>
        <w:rPr>
          <w:bCs/>
          <w:lang w:val="en-GB"/>
        </w:rPr>
        <w:t>International coordination</w:t>
      </w:r>
      <w:bookmarkEnd w:id="56"/>
      <w:bookmarkEnd w:id="57"/>
      <w:bookmarkEnd w:id="58"/>
    </w:p>
    <w:p w14:paraId="06540861" w14:textId="04FF1E9A" w:rsidR="008C63E0" w:rsidRPr="00CD5192" w:rsidRDefault="008C63E0" w:rsidP="004942E2">
      <w:pPr>
        <w:pStyle w:val="Behzottbekezdsnmhh"/>
        <w:numPr>
          <w:ilvl w:val="1"/>
          <w:numId w:val="81"/>
        </w:numPr>
        <w:tabs>
          <w:tab w:val="left" w:pos="977"/>
        </w:tabs>
        <w:rPr>
          <w:rStyle w:val="Cmsor2szmozottnmhhChar"/>
          <w:b w:val="0"/>
        </w:rPr>
      </w:pPr>
      <w:bookmarkStart w:id="59" w:name="_Toc92461631"/>
      <w:bookmarkStart w:id="60" w:name="_Toc98343991"/>
      <w:r>
        <w:rPr>
          <w:rStyle w:val="Cmsor2szmozottnmhhChar"/>
          <w:bCs/>
          <w:lang w:val="en-GB"/>
        </w:rPr>
        <w:t>Radio spectrum usage for current fixed use in cross-border regions</w:t>
      </w:r>
      <w:bookmarkEnd w:id="59"/>
      <w:bookmarkEnd w:id="60"/>
    </w:p>
    <w:p w14:paraId="60D22F5A" w14:textId="74B69AF9" w:rsidR="008C63E0" w:rsidRDefault="00D43590" w:rsidP="008C63E0">
      <w:pPr>
        <w:pStyle w:val="Behzottbekezdsnmhh"/>
        <w:tabs>
          <w:tab w:val="left" w:pos="977"/>
        </w:tabs>
      </w:pPr>
      <w:r>
        <w:rPr>
          <w:lang w:val="en-GB"/>
        </w:rPr>
        <w:t>Current c</w:t>
      </w:r>
      <w:r w:rsidR="008C63E0">
        <w:rPr>
          <w:lang w:val="en-GB"/>
        </w:rPr>
        <w:t xml:space="preserve">oordination agreements </w:t>
      </w:r>
      <w:r>
        <w:rPr>
          <w:lang w:val="en-GB"/>
        </w:rPr>
        <w:t xml:space="preserve">related to the 24.5-26.5 GHz frequency band </w:t>
      </w:r>
      <w:r w:rsidR="008C63E0">
        <w:rPr>
          <w:lang w:val="en-GB"/>
        </w:rPr>
        <w:t xml:space="preserve">based on  preferred frequency blocks only apply to </w:t>
      </w:r>
      <w:r>
        <w:rPr>
          <w:lang w:val="en-GB"/>
        </w:rPr>
        <w:t xml:space="preserve">FDD </w:t>
      </w:r>
      <w:r w:rsidR="008C63E0">
        <w:rPr>
          <w:lang w:val="en-GB"/>
        </w:rPr>
        <w:t xml:space="preserve">point-to-point and point-to-multipoint </w:t>
      </w:r>
      <w:r>
        <w:rPr>
          <w:lang w:val="en-GB"/>
        </w:rPr>
        <w:t xml:space="preserve">fixed service </w:t>
      </w:r>
      <w:r w:rsidR="008C63E0">
        <w:rPr>
          <w:lang w:val="en-GB"/>
        </w:rPr>
        <w:t>systems.</w:t>
      </w:r>
    </w:p>
    <w:p w14:paraId="7A6F7FC9" w14:textId="6255408D" w:rsidR="008C63E0" w:rsidRPr="00476DA9" w:rsidRDefault="008C63E0" w:rsidP="008C63E0">
      <w:pPr>
        <w:pStyle w:val="Behzottbekezdsnmhh"/>
        <w:tabs>
          <w:tab w:val="left" w:pos="977"/>
        </w:tabs>
      </w:pPr>
      <w:r>
        <w:rPr>
          <w:lang w:val="en-GB"/>
        </w:rPr>
        <w:t xml:space="preserve">For the 24.549–25.053/25.557–26.061 GHz FDD </w:t>
      </w:r>
      <w:r w:rsidR="00D43590">
        <w:rPr>
          <w:lang w:val="en-GB"/>
        </w:rPr>
        <w:t>sub</w:t>
      </w:r>
      <w:r>
        <w:rPr>
          <w:lang w:val="en-GB"/>
        </w:rPr>
        <w:t>bands (basic blocks 1-18), Hungary has concluded international coordination agreements (so-called preferred block agreements) with all neighbouring countries.</w:t>
      </w:r>
    </w:p>
    <w:p w14:paraId="00443F5F" w14:textId="176C2165" w:rsidR="00D12E43" w:rsidRDefault="009C5298" w:rsidP="008C63E0">
      <w:pPr>
        <w:pStyle w:val="Behzottbekezdsnmhh"/>
        <w:tabs>
          <w:tab w:val="left" w:pos="977"/>
        </w:tabs>
      </w:pPr>
      <w:r>
        <w:rPr>
          <w:lang w:val="en-GB"/>
        </w:rPr>
        <w:t>The cross-border use of the block range 1-18 may be restricted by the preferred block agreement in the event of the introduction of 5G if the continued operation of fixed networks in a neighbouring country is expected. There is no preferred block agreement with neighbouring countries for basic blocks 19-32; in this frequency band the stations should be coordinated individually if necessary.</w:t>
      </w:r>
    </w:p>
    <w:p w14:paraId="2A49D258" w14:textId="77777777" w:rsidR="00D12E43" w:rsidRDefault="00D12E43">
      <w:pPr>
        <w:spacing w:after="200"/>
        <w:jc w:val="left"/>
        <w:rPr>
          <w:sz w:val="20"/>
          <w:szCs w:val="20"/>
        </w:rPr>
      </w:pPr>
      <w:r>
        <w:rPr>
          <w:lang w:val="en-GB"/>
        </w:rPr>
        <w:br w:type="page"/>
      </w:r>
    </w:p>
    <w:p w14:paraId="57EF6E6D" w14:textId="77777777" w:rsidR="008C63E0" w:rsidRDefault="008C63E0" w:rsidP="008C63E0">
      <w:pPr>
        <w:pStyle w:val="Behzottbekezdsnmhh"/>
        <w:tabs>
          <w:tab w:val="left" w:pos="977"/>
        </w:tabs>
      </w:pPr>
    </w:p>
    <w:p w14:paraId="0E0F3442" w14:textId="77DD0B75" w:rsidR="008C63E0" w:rsidRDefault="008C63E0" w:rsidP="008C63E0">
      <w:pPr>
        <w:pStyle w:val="Behzottbekezdsnmhh"/>
        <w:numPr>
          <w:ilvl w:val="1"/>
          <w:numId w:val="81"/>
        </w:numPr>
        <w:tabs>
          <w:tab w:val="left" w:pos="977"/>
        </w:tabs>
        <w:rPr>
          <w:rStyle w:val="Cmsor2szmozottnmhhChar"/>
        </w:rPr>
      </w:pPr>
      <w:bookmarkStart w:id="61" w:name="_Toc92461632"/>
      <w:bookmarkStart w:id="62" w:name="_Toc98343992"/>
      <w:r>
        <w:rPr>
          <w:rStyle w:val="Cmsor2szmozottnmhhChar"/>
          <w:bCs/>
          <w:lang w:val="en-GB"/>
        </w:rPr>
        <w:t>International frequency coordination for future use</w:t>
      </w:r>
      <w:bookmarkEnd w:id="61"/>
      <w:bookmarkEnd w:id="62"/>
      <w:r>
        <w:rPr>
          <w:rStyle w:val="Cmsor2szmozottnmhhChar"/>
          <w:bCs/>
          <w:lang w:val="en-GB"/>
        </w:rPr>
        <w:t xml:space="preserve"> </w:t>
      </w:r>
    </w:p>
    <w:p w14:paraId="6BBD72FC" w14:textId="27FE641F" w:rsidR="0051176C" w:rsidRDefault="008C63E0" w:rsidP="008C63E0">
      <w:pPr>
        <w:pStyle w:val="Behzottbekezdsnmhh"/>
        <w:tabs>
          <w:tab w:val="left" w:pos="977"/>
        </w:tabs>
      </w:pPr>
      <w:r>
        <w:rPr>
          <w:lang w:val="en-GB"/>
        </w:rPr>
        <w:t xml:space="preserve">A recommendation </w:t>
      </w:r>
      <w:r w:rsidR="00A65910">
        <w:rPr>
          <w:lang w:val="en-GB"/>
        </w:rPr>
        <w:t xml:space="preserve">on cross-border coordination related to TDD networks operating in </w:t>
      </w:r>
      <w:r>
        <w:rPr>
          <w:lang w:val="en-GB"/>
        </w:rPr>
        <w:t xml:space="preserve">the 26 GHz frequency band is being developed within the CEPT ECC/PT1 Working Group for the use of MFCN systems in the cross-border region. According to the adopted work programme, the planned target date for the publication of the recommendation containing </w:t>
      </w:r>
      <w:r w:rsidR="00A65910">
        <w:rPr>
          <w:lang w:val="en-GB"/>
        </w:rPr>
        <w:t xml:space="preserve">instructions for </w:t>
      </w:r>
      <w:r>
        <w:rPr>
          <w:lang w:val="en-GB"/>
        </w:rPr>
        <w:t xml:space="preserve">international coordination and synchronization configurations is July 2023. </w:t>
      </w:r>
    </w:p>
    <w:p w14:paraId="78547A40" w14:textId="41A6B493" w:rsidR="008C63E0" w:rsidRDefault="0051176C" w:rsidP="008C63E0">
      <w:pPr>
        <w:pStyle w:val="Behzottbekezdsnmhh"/>
        <w:tabs>
          <w:tab w:val="left" w:pos="977"/>
        </w:tabs>
      </w:pPr>
      <w:r>
        <w:rPr>
          <w:lang w:val="en-GB"/>
        </w:rPr>
        <w:t xml:space="preserve">In order to ensure the </w:t>
      </w:r>
      <w:r w:rsidR="00A65910">
        <w:rPr>
          <w:lang w:val="en-GB"/>
        </w:rPr>
        <w:t>operation</w:t>
      </w:r>
      <w:r>
        <w:rPr>
          <w:lang w:val="en-GB"/>
        </w:rPr>
        <w:t xml:space="preserve"> of MFCN systems</w:t>
      </w:r>
      <w:r w:rsidR="00A65910">
        <w:rPr>
          <w:lang w:val="en-GB"/>
        </w:rPr>
        <w:t xml:space="preserve"> in the border area</w:t>
      </w:r>
      <w:r>
        <w:rPr>
          <w:lang w:val="en-GB"/>
        </w:rPr>
        <w:t xml:space="preserve">, new coordination agreements will need to be concluded with neighbouring countries for the use of 5G systems at the border </w:t>
      </w:r>
      <w:r w:rsidR="00E02BBD">
        <w:rPr>
          <w:lang w:val="en-GB"/>
        </w:rPr>
        <w:t xml:space="preserve">area </w:t>
      </w:r>
      <w:r>
        <w:rPr>
          <w:lang w:val="en-GB"/>
        </w:rPr>
        <w:t>in the future, taking into account the different synchronisation cases.</w:t>
      </w:r>
    </w:p>
    <w:p w14:paraId="2A7380DA" w14:textId="77777777" w:rsidR="008C63E0" w:rsidRPr="00AA62BB" w:rsidRDefault="008C63E0" w:rsidP="00D12E43">
      <w:pPr>
        <w:pStyle w:val="Cmsor1szmozottnmhh"/>
        <w:pageBreakBefore w:val="0"/>
        <w:spacing w:before="240"/>
        <w:ind w:left="431" w:hanging="431"/>
      </w:pPr>
      <w:bookmarkStart w:id="63" w:name="_Toc92461633"/>
      <w:bookmarkStart w:id="64" w:name="_Toc26254676"/>
      <w:bookmarkStart w:id="65" w:name="_Toc98343993"/>
      <w:r>
        <w:rPr>
          <w:bCs/>
          <w:lang w:val="en-GB"/>
        </w:rPr>
        <w:t>Potential sources of interference</w:t>
      </w:r>
      <w:bookmarkEnd w:id="63"/>
      <w:bookmarkEnd w:id="64"/>
      <w:bookmarkEnd w:id="65"/>
    </w:p>
    <w:p w14:paraId="2C23015D" w14:textId="08487776" w:rsidR="008C63E0" w:rsidRDefault="00CB1F51" w:rsidP="008C63E0">
      <w:pPr>
        <w:pStyle w:val="Behzottbekezdsnmhh"/>
        <w:tabs>
          <w:tab w:val="left" w:pos="977"/>
        </w:tabs>
      </w:pPr>
      <w:r>
        <w:rPr>
          <w:lang w:val="en-GB"/>
        </w:rPr>
        <w:t xml:space="preserve">Automotive </w:t>
      </w:r>
      <w:r w:rsidR="008C63E0">
        <w:rPr>
          <w:lang w:val="en-GB"/>
        </w:rPr>
        <w:t xml:space="preserve">radars </w:t>
      </w:r>
      <w:r>
        <w:rPr>
          <w:lang w:val="en-GB"/>
        </w:rPr>
        <w:t xml:space="preserve">mounted </w:t>
      </w:r>
      <w:r w:rsidR="008C63E0">
        <w:rPr>
          <w:lang w:val="en-GB"/>
        </w:rPr>
        <w:t xml:space="preserve">on </w:t>
      </w:r>
      <w:r>
        <w:rPr>
          <w:lang w:val="en-GB"/>
        </w:rPr>
        <w:t xml:space="preserve">motor </w:t>
      </w:r>
      <w:r w:rsidR="008C63E0">
        <w:rPr>
          <w:lang w:val="en-GB"/>
        </w:rPr>
        <w:t xml:space="preserve">vehicles may operate in the 24 GHz frequency band on the basis of Commission Decision </w:t>
      </w:r>
      <w:r w:rsidR="008C63E0">
        <w:rPr>
          <w:i/>
          <w:iCs/>
          <w:lang w:val="en-GB"/>
        </w:rPr>
        <w:t>2005/50/EC</w:t>
      </w:r>
      <w:r w:rsidR="008C63E0">
        <w:rPr>
          <w:rStyle w:val="Lbjegyzet-hivatkozs"/>
          <w:lang w:val="en-GB"/>
        </w:rPr>
        <w:footnoteReference w:id="45"/>
      </w:r>
      <w:r w:rsidR="008C63E0">
        <w:rPr>
          <w:lang w:val="en-GB"/>
        </w:rPr>
        <w:t xml:space="preserve"> and the amending Implementing Decision </w:t>
      </w:r>
      <w:r w:rsidR="008C63E0">
        <w:rPr>
          <w:i/>
          <w:iCs/>
          <w:lang w:val="en-GB"/>
        </w:rPr>
        <w:t>2011/485/EU</w:t>
      </w:r>
      <w:r w:rsidR="008C63E0">
        <w:rPr>
          <w:rStyle w:val="Lbjegyzet-hivatkozs"/>
          <w:lang w:val="en-GB"/>
        </w:rPr>
        <w:footnoteReference w:id="46"/>
      </w:r>
      <w:r w:rsidR="008C63E0">
        <w:rPr>
          <w:lang w:val="en-GB"/>
        </w:rPr>
        <w:t xml:space="preserve">. </w:t>
      </w:r>
    </w:p>
    <w:p w14:paraId="55F82247" w14:textId="74A4BBEE" w:rsidR="008C63E0" w:rsidRDefault="008C63E0" w:rsidP="008C63E0">
      <w:pPr>
        <w:pStyle w:val="Behzottbekezdsnmhh"/>
        <w:tabs>
          <w:tab w:val="left" w:pos="977"/>
        </w:tabs>
      </w:pPr>
      <w:r>
        <w:rPr>
          <w:lang w:val="en-GB"/>
        </w:rPr>
        <w:t xml:space="preserve">Pursuant to Commission Implementing Decision </w:t>
      </w:r>
      <w:r>
        <w:rPr>
          <w:i/>
          <w:iCs/>
          <w:lang w:val="en-GB"/>
        </w:rPr>
        <w:t>2011/485/EU</w:t>
      </w:r>
      <w:r>
        <w:rPr>
          <w:lang w:val="en-GB"/>
        </w:rPr>
        <w:t xml:space="preserve">, </w:t>
      </w:r>
      <w:r w:rsidR="004B7525">
        <w:rPr>
          <w:lang w:val="en-GB"/>
        </w:rPr>
        <w:t xml:space="preserve">automotive </w:t>
      </w:r>
      <w:r>
        <w:rPr>
          <w:lang w:val="en-GB"/>
        </w:rPr>
        <w:t xml:space="preserve">radars could be placed on the market until 1 January 2018 in the 24.25-26.65 GHz frequency band (see Article 1 (1)). However, short-range radars (SRRs) </w:t>
      </w:r>
      <w:r w:rsidR="004B7525">
        <w:rPr>
          <w:lang w:val="en-GB"/>
        </w:rPr>
        <w:t xml:space="preserve">mounted on motor </w:t>
      </w:r>
      <w:r>
        <w:rPr>
          <w:lang w:val="en-GB"/>
        </w:rPr>
        <w:t xml:space="preserve">vehicles </w:t>
      </w:r>
      <w:r w:rsidR="0059058E">
        <w:rPr>
          <w:lang w:val="en-GB"/>
        </w:rPr>
        <w:t xml:space="preserve">for which </w:t>
      </w:r>
      <w:r>
        <w:rPr>
          <w:lang w:val="en-GB"/>
        </w:rPr>
        <w:t xml:space="preserve">type approval </w:t>
      </w:r>
      <w:r w:rsidR="0059058E">
        <w:rPr>
          <w:lang w:val="en-GB"/>
        </w:rPr>
        <w:t xml:space="preserve">application has been </w:t>
      </w:r>
      <w:r>
        <w:rPr>
          <w:lang w:val="en-GB"/>
        </w:rPr>
        <w:t>submitted pursuant to Article 6(6) of Directive 2007/46/EC of the European Parliament and of the Council</w:t>
      </w:r>
      <w:r>
        <w:rPr>
          <w:rStyle w:val="Lbjegyzet-hivatkozs"/>
          <w:lang w:val="en-GB"/>
        </w:rPr>
        <w:footnoteReference w:id="47"/>
      </w:r>
      <w:r>
        <w:rPr>
          <w:lang w:val="en-GB"/>
        </w:rPr>
        <w:t xml:space="preserve"> and </w:t>
      </w:r>
      <w:r w:rsidR="0059058E">
        <w:rPr>
          <w:lang w:val="en-GB"/>
        </w:rPr>
        <w:t xml:space="preserve">has been granted </w:t>
      </w:r>
      <w:r>
        <w:rPr>
          <w:lang w:val="en-GB"/>
        </w:rPr>
        <w:t xml:space="preserve">before 1 January 2018, this 1 January 2018 deadline shall be extended by four years (Article 1(2)(c)). Accordingly, no new motor vehicles equipped with radar operating in the 24 GHz frequency band may be placed on the market from 2022, but devices which have been </w:t>
      </w:r>
      <w:r w:rsidR="0059058E">
        <w:rPr>
          <w:lang w:val="en-GB"/>
        </w:rPr>
        <w:t xml:space="preserve">mounted by </w:t>
      </w:r>
      <w:r>
        <w:rPr>
          <w:lang w:val="en-GB"/>
        </w:rPr>
        <w:t xml:space="preserve">the factory or </w:t>
      </w:r>
      <w:r w:rsidR="0059058E">
        <w:rPr>
          <w:lang w:val="en-GB"/>
        </w:rPr>
        <w:t xml:space="preserve">mounted </w:t>
      </w:r>
      <w:r>
        <w:rPr>
          <w:lang w:val="en-GB"/>
        </w:rPr>
        <w:t xml:space="preserve">in place of such original equipment in vehicles registered, placed on the market or put into service in the Community before that date may still be used. In other words, </w:t>
      </w:r>
      <w:r w:rsidR="0059058E">
        <w:rPr>
          <w:lang w:val="en-GB"/>
        </w:rPr>
        <w:t xml:space="preserve">these devices can be operated until the lifetime of the motor </w:t>
      </w:r>
      <w:r>
        <w:rPr>
          <w:lang w:val="en-GB"/>
        </w:rPr>
        <w:t xml:space="preserve">vehicles equipped with 24 GHz </w:t>
      </w:r>
      <w:r w:rsidR="00D849EB">
        <w:rPr>
          <w:lang w:val="en-GB"/>
        </w:rPr>
        <w:t xml:space="preserve">automotive </w:t>
      </w:r>
      <w:r>
        <w:rPr>
          <w:lang w:val="en-GB"/>
        </w:rPr>
        <w:t>radar Given their low level of use at the moment, no significant interference is to be expected.</w:t>
      </w:r>
    </w:p>
    <w:p w14:paraId="2B47E14D" w14:textId="0D6D04A5" w:rsidR="008C63E0" w:rsidRPr="00A04B61" w:rsidRDefault="008C63E0" w:rsidP="008C63E0">
      <w:pPr>
        <w:pStyle w:val="Behzottbekezdsnmhh"/>
        <w:tabs>
          <w:tab w:val="left" w:pos="977"/>
        </w:tabs>
      </w:pPr>
      <w:r>
        <w:rPr>
          <w:lang w:val="en-GB"/>
        </w:rPr>
        <w:t xml:space="preserve">These radars have broadband emissions, which cover the entire 26 GHz frequency band, but any interference in the </w:t>
      </w:r>
      <w:r w:rsidR="0059058E">
        <w:rPr>
          <w:lang w:val="en-GB"/>
        </w:rPr>
        <w:t xml:space="preserve">upper </w:t>
      </w:r>
      <w:r>
        <w:rPr>
          <w:lang w:val="en-GB"/>
        </w:rPr>
        <w:t xml:space="preserve">part of the 26 GHz frequency band </w:t>
      </w:r>
      <w:r w:rsidR="00D849EB">
        <w:rPr>
          <w:lang w:val="en-GB"/>
        </w:rPr>
        <w:t>is</w:t>
      </w:r>
      <w:r>
        <w:rPr>
          <w:lang w:val="en-GB"/>
        </w:rPr>
        <w:t xml:space="preserve"> significantly reduced even in the case of direct emission.</w:t>
      </w:r>
    </w:p>
    <w:p w14:paraId="7F9B02D6" w14:textId="44ECBE1E" w:rsidR="008C63E0" w:rsidRDefault="008C63E0" w:rsidP="008C63E0">
      <w:pPr>
        <w:pStyle w:val="Behzottbekezdsnmhh"/>
        <w:tabs>
          <w:tab w:val="left" w:pos="977"/>
        </w:tabs>
      </w:pPr>
      <w:r>
        <w:rPr>
          <w:lang w:val="en-GB"/>
        </w:rPr>
        <w:t xml:space="preserve">The interference </w:t>
      </w:r>
      <w:r w:rsidR="0059058E">
        <w:rPr>
          <w:lang w:val="en-GB"/>
        </w:rPr>
        <w:t xml:space="preserve">caused by </w:t>
      </w:r>
      <w:r>
        <w:rPr>
          <w:lang w:val="en-GB"/>
        </w:rPr>
        <w:t xml:space="preserve">motor vehicle radars </w:t>
      </w:r>
      <w:r w:rsidR="0059058E">
        <w:rPr>
          <w:lang w:val="en-GB"/>
        </w:rPr>
        <w:t xml:space="preserve">to </w:t>
      </w:r>
      <w:r>
        <w:rPr>
          <w:lang w:val="en-GB"/>
        </w:rPr>
        <w:t xml:space="preserve">fixed </w:t>
      </w:r>
      <w:r w:rsidR="0059058E">
        <w:rPr>
          <w:lang w:val="en-GB"/>
        </w:rPr>
        <w:t xml:space="preserve">service </w:t>
      </w:r>
      <w:r>
        <w:rPr>
          <w:lang w:val="en-GB"/>
        </w:rPr>
        <w:t xml:space="preserve">systems has been previously </w:t>
      </w:r>
      <w:r w:rsidR="0059058E">
        <w:rPr>
          <w:lang w:val="en-GB"/>
        </w:rPr>
        <w:t>examined</w:t>
      </w:r>
      <w:r>
        <w:rPr>
          <w:lang w:val="en-GB"/>
        </w:rPr>
        <w:t>, the results of which are contained in ECC Report 023</w:t>
      </w:r>
      <w:r>
        <w:rPr>
          <w:rStyle w:val="Lbjegyzet-hivatkozs"/>
          <w:lang w:val="en-GB"/>
        </w:rPr>
        <w:footnoteReference w:id="48"/>
      </w:r>
      <w:r>
        <w:rPr>
          <w:lang w:val="en-GB"/>
        </w:rPr>
        <w:t>.</w:t>
      </w:r>
    </w:p>
    <w:p w14:paraId="78C8D0F6" w14:textId="60EB44EB" w:rsidR="004942E2" w:rsidRDefault="004942E2">
      <w:pPr>
        <w:spacing w:after="200"/>
        <w:jc w:val="left"/>
        <w:rPr>
          <w:sz w:val="20"/>
          <w:szCs w:val="20"/>
        </w:rPr>
      </w:pPr>
      <w:r>
        <w:rPr>
          <w:lang w:val="en-GB"/>
        </w:rPr>
        <w:br w:type="page"/>
      </w:r>
    </w:p>
    <w:p w14:paraId="4B056C12" w14:textId="19D8F8B4" w:rsidR="008C63E0" w:rsidRDefault="000E0FE8" w:rsidP="008C63E0">
      <w:pPr>
        <w:pStyle w:val="Cmsor1szmozottnmhh"/>
        <w:pageBreakBefore w:val="0"/>
        <w:ind w:left="431" w:hanging="431"/>
      </w:pPr>
      <w:bookmarkStart w:id="66" w:name="_Toc98343994"/>
      <w:r>
        <w:rPr>
          <w:bCs/>
          <w:lang w:val="en-GB"/>
        </w:rPr>
        <w:lastRenderedPageBreak/>
        <w:t>Radio spectrum fees</w:t>
      </w:r>
      <w:bookmarkEnd w:id="66"/>
    </w:p>
    <w:p w14:paraId="17DA7126" w14:textId="690AD13F" w:rsidR="00521B61" w:rsidRPr="00521B61" w:rsidRDefault="00521B61" w:rsidP="00521B61">
      <w:pPr>
        <w:rPr>
          <w:sz w:val="20"/>
          <w:szCs w:val="20"/>
        </w:rPr>
      </w:pPr>
      <w:r>
        <w:rPr>
          <w:sz w:val="20"/>
          <w:szCs w:val="20"/>
          <w:lang w:val="en-GB"/>
        </w:rPr>
        <w:t xml:space="preserve">The method of calculation for regular radio spectrum fees is prescribed by </w:t>
      </w:r>
      <w:r>
        <w:rPr>
          <w:sz w:val="20"/>
          <w:lang w:val="en-GB"/>
        </w:rPr>
        <w:t xml:space="preserve">Decree 1/2011 (III.31.) NMHH on frequency reservation and usage fees (hereinafter: Fees Decree). </w:t>
      </w:r>
      <w:r>
        <w:rPr>
          <w:sz w:val="20"/>
          <w:szCs w:val="20"/>
          <w:lang w:val="en-GB"/>
        </w:rPr>
        <w:t xml:space="preserve">Pursuant to the NFFF Decree, the </w:t>
      </w:r>
      <w:r w:rsidR="00CA0AAE">
        <w:rPr>
          <w:sz w:val="20"/>
          <w:szCs w:val="20"/>
          <w:lang w:val="en-GB"/>
        </w:rPr>
        <w:t>right holder</w:t>
      </w:r>
      <w:r>
        <w:rPr>
          <w:sz w:val="20"/>
          <w:szCs w:val="20"/>
          <w:lang w:val="en-GB"/>
        </w:rPr>
        <w:t xml:space="preserve"> acquiring radio spectrum rights shall pay a monthly band fee, in the case of radio spectrum for service purposes acquired as a result of a competitive procedure, as a result of the extension of the entitlement to radio spectrum usage, or as a result of the renewal of the entitlement to radio spectrum usage, and resold after acquisition, during the term of the entitlement to radio spectrum usage, starting from the earliest date of the validity of the radio licence determined in Section 22(3) of Decree 4/2011 (X. 6.) NMHH on the Rules of Auctioning and Tendering to Acquire Entitlements to Frequency Usage.</w:t>
      </w:r>
    </w:p>
    <w:p w14:paraId="32338936" w14:textId="5139E875" w:rsidR="00521B61" w:rsidRPr="00181636" w:rsidRDefault="00521B61" w:rsidP="00A56D0C">
      <w:r>
        <w:rPr>
          <w:sz w:val="20"/>
          <w:szCs w:val="20"/>
          <w:lang w:val="en-GB"/>
        </w:rPr>
        <w:t xml:space="preserve">The </w:t>
      </w:r>
      <w:r w:rsidR="00AA2623">
        <w:rPr>
          <w:sz w:val="20"/>
          <w:szCs w:val="20"/>
          <w:lang w:val="en-GB"/>
        </w:rPr>
        <w:t>calculation method</w:t>
      </w:r>
      <w:r>
        <w:rPr>
          <w:sz w:val="20"/>
          <w:szCs w:val="20"/>
          <w:lang w:val="en-GB"/>
        </w:rPr>
        <w:t xml:space="preserve"> of the band fee payable </w:t>
      </w:r>
      <w:r w:rsidR="00AA2623">
        <w:rPr>
          <w:sz w:val="20"/>
          <w:szCs w:val="20"/>
          <w:lang w:val="en-GB"/>
        </w:rPr>
        <w:t>is</w:t>
      </w:r>
      <w:r>
        <w:rPr>
          <w:sz w:val="20"/>
          <w:szCs w:val="20"/>
          <w:lang w:val="en-GB"/>
        </w:rPr>
        <w:t xml:space="preserve"> set out in Section 20 entitled “Fees payable for bands within the scope of block management”</w:t>
      </w:r>
      <w:r w:rsidR="00D71DDF">
        <w:rPr>
          <w:sz w:val="20"/>
          <w:szCs w:val="20"/>
          <w:lang w:val="en-GB"/>
        </w:rPr>
        <w:t xml:space="preserve"> and in Annex 9 of the fee Decree</w:t>
      </w:r>
      <w:r>
        <w:rPr>
          <w:sz w:val="20"/>
          <w:szCs w:val="20"/>
          <w:lang w:val="en-GB"/>
        </w:rPr>
        <w:t xml:space="preserve">. For the </w:t>
      </w:r>
      <w:r w:rsidR="00D71DDF">
        <w:rPr>
          <w:sz w:val="20"/>
          <w:szCs w:val="20"/>
          <w:lang w:val="en-GB"/>
        </w:rPr>
        <w:t xml:space="preserve">determination </w:t>
      </w:r>
      <w:r>
        <w:rPr>
          <w:sz w:val="20"/>
          <w:szCs w:val="20"/>
          <w:lang w:val="en-GB"/>
        </w:rPr>
        <w:t xml:space="preserve">of the band fee, the unit fee shall be multiplied by the sum of bands sold and acquired, expressed in kHz, and the band multiplier. In the case of duplex band, both parts of the band must be taken into account when determining the volume of band sold and acquired. </w:t>
      </w:r>
    </w:p>
    <w:p w14:paraId="7E239E40" w14:textId="2F9555B6" w:rsidR="00521B61" w:rsidRPr="00521B61" w:rsidRDefault="00521B61" w:rsidP="00521B61">
      <w:pPr>
        <w:rPr>
          <w:sz w:val="20"/>
          <w:szCs w:val="20"/>
        </w:rPr>
      </w:pPr>
      <w:r>
        <w:rPr>
          <w:sz w:val="20"/>
          <w:szCs w:val="20"/>
          <w:lang w:val="en-GB"/>
        </w:rPr>
        <w:t xml:space="preserve">The factors determining the current band fee for the 24.5-26.5 GHz frequency band are defined on the basis of the current fixed use as follows: </w:t>
      </w:r>
    </w:p>
    <w:p w14:paraId="377B01F3" w14:textId="66175D5E" w:rsidR="00521B61" w:rsidRPr="00521B61" w:rsidRDefault="00521B61" w:rsidP="00521B61">
      <w:pPr>
        <w:pStyle w:val="Listaszerbekezds"/>
        <w:numPr>
          <w:ilvl w:val="0"/>
          <w:numId w:val="82"/>
        </w:numPr>
        <w:spacing w:after="160" w:line="259" w:lineRule="auto"/>
        <w:rPr>
          <w:sz w:val="20"/>
          <w:szCs w:val="20"/>
        </w:rPr>
      </w:pPr>
      <w:r>
        <w:rPr>
          <w:sz w:val="20"/>
          <w:szCs w:val="20"/>
          <w:lang w:val="en-GB"/>
        </w:rPr>
        <w:t>for national band use, the band multiplier for the 24.5-26.5 GHz frequency band is 0.002</w:t>
      </w:r>
    </w:p>
    <w:p w14:paraId="05069522" w14:textId="1BA46A2B" w:rsidR="00521B61" w:rsidRPr="00521B61" w:rsidRDefault="00521B61" w:rsidP="00521B61">
      <w:pPr>
        <w:pStyle w:val="Listaszerbekezds"/>
        <w:numPr>
          <w:ilvl w:val="0"/>
          <w:numId w:val="82"/>
        </w:numPr>
        <w:spacing w:after="160" w:line="259" w:lineRule="auto"/>
        <w:rPr>
          <w:sz w:val="20"/>
          <w:szCs w:val="20"/>
        </w:rPr>
      </w:pPr>
      <w:r>
        <w:rPr>
          <w:sz w:val="20"/>
          <w:szCs w:val="20"/>
          <w:lang w:val="en-GB"/>
        </w:rPr>
        <w:t>unit fee for rights acquired before 15 March 2019: HUF 7500/kHz/month; in the case of rights acquired through sales after 15 March 2019: 6500 HUF/kHz/month</w:t>
      </w:r>
    </w:p>
    <w:p w14:paraId="5FE1FE60" w14:textId="693AD071" w:rsidR="008C63E0" w:rsidRDefault="0051176C" w:rsidP="008C63E0">
      <w:pPr>
        <w:pStyle w:val="Behzottbekezdsnmhh"/>
      </w:pPr>
      <w:r>
        <w:rPr>
          <w:lang w:val="en-GB"/>
        </w:rPr>
        <w:t xml:space="preserve">The current Fees Decree does not contain provisions on the fees payable for the entire 26 GHz frequency band. For the 24.25-24.5 GHz and 26.5-27.5 GHz bands, in the case of the introduction of MFCN, including 5G, it is necessary to determine the fee payable, taking into account the method of licensing and the nature of use. If there is a change in the method of use in the 24.5-26.5 GHz band currently used for </w:t>
      </w:r>
      <w:r w:rsidR="00E17F45">
        <w:rPr>
          <w:lang w:val="en-GB"/>
        </w:rPr>
        <w:t xml:space="preserve">fixed </w:t>
      </w:r>
      <w:r>
        <w:rPr>
          <w:lang w:val="en-GB"/>
        </w:rPr>
        <w:t>service, i.e. it becomes available for 5G systems, the current band usage fee should also be revised.</w:t>
      </w:r>
    </w:p>
    <w:p w14:paraId="24F0D0C2" w14:textId="77777777" w:rsidR="008C63E0" w:rsidRDefault="008C63E0" w:rsidP="008C63E0">
      <w:pPr>
        <w:spacing w:after="200"/>
        <w:rPr>
          <w:sz w:val="20"/>
          <w:szCs w:val="20"/>
        </w:rPr>
      </w:pPr>
    </w:p>
    <w:sectPr w:rsidR="008C63E0" w:rsidSect="00DB6558">
      <w:footerReference w:type="default" r:id="rId17"/>
      <w:pgSz w:w="11906" w:h="16838"/>
      <w:pgMar w:top="1417" w:right="1417" w:bottom="1417" w:left="1417" w:header="141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D7B5" w16cex:dateUtc="2022-03-16T15:59:00Z"/>
  <w16cex:commentExtensible w16cex:durableId="25DCD7B6" w16cex:dateUtc="2022-03-11T08:53:00Z"/>
  <w16cex:commentExtensible w16cex:durableId="25DCD7B8" w16cex:dateUtc="2022-03-11T09:06:00Z"/>
  <w16cex:commentExtensible w16cex:durableId="25DCD7BA" w16cex:dateUtc="2022-03-11T09:31:00Z"/>
  <w16cex:commentExtensible w16cex:durableId="25DCD7BC" w16cex:dateUtc="2022-03-11T14:15:00Z"/>
  <w16cex:commentExtensible w16cex:durableId="25DCD7BD" w16cex:dateUtc="2022-03-11T10:00:00Z"/>
  <w16cex:commentExtensible w16cex:durableId="25DCD7BF" w16cex:dateUtc="2022-03-11T10:06:00Z"/>
  <w16cex:commentExtensible w16cex:durableId="25DCD7C1" w16cex:dateUtc="2022-03-11T10:10:00Z"/>
  <w16cex:commentExtensible w16cex:durableId="25DCD7C3" w16cex:dateUtc="2022-03-11T10:13:00Z"/>
  <w16cex:commentExtensible w16cex:durableId="25DCD7C5" w16cex:dateUtc="2022-03-11T10:16:00Z"/>
  <w16cex:commentExtensible w16cex:durableId="25DCD7C7" w16cex:dateUtc="2022-03-11T10:29:00Z"/>
  <w16cex:commentExtensible w16cex:durableId="25DCD7C9" w16cex:dateUtc="2022-03-16T09:20:00Z"/>
  <w16cex:commentExtensible w16cex:durableId="25DCD7CA" w16cex:dateUtc="2022-03-16T09:25:00Z"/>
  <w16cex:commentExtensible w16cex:durableId="25DCD7CB" w16cex:dateUtc="2022-03-16T09:29:00Z"/>
  <w16cex:commentExtensible w16cex:durableId="25DCD7CC" w16cex:dateUtc="2022-03-16T09:34:00Z"/>
  <w16cex:commentExtensible w16cex:durableId="25DCD7CD" w16cex:dateUtc="2022-03-16T09:44:00Z"/>
  <w16cex:commentExtensible w16cex:durableId="25DCD7CE" w16cex:dateUtc="2022-03-16T09:53:00Z"/>
  <w16cex:commentExtensible w16cex:durableId="25DCD7CF" w16cex:dateUtc="2022-03-16T12:19:00Z"/>
  <w16cex:commentExtensible w16cex:durableId="25DCD7D0" w16cex:dateUtc="2022-03-16T12:06:00Z"/>
  <w16cex:commentExtensible w16cex:durableId="25DCD7D1" w16cex:dateUtc="2022-03-16T12:31:00Z"/>
  <w16cex:commentExtensible w16cex:durableId="25DCD7D2" w16cex:dateUtc="2022-03-16T12:49:00Z"/>
  <w16cex:commentExtensible w16cex:durableId="25DCD7D3" w16cex:dateUtc="2022-03-16T12:47:00Z"/>
  <w16cex:commentExtensible w16cex:durableId="25DCD7D4" w16cex:dateUtc="2022-03-16T13:00:00Z"/>
  <w16cex:commentExtensible w16cex:durableId="25DCD7D5" w16cex:dateUtc="2022-03-16T13:15:00Z"/>
  <w16cex:commentExtensible w16cex:durableId="25DCD7D6" w16cex:dateUtc="2022-03-16T13:27:00Z"/>
  <w16cex:commentExtensible w16cex:durableId="25DCD7D7" w16cex:dateUtc="2022-03-16T14:04:00Z"/>
  <w16cex:commentExtensible w16cex:durableId="25DCD7D8" w16cex:dateUtc="2022-03-16T15:07:00Z"/>
  <w16cex:commentExtensible w16cex:durableId="25DCD7D9" w16cex:dateUtc="2022-03-16T15:02:00Z"/>
  <w16cex:commentExtensible w16cex:durableId="25DCD7DA" w16cex:dateUtc="2022-03-16T15:15:00Z"/>
  <w16cex:commentExtensible w16cex:durableId="25DCD7DB" w16cex:dateUtc="2022-03-16T15:36:00Z"/>
  <w16cex:commentExtensible w16cex:durableId="25DCD7DC" w16cex:dateUtc="2022-03-16T16:00:00Z"/>
  <w16cex:commentExtensible w16cex:durableId="25DCD7DD" w16cex:dateUtc="2022-03-16T16:07:00Z"/>
  <w16cex:commentExtensible w16cex:durableId="25DCD7DE" w16cex:dateUtc="2022-03-16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55545" w16cid:durableId="25DCD7B5"/>
  <w16cid:commentId w16cid:paraId="10FF583E" w16cid:durableId="25DCD7B6"/>
  <w16cid:commentId w16cid:paraId="598CA42C" w16cid:durableId="25DCD7B8"/>
  <w16cid:commentId w16cid:paraId="0300D667" w16cid:durableId="25DCD7BA"/>
  <w16cid:commentId w16cid:paraId="6AA6AAEF" w16cid:durableId="25DCD7BC"/>
  <w16cid:commentId w16cid:paraId="0087F0AF" w16cid:durableId="25DCD7BD"/>
  <w16cid:commentId w16cid:paraId="44742C0F" w16cid:durableId="25DCD7BF"/>
  <w16cid:commentId w16cid:paraId="03A683A2" w16cid:durableId="25DCD7C1"/>
  <w16cid:commentId w16cid:paraId="1AB21D6F" w16cid:durableId="25DCD7C3"/>
  <w16cid:commentId w16cid:paraId="6ABA798B" w16cid:durableId="25DCD7C5"/>
  <w16cid:commentId w16cid:paraId="4D2F7805" w16cid:durableId="25DCD7C7"/>
  <w16cid:commentId w16cid:paraId="79C2706C" w16cid:durableId="25DCD7C9"/>
  <w16cid:commentId w16cid:paraId="3377425E" w16cid:durableId="25DCD7CA"/>
  <w16cid:commentId w16cid:paraId="6434146C" w16cid:durableId="25DCD7CB"/>
  <w16cid:commentId w16cid:paraId="0B2CF61A" w16cid:durableId="25DCD7CC"/>
  <w16cid:commentId w16cid:paraId="4340A5B6" w16cid:durableId="25DCD7CD"/>
  <w16cid:commentId w16cid:paraId="542FE7F7" w16cid:durableId="25DCD7CE"/>
  <w16cid:commentId w16cid:paraId="6DCDF350" w16cid:durableId="25DCD7CF"/>
  <w16cid:commentId w16cid:paraId="0E48AA63" w16cid:durableId="25DCD7D0"/>
  <w16cid:commentId w16cid:paraId="7E15288E" w16cid:durableId="25DCD7D1"/>
  <w16cid:commentId w16cid:paraId="5A35DEBA" w16cid:durableId="25DCD7D2"/>
  <w16cid:commentId w16cid:paraId="22E63E3E" w16cid:durableId="25DCD7D3"/>
  <w16cid:commentId w16cid:paraId="389108FD" w16cid:durableId="25DCD7D4"/>
  <w16cid:commentId w16cid:paraId="2D8B58B9" w16cid:durableId="25DCD7D5"/>
  <w16cid:commentId w16cid:paraId="26682F2E" w16cid:durableId="25DCD7D6"/>
  <w16cid:commentId w16cid:paraId="235F98BD" w16cid:durableId="25DCD7D7"/>
  <w16cid:commentId w16cid:paraId="04655836" w16cid:durableId="25DCD7D8"/>
  <w16cid:commentId w16cid:paraId="2BCBC5C0" w16cid:durableId="25DCD7D9"/>
  <w16cid:commentId w16cid:paraId="0077CD78" w16cid:durableId="25DCD7DA"/>
  <w16cid:commentId w16cid:paraId="71DEBC78" w16cid:durableId="25DCD7DB"/>
  <w16cid:commentId w16cid:paraId="33FDA4B1" w16cid:durableId="25DCD7DC"/>
  <w16cid:commentId w16cid:paraId="42E2C0B9" w16cid:durableId="25DCD7DD"/>
  <w16cid:commentId w16cid:paraId="29F0A613" w16cid:durableId="25DCD7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5A86" w14:textId="77777777" w:rsidR="00383F0D" w:rsidRDefault="00383F0D">
      <w:pPr>
        <w:spacing w:after="0" w:line="240" w:lineRule="auto"/>
      </w:pPr>
      <w:r>
        <w:separator/>
      </w:r>
    </w:p>
  </w:endnote>
  <w:endnote w:type="continuationSeparator" w:id="0">
    <w:p w14:paraId="7BBDF098" w14:textId="77777777" w:rsidR="00383F0D" w:rsidRDefault="00383F0D">
      <w:pPr>
        <w:spacing w:after="0" w:line="240" w:lineRule="auto"/>
      </w:pPr>
      <w:r>
        <w:continuationSeparator/>
      </w:r>
    </w:p>
  </w:endnote>
  <w:endnote w:type="continuationNotice" w:id="1">
    <w:p w14:paraId="3A258E54" w14:textId="77777777" w:rsidR="00383F0D" w:rsidRDefault="00383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charset w:val="00"/>
    <w:family w:val="auto"/>
    <w:pitch w:val="default"/>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3525A"/>
      </w:rPr>
      <w:id w:val="-521928211"/>
      <w:docPartObj>
        <w:docPartGallery w:val="Page Numbers (Bottom of Page)"/>
        <w:docPartUnique/>
      </w:docPartObj>
    </w:sdtPr>
    <w:sdtContent>
      <w:p w14:paraId="1E0AC7C7" w14:textId="6323EF96" w:rsidR="005C584B" w:rsidRDefault="005C584B">
        <w:pPr>
          <w:pStyle w:val="llb"/>
          <w:jc w:val="left"/>
          <w:rPr>
            <w:color w:val="43525A"/>
          </w:rPr>
        </w:pPr>
        <w:r>
          <w:rPr>
            <w:color w:val="43525A"/>
            <w:lang w:val="en-GB"/>
          </w:rPr>
          <w:fldChar w:fldCharType="begin"/>
        </w:r>
        <w:r>
          <w:rPr>
            <w:color w:val="43525A"/>
            <w:lang w:val="en-GB"/>
          </w:rPr>
          <w:instrText>PAGE   \* MERGEFORMAT</w:instrText>
        </w:r>
        <w:r>
          <w:rPr>
            <w:color w:val="43525A"/>
            <w:lang w:val="en-GB"/>
          </w:rPr>
          <w:fldChar w:fldCharType="separate"/>
        </w:r>
        <w:r w:rsidR="00DC0EA9">
          <w:rPr>
            <w:noProof/>
            <w:color w:val="43525A"/>
            <w:lang w:val="en-GB"/>
          </w:rPr>
          <w:t>12</w:t>
        </w:r>
        <w:r>
          <w:rPr>
            <w:color w:val="43525A"/>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296"/>
      <w:docPartObj>
        <w:docPartGallery w:val="Page Numbers (Bottom of Page)"/>
        <w:docPartUnique/>
      </w:docPartObj>
    </w:sdtPr>
    <w:sdtEndPr>
      <w:rPr>
        <w:color w:val="43525A"/>
      </w:rPr>
    </w:sdtEndPr>
    <w:sdtContent>
      <w:p w14:paraId="4FC9EF92" w14:textId="60AA8058" w:rsidR="005C584B" w:rsidRDefault="005C584B">
        <w:pPr>
          <w:pStyle w:val="llb"/>
          <w:jc w:val="right"/>
          <w:rPr>
            <w:color w:val="43525A"/>
          </w:rPr>
        </w:pPr>
        <w:r>
          <w:rPr>
            <w:color w:val="43525A"/>
            <w:lang w:val="en-GB"/>
          </w:rPr>
          <w:fldChar w:fldCharType="begin"/>
        </w:r>
        <w:r>
          <w:rPr>
            <w:color w:val="43525A"/>
            <w:lang w:val="en-GB"/>
          </w:rPr>
          <w:instrText>PAGE   \* MERGEFORMAT</w:instrText>
        </w:r>
        <w:r>
          <w:rPr>
            <w:color w:val="43525A"/>
            <w:lang w:val="en-GB"/>
          </w:rPr>
          <w:fldChar w:fldCharType="separate"/>
        </w:r>
        <w:r>
          <w:rPr>
            <w:noProof/>
            <w:color w:val="43525A"/>
            <w:lang w:val="en-GB"/>
          </w:rPr>
          <w:t>19</w:t>
        </w:r>
        <w:r>
          <w:rPr>
            <w:color w:val="43525A"/>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9098" w14:textId="77777777" w:rsidR="005C584B" w:rsidRDefault="005C584B" w:rsidP="00D96CED">
    <w:pPr>
      <w:pStyle w:val="llb"/>
      <w:jc w:val="right"/>
    </w:pPr>
  </w:p>
  <w:p w14:paraId="7F540A15" w14:textId="164575CC" w:rsidR="005C584B" w:rsidRDefault="005C584B" w:rsidP="00D96CED">
    <w:pPr>
      <w:pStyle w:val="llb"/>
      <w:tabs>
        <w:tab w:val="clear" w:pos="4536"/>
        <w:tab w:val="clear" w:pos="9072"/>
        <w:tab w:val="right" w:pos="13041"/>
      </w:tabs>
    </w:pPr>
    <w:r>
      <w:rPr>
        <w:lang w:val="en-GB"/>
      </w:rPr>
      <w:tab/>
    </w:r>
    <w:r>
      <w:rPr>
        <w:lang w:val="en-GB"/>
      </w:rPr>
      <w:fldChar w:fldCharType="begin"/>
    </w:r>
    <w:r>
      <w:rPr>
        <w:lang w:val="en-GB"/>
      </w:rPr>
      <w:instrText xml:space="preserve"> PAGE   \* MERGEFORMAT </w:instrText>
    </w:r>
    <w:r>
      <w:rPr>
        <w:lang w:val="en-GB"/>
      </w:rPr>
      <w:fldChar w:fldCharType="separate"/>
    </w:r>
    <w:r w:rsidR="00DC0EA9">
      <w:rPr>
        <w:noProof/>
        <w:lang w:val="en-GB"/>
      </w:rPr>
      <w:t>13</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9996C" w14:textId="77777777" w:rsidR="00383F0D" w:rsidRDefault="00383F0D">
      <w:pPr>
        <w:spacing w:after="0" w:line="240" w:lineRule="auto"/>
      </w:pPr>
      <w:r>
        <w:separator/>
      </w:r>
    </w:p>
  </w:footnote>
  <w:footnote w:type="continuationSeparator" w:id="0">
    <w:p w14:paraId="43B4DDB6" w14:textId="77777777" w:rsidR="00383F0D" w:rsidRDefault="00383F0D">
      <w:pPr>
        <w:spacing w:after="0" w:line="240" w:lineRule="auto"/>
      </w:pPr>
      <w:r>
        <w:continuationSeparator/>
      </w:r>
    </w:p>
  </w:footnote>
  <w:footnote w:type="continuationNotice" w:id="1">
    <w:p w14:paraId="7D8CB313" w14:textId="77777777" w:rsidR="00383F0D" w:rsidRDefault="00383F0D">
      <w:pPr>
        <w:spacing w:after="0" w:line="240" w:lineRule="auto"/>
      </w:pPr>
    </w:p>
  </w:footnote>
  <w:footnote w:id="2">
    <w:p w14:paraId="0FDC4843" w14:textId="693D4732" w:rsidR="005C584B" w:rsidRDefault="005C584B" w:rsidP="00A56D0C">
      <w:pPr>
        <w:pStyle w:val="Lbjegyzetszveg"/>
      </w:pPr>
      <w:r>
        <w:rPr>
          <w:rStyle w:val="Lbjegyzet-hivatkozs"/>
          <w:lang w:val="en-GB"/>
        </w:rPr>
        <w:footnoteRef/>
      </w:r>
      <w:r>
        <w:rPr>
          <w:lang w:val="en-GB"/>
        </w:rPr>
        <w:t xml:space="preserve"> </w:t>
      </w:r>
      <w:r>
        <w:rPr>
          <w:sz w:val="16"/>
          <w:szCs w:val="16"/>
          <w:lang w:val="en-GB"/>
        </w:rPr>
        <w:t>MFCN: Mobile/Fixed Communication</w:t>
      </w:r>
      <w:r>
        <w:rPr>
          <w:sz w:val="16"/>
          <w:szCs w:val="16"/>
          <w:lang w:val="en-GB"/>
        </w:rPr>
        <w:t>s</w:t>
      </w:r>
      <w:r>
        <w:rPr>
          <w:sz w:val="16"/>
          <w:szCs w:val="16"/>
          <w:lang w:val="en-GB"/>
        </w:rPr>
        <w:t xml:space="preserve"> Network</w:t>
      </w:r>
    </w:p>
  </w:footnote>
  <w:footnote w:id="3">
    <w:p w14:paraId="08A44409" w14:textId="3DBB54E3" w:rsidR="005C584B" w:rsidRDefault="005C584B">
      <w:pPr>
        <w:pStyle w:val="Lbjegyzetszveg"/>
      </w:pPr>
      <w:r>
        <w:rPr>
          <w:rStyle w:val="Lbjegyzet-hivatkozs"/>
          <w:lang w:val="en-GB"/>
        </w:rPr>
        <w:footnoteRef/>
      </w:r>
      <w:r>
        <w:rPr>
          <w:lang w:val="en-GB"/>
        </w:rPr>
        <w:t xml:space="preserve"> </w:t>
      </w:r>
      <w:r>
        <w:rPr>
          <w:sz w:val="16"/>
          <w:szCs w:val="16"/>
          <w:lang w:val="en-GB"/>
        </w:rPr>
        <w:t>NR:</w:t>
      </w:r>
      <w:r>
        <w:rPr>
          <w:sz w:val="16"/>
          <w:lang w:val="en-GB"/>
        </w:rPr>
        <w:t xml:space="preserve"> New Radio</w:t>
      </w:r>
      <w:r>
        <w:rPr>
          <w:lang w:val="en-GB"/>
        </w:rPr>
        <w:t xml:space="preserve"> </w:t>
      </w:r>
    </w:p>
  </w:footnote>
  <w:footnote w:id="4">
    <w:p w14:paraId="5D90C42F" w14:textId="371EE67D" w:rsidR="005C584B" w:rsidRPr="00843FE5" w:rsidRDefault="005C584B" w:rsidP="008C63E0">
      <w:pPr>
        <w:pStyle w:val="Lbjegyzetszveg"/>
        <w:rPr>
          <w:sz w:val="16"/>
          <w:szCs w:val="16"/>
        </w:rPr>
      </w:pPr>
      <w:r>
        <w:rPr>
          <w:rStyle w:val="Lbjegyzet-hivatkozs"/>
          <w:lang w:val="en-GB"/>
        </w:rPr>
        <w:footnoteRef/>
      </w:r>
      <w:r>
        <w:rPr>
          <w:lang w:val="en-GB"/>
        </w:rPr>
        <w:t xml:space="preserve"> </w:t>
      </w:r>
      <w:r>
        <w:rPr>
          <w:sz w:val="16"/>
          <w:szCs w:val="16"/>
          <w:lang w:val="en-GB"/>
        </w:rPr>
        <w:t xml:space="preserve">The Authority published a tender notice on 22 October 2008 for the </w:t>
      </w:r>
      <w:r>
        <w:rPr>
          <w:sz w:val="16"/>
          <w:szCs w:val="16"/>
          <w:lang w:val="en-GB"/>
        </w:rPr>
        <w:t xml:space="preserve">entitlements to </w:t>
      </w:r>
      <w:r>
        <w:rPr>
          <w:sz w:val="16"/>
          <w:szCs w:val="16"/>
          <w:lang w:val="en-GB"/>
        </w:rPr>
        <w:t xml:space="preserve">radio spectrum </w:t>
      </w:r>
      <w:r>
        <w:rPr>
          <w:sz w:val="16"/>
          <w:szCs w:val="16"/>
          <w:lang w:val="en-GB"/>
        </w:rPr>
        <w:t xml:space="preserve">use </w:t>
      </w:r>
      <w:r>
        <w:rPr>
          <w:sz w:val="16"/>
          <w:szCs w:val="16"/>
          <w:lang w:val="en-GB"/>
        </w:rPr>
        <w:t>related to microwave radio transmission systems (</w:t>
      </w:r>
      <w:r>
        <w:rPr>
          <w:lang w:val="en-GB"/>
        </w:rPr>
        <w:t>26 GHz)</w:t>
      </w:r>
      <w:r>
        <w:rPr>
          <w:sz w:val="16"/>
          <w:szCs w:val="16"/>
          <w:lang w:val="en-GB"/>
        </w:rPr>
        <w:t xml:space="preserve"> and declared it effective on 30 April 2009.</w:t>
      </w:r>
    </w:p>
  </w:footnote>
  <w:footnote w:id="5">
    <w:p w14:paraId="15C31E63" w14:textId="21BE27A5" w:rsidR="005C584B" w:rsidRPr="00843FE5" w:rsidRDefault="005C584B" w:rsidP="008C63E0">
      <w:pPr>
        <w:pStyle w:val="Lbjegyzetszveg"/>
        <w:rPr>
          <w:sz w:val="16"/>
          <w:szCs w:val="16"/>
        </w:rPr>
      </w:pPr>
      <w:r>
        <w:rPr>
          <w:rStyle w:val="Lbjegyzet-hivatkozs"/>
          <w:lang w:val="en-GB"/>
        </w:rPr>
        <w:footnoteRef/>
      </w:r>
      <w:r>
        <w:rPr>
          <w:sz w:val="16"/>
          <w:szCs w:val="16"/>
          <w:lang w:val="en-GB"/>
        </w:rPr>
        <w:t xml:space="preserve"> The Authority launched an </w:t>
      </w:r>
      <w:r>
        <w:rPr>
          <w:i/>
          <w:iCs/>
          <w:sz w:val="16"/>
          <w:szCs w:val="16"/>
          <w:lang w:val="en-GB"/>
        </w:rPr>
        <w:t xml:space="preserve">ex officio </w:t>
      </w:r>
      <w:r>
        <w:rPr>
          <w:sz w:val="16"/>
          <w:szCs w:val="16"/>
          <w:lang w:val="en-GB"/>
        </w:rPr>
        <w:t xml:space="preserve">tender procedure for the </w:t>
      </w:r>
      <w:r>
        <w:rPr>
          <w:sz w:val="16"/>
          <w:szCs w:val="16"/>
          <w:lang w:val="en-GB"/>
        </w:rPr>
        <w:t xml:space="preserve">entitlements to </w:t>
      </w:r>
      <w:r>
        <w:rPr>
          <w:sz w:val="16"/>
          <w:szCs w:val="16"/>
          <w:lang w:val="en-GB"/>
        </w:rPr>
        <w:t xml:space="preserve">radio spectrum </w:t>
      </w:r>
      <w:r>
        <w:rPr>
          <w:sz w:val="16"/>
          <w:szCs w:val="16"/>
          <w:lang w:val="en-GB"/>
        </w:rPr>
        <w:t xml:space="preserve">use </w:t>
      </w:r>
      <w:r>
        <w:rPr>
          <w:sz w:val="16"/>
          <w:szCs w:val="16"/>
          <w:lang w:val="en-GB"/>
        </w:rPr>
        <w:t>of the basic blocks of the 26 GHz frequency band by means of a notice published on 7 November 2011, which was declared effective by a decision in February 2012.</w:t>
      </w:r>
    </w:p>
  </w:footnote>
  <w:footnote w:id="6">
    <w:p w14:paraId="7971713C" w14:textId="77777777" w:rsidR="005C584B" w:rsidRPr="00843FE5" w:rsidRDefault="005C584B" w:rsidP="008C63E0">
      <w:pPr>
        <w:pStyle w:val="Lbjegyzetszveg"/>
        <w:rPr>
          <w:sz w:val="16"/>
          <w:szCs w:val="16"/>
        </w:rPr>
      </w:pPr>
      <w:r>
        <w:rPr>
          <w:rStyle w:val="Lbjegyzet-hivatkozs"/>
          <w:lang w:val="en-GB"/>
        </w:rPr>
        <w:footnoteRef/>
      </w:r>
      <w:r>
        <w:rPr>
          <w:sz w:val="16"/>
          <w:szCs w:val="16"/>
          <w:lang w:val="en-GB"/>
        </w:rPr>
        <w:t xml:space="preserve"> RSPG: Radio Spectrum Policy Group (The Radio Spectrum Policy Group (RSPG), established by Commission Decision 2002/622/EC of 26 July 2002 establishing a Radio Spectrum Policy Group, is an advisory group dealing with European strategic issues of the radio spectrum.)</w:t>
      </w:r>
    </w:p>
  </w:footnote>
  <w:footnote w:id="7">
    <w:p w14:paraId="41EC8CDE" w14:textId="5F357398" w:rsidR="005C584B" w:rsidRPr="00843FE5" w:rsidRDefault="005C584B" w:rsidP="008C63E0">
      <w:pPr>
        <w:pStyle w:val="Lbjegyzetszveg"/>
        <w:rPr>
          <w:sz w:val="16"/>
          <w:szCs w:val="16"/>
        </w:rPr>
      </w:pPr>
      <w:r>
        <w:rPr>
          <w:rStyle w:val="Lbjegyzet-hivatkozs"/>
          <w:lang w:val="en-GB"/>
        </w:rPr>
        <w:footnoteRef/>
      </w:r>
      <w:r w:rsidRPr="00DC0EA9">
        <w:rPr>
          <w:sz w:val="16"/>
          <w:szCs w:val="16"/>
        </w:rPr>
        <w:t xml:space="preserve"> </w:t>
      </w:r>
      <w:hyperlink r:id="rId1" w:history="1">
        <w:r w:rsidRPr="00DC0EA9">
          <w:rPr>
            <w:rStyle w:val="Hiperhivatkozs"/>
            <w:sz w:val="16"/>
            <w:szCs w:val="16"/>
          </w:rPr>
          <w:t>http://rspg-spectrum.eu/wp-content/uploads/2013/05/RPSG16-032-Opinion_5G.pdf</w:t>
        </w:r>
      </w:hyperlink>
    </w:p>
  </w:footnote>
  <w:footnote w:id="8">
    <w:p w14:paraId="2B0E40E6" w14:textId="77777777" w:rsidR="005C584B" w:rsidRDefault="005C584B" w:rsidP="008C63E0">
      <w:pPr>
        <w:pStyle w:val="Lbjegyzetszveg"/>
        <w:rPr>
          <w:sz w:val="16"/>
          <w:szCs w:val="16"/>
        </w:rPr>
      </w:pPr>
      <w:r>
        <w:rPr>
          <w:rStyle w:val="Lbjegyzet-hivatkozs"/>
          <w:lang w:val="en-GB"/>
        </w:rPr>
        <w:footnoteRef/>
      </w:r>
      <w:r w:rsidRPr="00DC0EA9">
        <w:rPr>
          <w:sz w:val="16"/>
          <w:szCs w:val="16"/>
        </w:rPr>
        <w:t xml:space="preserve"> </w:t>
      </w:r>
      <w:hyperlink r:id="rId2" w:history="1">
        <w:r w:rsidRPr="00DC0EA9">
          <w:rPr>
            <w:rStyle w:val="Hiperhivatkozs"/>
            <w:sz w:val="16"/>
            <w:szCs w:val="16"/>
          </w:rPr>
          <w:t>https://digital-strategy.ec.europa.eu/en/library/radio-spectrum-cept-mandates</w:t>
        </w:r>
      </w:hyperlink>
    </w:p>
    <w:p w14:paraId="72988515" w14:textId="4CD53991" w:rsidR="005C584B" w:rsidRPr="00843FE5" w:rsidRDefault="005C584B" w:rsidP="008C63E0">
      <w:pPr>
        <w:pStyle w:val="Lbjegyzetszveg"/>
        <w:rPr>
          <w:sz w:val="16"/>
          <w:szCs w:val="16"/>
        </w:rPr>
      </w:pPr>
      <w:r>
        <w:rPr>
          <w:sz w:val="16"/>
          <w:szCs w:val="16"/>
          <w:lang w:val="en-GB"/>
        </w:rPr>
        <w:t>Mandate to CEPT to develop harmonised technical conditions for spectrum use in support of the introduction of next-generation (5G) terrestrial wireless systems in the Union</w:t>
      </w:r>
    </w:p>
  </w:footnote>
  <w:footnote w:id="9">
    <w:p w14:paraId="49C4F56A" w14:textId="185B2056" w:rsidR="005C584B" w:rsidRDefault="005C584B" w:rsidP="008C63E0">
      <w:pPr>
        <w:pStyle w:val="Lbjegyzetszveg"/>
      </w:pPr>
      <w:r>
        <w:rPr>
          <w:rStyle w:val="Lbjegyzet-hivatkozs"/>
          <w:lang w:val="en-GB"/>
        </w:rPr>
        <w:footnoteRef/>
      </w:r>
      <w:r w:rsidRPr="00DC0EA9">
        <w:rPr>
          <w:lang w:val="fr-FR"/>
        </w:rPr>
        <w:t xml:space="preserve"> </w:t>
      </w:r>
      <w:r w:rsidRPr="00DC0EA9">
        <w:rPr>
          <w:sz w:val="16"/>
          <w:szCs w:val="16"/>
          <w:lang w:val="fr-FR"/>
        </w:rPr>
        <w:t xml:space="preserve">CEPT: Conférence européenne des Administrations des postes et des télécommunications – </w:t>
      </w:r>
      <w:r w:rsidRPr="00DC0EA9">
        <w:rPr>
          <w:sz w:val="16"/>
          <w:szCs w:val="16"/>
          <w:lang w:val="fr-FR"/>
        </w:rPr>
        <w:t xml:space="preserve">European </w:t>
      </w:r>
      <w:r w:rsidRPr="00DC0EA9">
        <w:rPr>
          <w:sz w:val="16"/>
          <w:szCs w:val="16"/>
          <w:lang w:val="fr-FR"/>
        </w:rPr>
        <w:t>Conference of Postal and Telecommunications Administrations (CEPT)</w:t>
      </w:r>
    </w:p>
  </w:footnote>
  <w:footnote w:id="10">
    <w:p w14:paraId="2407C597" w14:textId="77777777" w:rsidR="005C584B" w:rsidRPr="00623312" w:rsidRDefault="005C584B" w:rsidP="008C63E0">
      <w:pPr>
        <w:pStyle w:val="Lbjegyzetszveg"/>
        <w:rPr>
          <w:sz w:val="16"/>
          <w:szCs w:val="16"/>
        </w:rPr>
      </w:pPr>
      <w:r>
        <w:rPr>
          <w:rStyle w:val="Lbjegyzet-hivatkozs"/>
          <w:lang w:val="en-GB"/>
        </w:rPr>
        <w:footnoteRef/>
      </w:r>
      <w:r>
        <w:rPr>
          <w:sz w:val="16"/>
          <w:szCs w:val="16"/>
          <w:lang w:val="en-GB"/>
        </w:rPr>
        <w:t xml:space="preserve"> Directive (EU) 2018/1972 of the European Parliament and of the Council of 11 December 2018 establishing the European Electronic Communications Code (OJ L 321, 17.12.2018, p. 36).</w:t>
      </w:r>
    </w:p>
  </w:footnote>
  <w:footnote w:id="11">
    <w:p w14:paraId="593402C7" w14:textId="0C68E013" w:rsidR="005C584B" w:rsidRDefault="005C584B" w:rsidP="008C63E0">
      <w:pPr>
        <w:pStyle w:val="Lbjegyzetszveg"/>
      </w:pPr>
      <w:r>
        <w:rPr>
          <w:rStyle w:val="Lbjegyzet-hivatkozs"/>
          <w:lang w:val="en-GB"/>
        </w:rPr>
        <w:footnoteRef/>
      </w:r>
      <w:r>
        <w:rPr>
          <w:lang w:val="en-GB"/>
        </w:rPr>
        <w:t xml:space="preserve"> </w:t>
      </w:r>
      <w:r>
        <w:rPr>
          <w:sz w:val="16"/>
          <w:szCs w:val="16"/>
          <w:lang w:val="en-GB"/>
        </w:rPr>
        <w:t>(EU)</w:t>
      </w:r>
      <w:r>
        <w:rPr>
          <w:sz w:val="16"/>
          <w:szCs w:val="16"/>
          <w:lang w:val="en-GB"/>
        </w:rPr>
        <w:t xml:space="preserve"> </w:t>
      </w:r>
      <w:r>
        <w:rPr>
          <w:sz w:val="16"/>
          <w:szCs w:val="16"/>
          <w:lang w:val="en-GB"/>
        </w:rPr>
        <w:t>2019/784: Commission Implementing Decision (EU) 2019/784 of 14 May 2019 on harmonisation of the 24</w:t>
      </w:r>
      <w:r>
        <w:rPr>
          <w:sz w:val="16"/>
          <w:szCs w:val="16"/>
          <w:lang w:val="en-GB"/>
        </w:rPr>
        <w:t>,</w:t>
      </w:r>
      <w:r>
        <w:rPr>
          <w:sz w:val="16"/>
          <w:szCs w:val="16"/>
          <w:lang w:val="en-GB"/>
        </w:rPr>
        <w:t>25-27</w:t>
      </w:r>
      <w:r>
        <w:rPr>
          <w:sz w:val="16"/>
          <w:szCs w:val="16"/>
          <w:lang w:val="en-GB"/>
        </w:rPr>
        <w:t>,</w:t>
      </w:r>
      <w:r>
        <w:rPr>
          <w:sz w:val="16"/>
          <w:szCs w:val="16"/>
          <w:lang w:val="en-GB"/>
        </w:rPr>
        <w:t>5 GHz frequency band for terrestrial systems capable of providing wireless broadband electronic communications services in the Union</w:t>
      </w:r>
    </w:p>
  </w:footnote>
  <w:footnote w:id="12">
    <w:p w14:paraId="5CDB0808" w14:textId="2C77BA49" w:rsidR="005C584B" w:rsidRDefault="005C584B">
      <w:pPr>
        <w:pStyle w:val="Lbjegyzetszveg"/>
      </w:pPr>
      <w:r>
        <w:rPr>
          <w:rStyle w:val="Lbjegyzet-hivatkozs"/>
          <w:lang w:val="en-GB"/>
        </w:rPr>
        <w:footnoteRef/>
      </w:r>
      <w:r>
        <w:rPr>
          <w:lang w:val="en-GB"/>
        </w:rPr>
        <w:t xml:space="preserve"> </w:t>
      </w:r>
      <w:r>
        <w:rPr>
          <w:sz w:val="16"/>
          <w:szCs w:val="16"/>
          <w:lang w:val="en-GB"/>
        </w:rPr>
        <w:t xml:space="preserve">BEM: Block Edge Mask </w:t>
      </w:r>
    </w:p>
  </w:footnote>
  <w:footnote w:id="13">
    <w:p w14:paraId="3B5B6CBA" w14:textId="05DEB246" w:rsidR="005C584B" w:rsidRPr="009B7B3F" w:rsidRDefault="005C584B" w:rsidP="008C63E0">
      <w:pPr>
        <w:pStyle w:val="Default"/>
        <w:rPr>
          <w:rFonts w:ascii="Arial" w:hAnsi="Arial" w:cs="Arial"/>
          <w:sz w:val="16"/>
          <w:szCs w:val="16"/>
        </w:rPr>
      </w:pPr>
      <w:r>
        <w:rPr>
          <w:rStyle w:val="Lbjegyzet-hivatkozs"/>
          <w:rFonts w:ascii="Arial" w:hAnsi="Arial" w:cs="Arial"/>
          <w:sz w:val="20"/>
          <w:szCs w:val="20"/>
          <w:lang w:val="en-GB"/>
        </w:rPr>
        <w:footnoteRef/>
      </w:r>
      <w:r>
        <w:rPr>
          <w:rFonts w:ascii="Arial" w:hAnsi="Arial" w:cs="Arial"/>
          <w:sz w:val="16"/>
          <w:szCs w:val="16"/>
          <w:lang w:val="en-GB"/>
        </w:rPr>
        <w:t xml:space="preserve"> (EU)</w:t>
      </w:r>
      <w:r>
        <w:rPr>
          <w:rFonts w:ascii="Arial" w:hAnsi="Arial" w:cs="Arial"/>
          <w:sz w:val="16"/>
          <w:szCs w:val="16"/>
          <w:lang w:val="en-GB"/>
        </w:rPr>
        <w:t xml:space="preserve"> </w:t>
      </w:r>
      <w:r>
        <w:rPr>
          <w:rFonts w:ascii="Arial" w:hAnsi="Arial" w:cs="Arial"/>
          <w:sz w:val="16"/>
          <w:szCs w:val="16"/>
          <w:lang w:val="en-GB"/>
        </w:rPr>
        <w:t>2020/590: amending Decision (EU) 2019/784 as regards an update of relevant technical conditions applicable to the 24</w:t>
      </w:r>
      <w:r>
        <w:rPr>
          <w:rFonts w:ascii="Arial" w:hAnsi="Arial" w:cs="Arial"/>
          <w:sz w:val="16"/>
          <w:szCs w:val="16"/>
          <w:lang w:val="en-GB"/>
        </w:rPr>
        <w:t>,</w:t>
      </w:r>
      <w:r>
        <w:rPr>
          <w:rFonts w:ascii="Arial" w:hAnsi="Arial" w:cs="Arial"/>
          <w:sz w:val="16"/>
          <w:szCs w:val="16"/>
          <w:lang w:val="en-GB"/>
        </w:rPr>
        <w:t>25–27</w:t>
      </w:r>
      <w:r>
        <w:rPr>
          <w:rFonts w:ascii="Arial" w:hAnsi="Arial" w:cs="Arial"/>
          <w:sz w:val="16"/>
          <w:szCs w:val="16"/>
          <w:lang w:val="en-GB"/>
        </w:rPr>
        <w:t>,</w:t>
      </w:r>
      <w:r>
        <w:rPr>
          <w:rFonts w:ascii="Arial" w:hAnsi="Arial" w:cs="Arial"/>
          <w:sz w:val="16"/>
          <w:szCs w:val="16"/>
          <w:lang w:val="en-GB"/>
        </w:rPr>
        <w:t>5 GHz frequency band</w:t>
      </w:r>
    </w:p>
  </w:footnote>
  <w:footnote w:id="14">
    <w:p w14:paraId="595DAFEE" w14:textId="71FAE174" w:rsidR="005C584B" w:rsidRDefault="005C584B">
      <w:pPr>
        <w:pStyle w:val="Lbjegyzetszveg"/>
      </w:pPr>
      <w:r>
        <w:rPr>
          <w:rStyle w:val="Lbjegyzet-hivatkozs"/>
          <w:lang w:val="en-GB"/>
        </w:rPr>
        <w:footnoteRef/>
      </w:r>
      <w:r w:rsidRPr="00DC0EA9">
        <w:t xml:space="preserve"> </w:t>
      </w:r>
      <w:hyperlink r:id="rId3" w:history="1">
        <w:r w:rsidRPr="00DC0EA9">
          <w:rPr>
            <w:rStyle w:val="Hiperhivatkozs"/>
            <w:sz w:val="16"/>
            <w:szCs w:val="16"/>
          </w:rPr>
          <w:t>http://rspg-spectrum.eu/wp-content/uploads/2013/05/RPSG16-032-Opinion_5G.pdf</w:t>
        </w:r>
      </w:hyperlink>
    </w:p>
  </w:footnote>
  <w:footnote w:id="15">
    <w:p w14:paraId="415D9B02" w14:textId="77777777" w:rsidR="005C584B" w:rsidRDefault="005C584B" w:rsidP="00211DC1">
      <w:pPr>
        <w:pStyle w:val="Lbjegyzetszveg"/>
      </w:pPr>
      <w:r>
        <w:rPr>
          <w:rStyle w:val="Lbjegyzet-hivatkozs"/>
          <w:lang w:val="en-GB"/>
        </w:rPr>
        <w:footnoteRef/>
      </w:r>
      <w:r w:rsidRPr="006D3385">
        <w:t xml:space="preserve"> </w:t>
      </w:r>
      <w:hyperlink r:id="rId4" w:history="1">
        <w:r w:rsidRPr="006D3385">
          <w:rPr>
            <w:rStyle w:val="Hiperhivatkozs"/>
            <w:sz w:val="16"/>
            <w:szCs w:val="16"/>
          </w:rPr>
          <w:t>https://digital-strategy.ec.europa.eu/en/library/radio-spectrum-cept-mandates</w:t>
        </w:r>
      </w:hyperlink>
    </w:p>
  </w:footnote>
  <w:footnote w:id="16">
    <w:p w14:paraId="594DBD38" w14:textId="77777777" w:rsidR="005C584B" w:rsidRDefault="005C584B" w:rsidP="00211DC1">
      <w:pPr>
        <w:pStyle w:val="Lbjegyzetszveg"/>
      </w:pPr>
      <w:r>
        <w:rPr>
          <w:rStyle w:val="Lbjegyzet-hivatkozs"/>
          <w:lang w:val="en-GB"/>
        </w:rPr>
        <w:footnoteRef/>
      </w:r>
      <w:r>
        <w:rPr>
          <w:lang w:val="en-GB"/>
        </w:rPr>
        <w:t xml:space="preserve"> </w:t>
      </w:r>
      <w:r w:rsidRPr="00511D28">
        <w:rPr>
          <w:sz w:val="16"/>
          <w:szCs w:val="16"/>
          <w:lang w:val="en-GB"/>
        </w:rPr>
        <w:t xml:space="preserve">European </w:t>
      </w:r>
      <w:r w:rsidRPr="00511D28">
        <w:rPr>
          <w:color w:val="000000"/>
          <w:sz w:val="16"/>
          <w:szCs w:val="16"/>
          <w:lang w:val="en-GB"/>
        </w:rPr>
        <w:t>Co</w:t>
      </w:r>
      <w:r>
        <w:rPr>
          <w:color w:val="000000"/>
          <w:sz w:val="16"/>
          <w:szCs w:val="16"/>
          <w:lang w:val="en-GB"/>
        </w:rPr>
        <w:t>nference of Postal and Telecommunications Administrations (CEPT),</w:t>
      </w:r>
      <w:r>
        <w:rPr>
          <w:lang w:val="en-GB"/>
        </w:rPr>
        <w:t xml:space="preserve"> </w:t>
      </w:r>
    </w:p>
  </w:footnote>
  <w:footnote w:id="17">
    <w:p w14:paraId="30913DF3" w14:textId="60503331" w:rsidR="005C584B" w:rsidRDefault="005C584B" w:rsidP="008C63E0">
      <w:pPr>
        <w:pStyle w:val="Lbjegyzetszveg"/>
      </w:pPr>
      <w:r>
        <w:rPr>
          <w:rStyle w:val="Lbjegyzet-hivatkozs"/>
          <w:lang w:val="en-GB"/>
        </w:rPr>
        <w:footnoteRef/>
      </w:r>
      <w:r>
        <w:rPr>
          <w:lang w:val="en-GB"/>
        </w:rPr>
        <w:t xml:space="preserve"> </w:t>
      </w:r>
      <w:r>
        <w:rPr>
          <w:sz w:val="16"/>
          <w:szCs w:val="16"/>
          <w:lang w:val="en-GB"/>
        </w:rPr>
        <w:t xml:space="preserve">A separate band </w:t>
      </w:r>
      <w:r w:rsidRPr="00511D28">
        <w:rPr>
          <w:bCs/>
          <w:sz w:val="16"/>
          <w:szCs w:val="16"/>
          <w:lang w:val="en-GB"/>
        </w:rPr>
        <w:t>description</w:t>
      </w:r>
      <w:r w:rsidRPr="00511D28">
        <w:rPr>
          <w:sz w:val="16"/>
          <w:szCs w:val="16"/>
          <w:lang w:val="en-GB"/>
        </w:rPr>
        <w:t xml:space="preserve"> </w:t>
      </w:r>
      <w:r>
        <w:rPr>
          <w:sz w:val="16"/>
          <w:szCs w:val="16"/>
          <w:lang w:val="en-GB"/>
        </w:rPr>
        <w:t>has been prepared for the 32 GHz frequency band, where a detailed description can be found.</w:t>
      </w:r>
    </w:p>
  </w:footnote>
  <w:footnote w:id="18">
    <w:p w14:paraId="4F025C1B" w14:textId="77777777" w:rsidR="005C584B" w:rsidRDefault="005C584B" w:rsidP="008C63E0">
      <w:pPr>
        <w:pStyle w:val="Lbjegyzetszveg"/>
      </w:pPr>
      <w:r>
        <w:rPr>
          <w:rStyle w:val="Lbjegyzet-hivatkozs"/>
          <w:lang w:val="en-GB"/>
        </w:rPr>
        <w:footnoteRef/>
      </w:r>
      <w:hyperlink r:id="rId5" w:history="1">
        <w:r w:rsidRPr="00DC0EA9">
          <w:rPr>
            <w:rStyle w:val="Hiperhivatkozs"/>
            <w:sz w:val="16"/>
            <w:szCs w:val="16"/>
          </w:rPr>
          <w:t>http://nmhh.hu/esemeny/207926/Nyilvanos_meghallgatas_a_mobil_halozatok_uzemeltetesere_alkalmas_frekvenciasavok_hasznositasaval_kapcsolatos_szakmai_kerdesekre</w:t>
        </w:r>
      </w:hyperlink>
      <w:r w:rsidRPr="00DC0EA9">
        <w:rPr>
          <w:sz w:val="16"/>
          <w:szCs w:val="16"/>
        </w:rPr>
        <w:t xml:space="preserve"> </w:t>
      </w:r>
    </w:p>
  </w:footnote>
  <w:footnote w:id="19">
    <w:p w14:paraId="289466EE" w14:textId="4379887E" w:rsidR="005C584B" w:rsidRDefault="005C584B" w:rsidP="008C63E0">
      <w:pPr>
        <w:pStyle w:val="Lbjegyzetszveg"/>
        <w:rPr>
          <w:sz w:val="16"/>
        </w:rPr>
      </w:pPr>
      <w:r>
        <w:rPr>
          <w:rStyle w:val="Lbjegyzet-hivatkozs"/>
          <w:lang w:val="en-GB"/>
        </w:rPr>
        <w:footnoteRef/>
      </w:r>
      <w:hyperlink r:id="rId6" w:history="1">
        <w:r w:rsidRPr="00DC0EA9">
          <w:rPr>
            <w:rStyle w:val="Hiperhivatkozs"/>
            <w:sz w:val="16"/>
          </w:rPr>
          <w:t>https://nmhh.hu/esemeny/207926/Nyilvanos_meghallgatas_a_mobil_halozatok_uzemeltetesere_alkalmas_frekvenciasavok_hasznositasaval_kapcsolatos_szakmai_kerdesekre</w:t>
        </w:r>
      </w:hyperlink>
    </w:p>
    <w:p w14:paraId="7292ADFB" w14:textId="77777777" w:rsidR="005C584B" w:rsidRPr="005A7EBE" w:rsidRDefault="005C584B" w:rsidP="008C63E0">
      <w:pPr>
        <w:pStyle w:val="Lbjegyzetszveg"/>
        <w:rPr>
          <w:rStyle w:val="Lbjegyzet-hivatkozs"/>
        </w:rPr>
      </w:pPr>
    </w:p>
  </w:footnote>
  <w:footnote w:id="20">
    <w:p w14:paraId="152C1A5F" w14:textId="53A93937" w:rsidR="005C584B" w:rsidRPr="006E5C5B" w:rsidRDefault="005C584B">
      <w:pPr>
        <w:pStyle w:val="Lbjegyzetszveg"/>
        <w:rPr>
          <w:rStyle w:val="Lbjegyzet-hivatkozs"/>
          <w:sz w:val="16"/>
          <w:vertAlign w:val="baseline"/>
        </w:rPr>
      </w:pPr>
      <w:r>
        <w:rPr>
          <w:rStyle w:val="Lbjegyzet-hivatkozs"/>
          <w:lang w:val="en-GB"/>
        </w:rPr>
        <w:footnoteRef/>
      </w:r>
      <w:r>
        <w:rPr>
          <w:sz w:val="16"/>
        </w:rPr>
        <w:t xml:space="preserve"> </w:t>
      </w:r>
      <w:r w:rsidRPr="00DC0EA9">
        <w:rPr>
          <w:rStyle w:val="Lbjegyzet-hivatkozs"/>
          <w:sz w:val="16"/>
          <w:vertAlign w:val="baseline"/>
        </w:rPr>
        <w:t>Procedure under Directive (EU) 2015/1535, procedure for notification of draft legislation with technical content</w:t>
      </w:r>
    </w:p>
  </w:footnote>
  <w:footnote w:id="21">
    <w:p w14:paraId="3FF20215" w14:textId="08FA5A40" w:rsidR="005C584B" w:rsidRDefault="005C584B" w:rsidP="009D03D9">
      <w:pPr>
        <w:pStyle w:val="Lbjegyzetszveg"/>
      </w:pPr>
      <w:r>
        <w:rPr>
          <w:rStyle w:val="Lbjegyzet-hivatkozs"/>
          <w:lang w:val="en-GB"/>
        </w:rPr>
        <w:footnoteRef/>
      </w:r>
      <w:r>
        <w:rPr>
          <w:lang w:val="en-GB"/>
        </w:rPr>
        <w:t xml:space="preserve"> </w:t>
      </w:r>
      <w:r>
        <w:rPr>
          <w:sz w:val="16"/>
          <w:szCs w:val="16"/>
          <w:lang w:val="en-GB"/>
        </w:rPr>
        <w:t>RR:</w:t>
      </w:r>
      <w:r>
        <w:rPr>
          <w:lang w:val="en-GB"/>
        </w:rPr>
        <w:t xml:space="preserve"> </w:t>
      </w:r>
      <w:r>
        <w:rPr>
          <w:sz w:val="16"/>
          <w:szCs w:val="16"/>
          <w:lang w:val="en-GB"/>
        </w:rPr>
        <w:t xml:space="preserve">Radio Regulations </w:t>
      </w:r>
    </w:p>
  </w:footnote>
  <w:footnote w:id="22">
    <w:p w14:paraId="49CB26A1" w14:textId="77777777" w:rsidR="005C584B" w:rsidRDefault="005C584B" w:rsidP="00E11A68">
      <w:pPr>
        <w:pStyle w:val="Lbjegyzetszveg"/>
      </w:pPr>
      <w:r>
        <w:rPr>
          <w:rStyle w:val="Lbjegyzet-hivatkozs"/>
          <w:lang w:val="en-GB"/>
        </w:rPr>
        <w:footnoteRef/>
      </w:r>
      <w:r>
        <w:rPr>
          <w:lang w:val="en-GB"/>
        </w:rPr>
        <w:t xml:space="preserve"> </w:t>
      </w:r>
      <w:r>
        <w:rPr>
          <w:sz w:val="16"/>
          <w:szCs w:val="16"/>
          <w:lang w:val="en-GB"/>
        </w:rPr>
        <w:t>Electronic Communications Act: Act C of 2003 on Electronic Communications</w:t>
      </w:r>
    </w:p>
  </w:footnote>
  <w:footnote w:id="23">
    <w:p w14:paraId="603D7A3F" w14:textId="77777777" w:rsidR="005C584B" w:rsidRDefault="005C584B" w:rsidP="008C63E0">
      <w:pPr>
        <w:pStyle w:val="Lbjegyzetszveg"/>
      </w:pPr>
      <w:r>
        <w:rPr>
          <w:rStyle w:val="Lbjegyzet-hivatkozs"/>
          <w:lang w:val="en-GB"/>
        </w:rPr>
        <w:footnoteRef/>
      </w:r>
      <w:r>
        <w:rPr>
          <w:lang w:val="en-GB"/>
        </w:rPr>
        <w:t xml:space="preserve"> </w:t>
      </w:r>
      <w:r>
        <w:rPr>
          <w:sz w:val="16"/>
          <w:szCs w:val="16"/>
          <w:lang w:val="en-GB"/>
        </w:rPr>
        <w:t>ITU:</w:t>
      </w:r>
      <w:r>
        <w:rPr>
          <w:lang w:val="en-GB"/>
        </w:rPr>
        <w:t xml:space="preserve"> </w:t>
      </w:r>
      <w:r>
        <w:rPr>
          <w:sz w:val="16"/>
          <w:szCs w:val="16"/>
          <w:lang w:val="en-GB"/>
        </w:rPr>
        <w:t>International Telecommunications Union</w:t>
      </w:r>
    </w:p>
  </w:footnote>
  <w:footnote w:id="24">
    <w:p w14:paraId="3D577D6E" w14:textId="77777777" w:rsidR="005C584B" w:rsidRPr="00EA6166" w:rsidRDefault="005C584B" w:rsidP="008C63E0">
      <w:pPr>
        <w:pStyle w:val="Lbjegyzetszveg"/>
        <w:rPr>
          <w:sz w:val="16"/>
          <w:szCs w:val="16"/>
        </w:rPr>
      </w:pPr>
      <w:r>
        <w:rPr>
          <w:rStyle w:val="Lbjegyzet-hivatkozs"/>
          <w:lang w:val="en-GB"/>
        </w:rPr>
        <w:footnoteRef/>
      </w:r>
      <w:r>
        <w:rPr>
          <w:lang w:val="en-GB"/>
        </w:rPr>
        <w:t xml:space="preserve"> </w:t>
      </w:r>
      <w:r>
        <w:rPr>
          <w:sz w:val="16"/>
          <w:szCs w:val="16"/>
          <w:lang w:val="en-GB"/>
        </w:rPr>
        <w:t>IMT:</w:t>
      </w:r>
      <w:r>
        <w:rPr>
          <w:lang w:val="en-GB"/>
        </w:rPr>
        <w:t xml:space="preserve"> </w:t>
      </w:r>
      <w:r>
        <w:rPr>
          <w:sz w:val="16"/>
          <w:szCs w:val="16"/>
          <w:lang w:val="en-GB"/>
        </w:rPr>
        <w:t>International Mobile Telecommunications</w:t>
      </w:r>
    </w:p>
  </w:footnote>
  <w:footnote w:id="25">
    <w:p w14:paraId="6073AE04" w14:textId="77777777" w:rsidR="005C584B" w:rsidRDefault="005C584B" w:rsidP="008C63E0">
      <w:pPr>
        <w:pStyle w:val="Lbjegyzetszveg"/>
      </w:pPr>
      <w:r>
        <w:rPr>
          <w:rStyle w:val="Lbjegyzet-hivatkozs"/>
          <w:lang w:val="en-GB"/>
        </w:rPr>
        <w:footnoteRef/>
      </w:r>
      <w:r>
        <w:rPr>
          <w:lang w:val="en-GB"/>
        </w:rPr>
        <w:t xml:space="preserve"> </w:t>
      </w:r>
      <w:r>
        <w:rPr>
          <w:sz w:val="16"/>
          <w:szCs w:val="16"/>
          <w:lang w:val="en-GB"/>
        </w:rPr>
        <w:t>T/R 13-02: Preferred channel arrangements for fixed service systems in the frequency range 22.0 - 29.5 GHz</w:t>
      </w:r>
    </w:p>
  </w:footnote>
  <w:footnote w:id="26">
    <w:p w14:paraId="50E7AD1D" w14:textId="77777777" w:rsidR="005C584B" w:rsidRDefault="005C584B" w:rsidP="008C63E0">
      <w:pPr>
        <w:pStyle w:val="Lbjegyzetszveg"/>
      </w:pPr>
      <w:r>
        <w:rPr>
          <w:rStyle w:val="Lbjegyzet-hivatkozs"/>
          <w:lang w:val="en-GB"/>
        </w:rPr>
        <w:footnoteRef/>
      </w:r>
      <w:r>
        <w:rPr>
          <w:lang w:val="en-GB"/>
        </w:rPr>
        <w:t xml:space="preserve"> </w:t>
      </w:r>
      <w:r>
        <w:rPr>
          <w:sz w:val="16"/>
          <w:szCs w:val="16"/>
          <w:lang w:val="en-GB"/>
        </w:rPr>
        <w:t>ECC/REC/(11)01: Guidelines for assignment of frequency blocks for fixed wireless systems in the bands 24.5-26.5 GHz, 27.5-29.5 GHz and 31.8-33.4 GHz</w:t>
      </w:r>
    </w:p>
  </w:footnote>
  <w:footnote w:id="27">
    <w:p w14:paraId="7D900F81" w14:textId="0845A014" w:rsidR="005C584B" w:rsidRDefault="005C584B" w:rsidP="008C63E0">
      <w:pPr>
        <w:pStyle w:val="Lbjegyzetszveg"/>
      </w:pPr>
      <w:r>
        <w:rPr>
          <w:rStyle w:val="Lbjegyzet-hivatkozs"/>
          <w:lang w:val="en-GB"/>
        </w:rPr>
        <w:footnoteRef/>
      </w:r>
      <w:r w:rsidRPr="00DC0EA9">
        <w:t xml:space="preserve"> </w:t>
      </w:r>
      <w:hyperlink r:id="rId7" w:history="1">
        <w:r w:rsidRPr="00DC0EA9">
          <w:rPr>
            <w:rStyle w:val="Hiperhivatkozs"/>
            <w:sz w:val="16"/>
            <w:szCs w:val="16"/>
          </w:rPr>
          <w:t>https://digital-strategy.ec.europa.eu/en/library/radio-spectrum-cept-mandates</w:t>
        </w:r>
      </w:hyperlink>
    </w:p>
  </w:footnote>
  <w:footnote w:id="28">
    <w:p w14:paraId="1BFB1C69" w14:textId="77777777" w:rsidR="005C584B" w:rsidRPr="00447C47" w:rsidRDefault="005C584B" w:rsidP="008C63E0">
      <w:pPr>
        <w:pStyle w:val="Lbjegyzetszveg"/>
        <w:rPr>
          <w:rFonts w:cs="Arial"/>
          <w:sz w:val="16"/>
          <w:szCs w:val="16"/>
        </w:rPr>
      </w:pPr>
      <w:r>
        <w:rPr>
          <w:rStyle w:val="Lbjegyzet-hivatkozs"/>
          <w:lang w:val="en-GB"/>
        </w:rPr>
        <w:footnoteRef/>
      </w:r>
      <w:r>
        <w:rPr>
          <w:lang w:val="en-GB"/>
        </w:rPr>
        <w:t xml:space="preserve"> </w:t>
      </w:r>
      <w:r>
        <w:rPr>
          <w:sz w:val="16"/>
          <w:szCs w:val="16"/>
          <w:lang w:val="en-GB"/>
        </w:rPr>
        <w:t>CEPT Report 68:</w:t>
      </w:r>
      <w:r>
        <w:rPr>
          <w:lang w:val="en-GB"/>
        </w:rPr>
        <w:t xml:space="preserve"> </w:t>
      </w:r>
      <w:r>
        <w:rPr>
          <w:sz w:val="16"/>
          <w:szCs w:val="16"/>
          <w:lang w:val="en-GB"/>
        </w:rPr>
        <w:t>Report B from CEPT to the European Commission in response to the Mandate “to develop harmonised technical conditions for spectrum use in support of the introduction of next-generation (5G) terrestrial wireless systems in the Union”: Harmonised technical conditions for the 24.25-27.5 GHz ('26 GHz') frequency band</w:t>
      </w:r>
    </w:p>
  </w:footnote>
  <w:footnote w:id="29">
    <w:p w14:paraId="0B7D99C0" w14:textId="77777777" w:rsidR="005C584B" w:rsidRPr="00447C47" w:rsidRDefault="005C584B" w:rsidP="008C63E0">
      <w:pPr>
        <w:pStyle w:val="Lbjegyzetszveg"/>
        <w:rPr>
          <w:rFonts w:cs="Arial"/>
          <w:sz w:val="16"/>
          <w:szCs w:val="16"/>
        </w:rPr>
      </w:pPr>
      <w:r>
        <w:rPr>
          <w:rFonts w:cs="Arial"/>
          <w:vertAlign w:val="superscript"/>
          <w:lang w:val="en-GB"/>
        </w:rPr>
        <w:footnoteRef/>
      </w:r>
      <w:r>
        <w:rPr>
          <w:rFonts w:cs="Arial"/>
          <w:sz w:val="16"/>
          <w:szCs w:val="16"/>
          <w:lang w:val="en-GB"/>
        </w:rPr>
        <w:t xml:space="preserve"> ECC/DEC/(18)06: Harmonised technical conditions for Mobile/Fixed Communications Networks (MFCN) in the band 24.25-27.5 GHz</w:t>
      </w:r>
    </w:p>
  </w:footnote>
  <w:footnote w:id="30">
    <w:p w14:paraId="58138D3D" w14:textId="77777777" w:rsidR="005C584B" w:rsidRPr="00447C47" w:rsidRDefault="005C584B" w:rsidP="006B5A93">
      <w:pPr>
        <w:pStyle w:val="Lbjegyzetszveg"/>
        <w:rPr>
          <w:rFonts w:cs="Arial"/>
          <w:sz w:val="16"/>
          <w:szCs w:val="16"/>
        </w:rPr>
      </w:pPr>
      <w:r>
        <w:rPr>
          <w:rFonts w:cs="Arial"/>
          <w:vertAlign w:val="superscript"/>
          <w:lang w:val="en-GB"/>
        </w:rPr>
        <w:footnoteRef/>
      </w:r>
      <w:r>
        <w:rPr>
          <w:rFonts w:cs="Arial"/>
          <w:sz w:val="16"/>
          <w:szCs w:val="16"/>
          <w:lang w:val="en-GB"/>
        </w:rPr>
        <w:t xml:space="preserve"> ECC/REC/(19)01: Technical toolkit to support the introduction of 5G while ensuring, in a proportionate way, the use of existing and planned EESS/SRS receiving earth stations in the 26 GHz band and the possibility for future deployment of these earth stations</w:t>
      </w:r>
    </w:p>
  </w:footnote>
  <w:footnote w:id="31">
    <w:p w14:paraId="58F2D772" w14:textId="77777777" w:rsidR="005C584B" w:rsidRPr="00600C50" w:rsidRDefault="005C584B" w:rsidP="008256C0">
      <w:pPr>
        <w:pStyle w:val="Lbjegyzetszveg"/>
        <w:rPr>
          <w:sz w:val="16"/>
          <w:szCs w:val="16"/>
        </w:rPr>
      </w:pPr>
      <w:r>
        <w:rPr>
          <w:rStyle w:val="Lbjegyzet-hivatkozs"/>
          <w:lang w:val="en-GB"/>
        </w:rPr>
        <w:footnoteRef/>
      </w:r>
      <w:r>
        <w:rPr>
          <w:sz w:val="16"/>
          <w:szCs w:val="16"/>
          <w:lang w:val="en-GB"/>
        </w:rPr>
        <w:t xml:space="preserve"> ECC/REC/(20)01: Guidelines to support the introduction of 5G while ensuring, in a proportionate way, the use of existing and planned FSS transmitting earth stations in the frequency band 24.65-25.25 GHz and the possibility for future deployment of these earth stations</w:t>
      </w:r>
    </w:p>
  </w:footnote>
  <w:footnote w:id="32">
    <w:p w14:paraId="16CEA8A4" w14:textId="77777777" w:rsidR="005C584B" w:rsidRPr="00600C50" w:rsidRDefault="005C584B" w:rsidP="008C63E0">
      <w:pPr>
        <w:pStyle w:val="Lbjegyzetszveg"/>
        <w:rPr>
          <w:sz w:val="16"/>
          <w:szCs w:val="16"/>
        </w:rPr>
      </w:pPr>
      <w:r>
        <w:rPr>
          <w:rStyle w:val="Lbjegyzet-hivatkozs"/>
          <w:lang w:val="en-GB"/>
        </w:rPr>
        <w:footnoteRef/>
      </w:r>
      <w:r>
        <w:rPr>
          <w:sz w:val="16"/>
          <w:szCs w:val="16"/>
          <w:lang w:val="en-GB"/>
        </w:rPr>
        <w:t xml:space="preserve"> ECC Report 303: Guidance to administrations for Coexistence between 5G and Fixed Links in the 26 GHz band ("Toolbox")</w:t>
      </w:r>
    </w:p>
  </w:footnote>
  <w:footnote w:id="33">
    <w:p w14:paraId="11284C49" w14:textId="77777777" w:rsidR="005C584B" w:rsidRPr="00600C50" w:rsidRDefault="005C584B" w:rsidP="008C63E0">
      <w:pPr>
        <w:pStyle w:val="Lbjegyzetszveg"/>
        <w:rPr>
          <w:sz w:val="16"/>
          <w:szCs w:val="16"/>
        </w:rPr>
      </w:pPr>
      <w:r>
        <w:rPr>
          <w:rStyle w:val="Lbjegyzet-hivatkozs"/>
          <w:lang w:val="en-GB"/>
        </w:rPr>
        <w:footnoteRef/>
      </w:r>
      <w:r>
        <w:rPr>
          <w:lang w:val="en-GB"/>
        </w:rPr>
        <w:t xml:space="preserve"> </w:t>
      </w:r>
      <w:r>
        <w:rPr>
          <w:sz w:val="16"/>
          <w:szCs w:val="16"/>
          <w:lang w:val="en-GB"/>
        </w:rPr>
        <w:t>ECC Report 307:</w:t>
      </w:r>
      <w:r>
        <w:rPr>
          <w:lang w:val="en-GB"/>
        </w:rPr>
        <w:t xml:space="preserve"> </w:t>
      </w:r>
      <w:r>
        <w:rPr>
          <w:sz w:val="16"/>
          <w:szCs w:val="16"/>
          <w:lang w:val="en-GB"/>
        </w:rPr>
        <w:t>Toolbox for the most appropriate synchronisation regulatory framework including coexistence of MFCN in 24.25-27.5 GHz in unsynchronised and semi-synchronised mode</w:t>
      </w:r>
    </w:p>
  </w:footnote>
  <w:footnote w:id="34">
    <w:p w14:paraId="07BB46B5" w14:textId="6E2FC279" w:rsidR="005C584B" w:rsidRDefault="005C584B">
      <w:pPr>
        <w:pStyle w:val="Lbjegyzetszveg"/>
      </w:pPr>
      <w:r>
        <w:rPr>
          <w:rStyle w:val="Lbjegyzet-hivatkozs"/>
          <w:lang w:val="en-GB"/>
        </w:rPr>
        <w:footnoteRef/>
      </w:r>
      <w:r>
        <w:rPr>
          <w:lang w:val="en-GB"/>
        </w:rPr>
        <w:t xml:space="preserve"> </w:t>
      </w:r>
      <w:r>
        <w:rPr>
          <w:sz w:val="16"/>
          <w:szCs w:val="16"/>
          <w:lang w:val="en-GB"/>
        </w:rPr>
        <w:t xml:space="preserve">LRTC: Least Restrictive Technical Conditions </w:t>
      </w:r>
    </w:p>
  </w:footnote>
  <w:footnote w:id="35">
    <w:p w14:paraId="5203428B" w14:textId="77777777" w:rsidR="005C584B" w:rsidRDefault="005C584B" w:rsidP="008C63E0">
      <w:pPr>
        <w:pStyle w:val="Lbjegyzetszveg"/>
      </w:pPr>
      <w:r>
        <w:rPr>
          <w:rStyle w:val="Lbjegyzet-hivatkozs"/>
          <w:lang w:val="en-GB"/>
        </w:rPr>
        <w:footnoteRef/>
      </w:r>
      <w:r>
        <w:rPr>
          <w:lang w:val="en-GB"/>
        </w:rPr>
        <w:t xml:space="preserve"> </w:t>
      </w:r>
      <w:r>
        <w:rPr>
          <w:sz w:val="16"/>
          <w:szCs w:val="16"/>
          <w:lang w:val="en-GB"/>
        </w:rPr>
        <w:t>ECC Report 317: Additional work on 26 GHz to address spectrum use under authorisation regimes other than individual rights of use: Technical toolkit to assist administrations</w:t>
      </w:r>
    </w:p>
  </w:footnote>
  <w:footnote w:id="36">
    <w:p w14:paraId="621CA6E9" w14:textId="77777777" w:rsidR="005C584B" w:rsidRDefault="005C584B" w:rsidP="008C63E0">
      <w:pPr>
        <w:pStyle w:val="Lbjegyzetszveg"/>
      </w:pPr>
      <w:r>
        <w:rPr>
          <w:rStyle w:val="Lbjegyzet-hivatkozs"/>
          <w:lang w:val="en-GB"/>
        </w:rPr>
        <w:footnoteRef/>
      </w:r>
      <w:r>
        <w:rPr>
          <w:lang w:val="en-GB"/>
        </w:rPr>
        <w:t xml:space="preserve"> </w:t>
      </w:r>
      <w:r>
        <w:rPr>
          <w:sz w:val="16"/>
          <w:szCs w:val="16"/>
          <w:lang w:val="en-GB"/>
        </w:rPr>
        <w:t>ECC Report 132: Light licensing, licence-exempt and commons</w:t>
      </w:r>
    </w:p>
  </w:footnote>
  <w:footnote w:id="37">
    <w:p w14:paraId="4E5C7B4A" w14:textId="7A71DE44" w:rsidR="005C584B" w:rsidRPr="00843FE5" w:rsidRDefault="005C584B" w:rsidP="008C63E0">
      <w:pPr>
        <w:pStyle w:val="Lbjegyzetszveg"/>
        <w:rPr>
          <w:sz w:val="16"/>
          <w:szCs w:val="16"/>
        </w:rPr>
      </w:pPr>
      <w:r>
        <w:rPr>
          <w:rStyle w:val="Lbjegyzet-hivatkozs"/>
          <w:lang w:val="en-GB"/>
        </w:rPr>
        <w:footnoteRef/>
      </w:r>
      <w:r w:rsidRPr="00DC0EA9">
        <w:t xml:space="preserve"> </w:t>
      </w:r>
      <w:hyperlink r:id="rId8" w:history="1">
        <w:r w:rsidRPr="00DC0EA9">
          <w:rPr>
            <w:rStyle w:val="Hiperhivatkozs"/>
            <w:sz w:val="16"/>
            <w:szCs w:val="16"/>
          </w:rPr>
          <w:t>http://rspg-spectrum.eu/wp-content/uploads/2013/05/RPSG16-032-Opinion_5G.pdf</w:t>
        </w:r>
      </w:hyperlink>
    </w:p>
  </w:footnote>
  <w:footnote w:id="38">
    <w:p w14:paraId="2C77C16E" w14:textId="77777777" w:rsidR="005C584B" w:rsidRDefault="005C584B" w:rsidP="008C63E0">
      <w:pPr>
        <w:pStyle w:val="Lbjegyzetszveg"/>
      </w:pPr>
      <w:r>
        <w:rPr>
          <w:rStyle w:val="Lbjegyzet-hivatkozs"/>
          <w:lang w:val="en-GB"/>
        </w:rPr>
        <w:footnoteRef/>
      </w:r>
      <w:r>
        <w:rPr>
          <w:lang w:val="en-GB"/>
        </w:rPr>
        <w:t xml:space="preserve"> </w:t>
      </w:r>
      <w:r>
        <w:rPr>
          <w:sz w:val="16"/>
          <w:szCs w:val="16"/>
          <w:lang w:val="en-GB"/>
        </w:rPr>
        <w:t>CEPT Report 68: Report B from CEPT to the European Commission in response to the Mandate “to develop harmonised technical conditions for spectrum use in support of the introduction of next-generation (5G) terrestrial wireless systems in the Union” Harmonised technical conditions for the 24.25-27.5 GHz ('26 GHz') frequency band</w:t>
      </w:r>
    </w:p>
  </w:footnote>
  <w:footnote w:id="39">
    <w:p w14:paraId="0944694A" w14:textId="4961E05B" w:rsidR="005C584B" w:rsidRPr="002C4E23" w:rsidRDefault="005C584B" w:rsidP="008C63E0">
      <w:pPr>
        <w:pStyle w:val="doc-ti"/>
        <w:shd w:val="clear" w:color="auto" w:fill="FFFFFF"/>
        <w:spacing w:before="0" w:beforeAutospacing="0" w:after="120" w:afterAutospacing="0"/>
        <w:jc w:val="both"/>
        <w:rPr>
          <w:rFonts w:ascii="Arial" w:hAnsi="Arial"/>
          <w:sz w:val="16"/>
          <w:szCs w:val="16"/>
        </w:rPr>
      </w:pPr>
      <w:r>
        <w:rPr>
          <w:rStyle w:val="Lbjegyzet-hivatkozs"/>
          <w:sz w:val="20"/>
          <w:szCs w:val="20"/>
          <w:lang w:val="en-GB"/>
        </w:rPr>
        <w:footnoteRef/>
      </w:r>
      <w:r>
        <w:rPr>
          <w:lang w:val="en-GB"/>
        </w:rPr>
        <w:t xml:space="preserve"> </w:t>
      </w:r>
      <w:r>
        <w:rPr>
          <w:rFonts w:ascii="Arial" w:hAnsi="Arial"/>
          <w:sz w:val="16"/>
          <w:szCs w:val="16"/>
          <w:lang w:val="en-GB"/>
        </w:rPr>
        <w:t>(EU)</w:t>
      </w:r>
      <w:r>
        <w:rPr>
          <w:rFonts w:ascii="Arial" w:hAnsi="Arial"/>
          <w:sz w:val="16"/>
          <w:szCs w:val="16"/>
          <w:lang w:val="en-GB"/>
        </w:rPr>
        <w:t xml:space="preserve"> </w:t>
      </w:r>
      <w:r>
        <w:rPr>
          <w:rFonts w:ascii="Arial" w:hAnsi="Arial"/>
          <w:sz w:val="16"/>
          <w:szCs w:val="16"/>
          <w:lang w:val="en-GB"/>
        </w:rPr>
        <w:t>2019/784:</w:t>
      </w:r>
      <w:r>
        <w:rPr>
          <w:lang w:val="en-GB"/>
        </w:rPr>
        <w:t xml:space="preserve"> </w:t>
      </w:r>
      <w:r>
        <w:rPr>
          <w:rFonts w:ascii="Arial" w:hAnsi="Arial"/>
          <w:sz w:val="16"/>
          <w:szCs w:val="16"/>
          <w:lang w:val="en-GB"/>
        </w:rPr>
        <w:t>Commission Implementing Decision (EU) 2019/784 of 14 May 2019 on harmonisation of the 24</w:t>
      </w:r>
      <w:r>
        <w:rPr>
          <w:rFonts w:ascii="Arial" w:hAnsi="Arial"/>
          <w:sz w:val="16"/>
          <w:szCs w:val="16"/>
          <w:lang w:val="en-GB"/>
        </w:rPr>
        <w:t>,</w:t>
      </w:r>
      <w:r>
        <w:rPr>
          <w:rFonts w:ascii="Arial" w:hAnsi="Arial"/>
          <w:sz w:val="16"/>
          <w:szCs w:val="16"/>
          <w:lang w:val="en-GB"/>
        </w:rPr>
        <w:t>25-27</w:t>
      </w:r>
      <w:r>
        <w:rPr>
          <w:rFonts w:ascii="Arial" w:hAnsi="Arial"/>
          <w:sz w:val="16"/>
          <w:szCs w:val="16"/>
          <w:lang w:val="en-GB"/>
        </w:rPr>
        <w:t>,</w:t>
      </w:r>
      <w:r>
        <w:rPr>
          <w:rFonts w:ascii="Arial" w:hAnsi="Arial"/>
          <w:sz w:val="16"/>
          <w:szCs w:val="16"/>
          <w:lang w:val="en-GB"/>
        </w:rPr>
        <w:t>5 GHz frequency band for terrestrial systems capable of providing wireless broadband electronic communications services in the Union</w:t>
      </w:r>
    </w:p>
    <w:p w14:paraId="2087E492" w14:textId="77777777" w:rsidR="005C584B" w:rsidRDefault="005C584B" w:rsidP="008C63E0">
      <w:pPr>
        <w:pStyle w:val="Lbjegyzetszveg"/>
      </w:pPr>
    </w:p>
  </w:footnote>
  <w:footnote w:id="40">
    <w:p w14:paraId="4FD21C2A" w14:textId="0AFE145A" w:rsidR="005C584B" w:rsidRDefault="005C584B">
      <w:pPr>
        <w:pStyle w:val="Lbjegyzetszveg"/>
      </w:pPr>
      <w:r>
        <w:rPr>
          <w:rStyle w:val="Lbjegyzet-hivatkozs"/>
          <w:lang w:val="en-GB"/>
        </w:rPr>
        <w:footnoteRef/>
      </w:r>
      <w:r>
        <w:rPr>
          <w:lang w:val="en-GB"/>
        </w:rPr>
        <w:t xml:space="preserve"> </w:t>
      </w:r>
      <w:r>
        <w:rPr>
          <w:sz w:val="16"/>
          <w:szCs w:val="16"/>
          <w:lang w:val="en-GB"/>
        </w:rPr>
        <w:t xml:space="preserve">Directive (EU) 2018/1972 of the European Parliament and of the Council of 11 December 2018 establishing the European Electronic Communications Code (hereinafter referred to as: Code) </w:t>
      </w:r>
    </w:p>
  </w:footnote>
  <w:footnote w:id="41">
    <w:p w14:paraId="7DBF43C9" w14:textId="3EF8561D" w:rsidR="005C584B" w:rsidRPr="006E1262" w:rsidRDefault="005C584B">
      <w:pPr>
        <w:pStyle w:val="Lbjegyzetszveg"/>
        <w:rPr>
          <w:sz w:val="16"/>
          <w:szCs w:val="16"/>
        </w:rPr>
      </w:pPr>
      <w:r>
        <w:rPr>
          <w:rStyle w:val="Lbjegyzet-hivatkozs"/>
          <w:lang w:val="en-GB"/>
        </w:rPr>
        <w:footnoteRef/>
      </w:r>
      <w:r>
        <w:rPr>
          <w:sz w:val="16"/>
          <w:szCs w:val="16"/>
        </w:rPr>
        <w:t xml:space="preserve"> </w:t>
      </w:r>
      <w:r>
        <w:rPr>
          <w:sz w:val="16"/>
          <w:szCs w:val="16"/>
          <w:lang w:val="en-GB"/>
        </w:rPr>
        <w:t>Procedure under Directive (EU) 2015/1535, procedure for notification of draft legislation with technical content</w:t>
      </w:r>
    </w:p>
  </w:footnote>
  <w:footnote w:id="42">
    <w:p w14:paraId="185880B8" w14:textId="3CCBDCF1" w:rsidR="005C584B" w:rsidRPr="00843FE5" w:rsidRDefault="005C584B" w:rsidP="008C63E0">
      <w:pPr>
        <w:pStyle w:val="Lbjegyzetszveg"/>
        <w:rPr>
          <w:sz w:val="16"/>
          <w:szCs w:val="16"/>
        </w:rPr>
      </w:pPr>
      <w:r>
        <w:rPr>
          <w:rStyle w:val="Lbjegyzet-hivatkozs"/>
          <w:sz w:val="16"/>
          <w:szCs w:val="16"/>
          <w:lang w:val="en-GB"/>
        </w:rPr>
        <w:footnoteRef/>
      </w:r>
      <w:r>
        <w:rPr>
          <w:sz w:val="16"/>
          <w:szCs w:val="16"/>
          <w:lang w:val="en-GB"/>
        </w:rPr>
        <w:t xml:space="preserve"> Public NJFA (2016): NATO Joint Civil/Military Frequency Agreement (2014), Extract for Public Disclosure (2016)</w:t>
      </w:r>
    </w:p>
  </w:footnote>
  <w:footnote w:id="43">
    <w:p w14:paraId="07F28C02" w14:textId="6FEF9618" w:rsidR="005C584B" w:rsidRDefault="005C584B">
      <w:pPr>
        <w:pStyle w:val="Lbjegyzetszveg"/>
      </w:pPr>
      <w:r>
        <w:rPr>
          <w:rStyle w:val="Lbjegyzet-hivatkozs"/>
          <w:lang w:val="en-GB"/>
        </w:rPr>
        <w:footnoteRef/>
      </w:r>
      <w:r>
        <w:rPr>
          <w:lang w:val="en-GB"/>
        </w:rPr>
        <w:t xml:space="preserve"> Yettel as of 1 March 2022.</w:t>
      </w:r>
    </w:p>
  </w:footnote>
  <w:footnote w:id="44">
    <w:p w14:paraId="6F132E62" w14:textId="4828E153" w:rsidR="005C584B" w:rsidRDefault="005C584B" w:rsidP="00900816">
      <w:pPr>
        <w:pStyle w:val="Lbjegyzetszveg"/>
      </w:pPr>
      <w:r>
        <w:rPr>
          <w:rStyle w:val="Lbjegyzet-hivatkozs"/>
          <w:lang w:val="en-GB"/>
        </w:rPr>
        <w:footnoteRef/>
      </w:r>
      <w:r>
        <w:rPr>
          <w:lang w:val="en-GB"/>
        </w:rPr>
        <w:t xml:space="preserve"> NJE refers to the military harmonisation </w:t>
      </w:r>
      <w:r>
        <w:rPr>
          <w:lang w:val="en-GB"/>
        </w:rPr>
        <w:t xml:space="preserve">among NATO </w:t>
      </w:r>
      <w:r>
        <w:rPr>
          <w:lang w:val="en-GB"/>
        </w:rPr>
        <w:t>Member States in the NFFF Decree (the current harmonised military band, Annex 2 to the NFFF Decree).</w:t>
      </w:r>
    </w:p>
  </w:footnote>
  <w:footnote w:id="45">
    <w:p w14:paraId="164ED7DB" w14:textId="077BBE58" w:rsidR="005C584B" w:rsidRPr="009A4BEB" w:rsidRDefault="005C584B" w:rsidP="008C63E0">
      <w:pPr>
        <w:pStyle w:val="Lbjegyzetszveg"/>
        <w:rPr>
          <w:sz w:val="16"/>
          <w:szCs w:val="16"/>
        </w:rPr>
      </w:pPr>
      <w:r>
        <w:rPr>
          <w:rStyle w:val="Lbjegyzet-hivatkozs"/>
          <w:lang w:val="en-GB"/>
        </w:rPr>
        <w:footnoteRef/>
      </w:r>
      <w:r>
        <w:rPr>
          <w:lang w:val="en-GB"/>
        </w:rPr>
        <w:t xml:space="preserve"> </w:t>
      </w:r>
      <w:r>
        <w:rPr>
          <w:sz w:val="16"/>
          <w:szCs w:val="16"/>
          <w:lang w:val="en-GB"/>
        </w:rPr>
        <w:t>2005/50/EC</w:t>
      </w:r>
      <w:r>
        <w:rPr>
          <w:sz w:val="16"/>
          <w:szCs w:val="16"/>
          <w:lang w:val="en-GB"/>
        </w:rPr>
        <w:t>:</w:t>
      </w:r>
      <w:r>
        <w:rPr>
          <w:sz w:val="16"/>
          <w:szCs w:val="16"/>
          <w:lang w:val="en-GB"/>
        </w:rPr>
        <w:t xml:space="preserve"> Commission Decision of 17 January 2005 on the harmonisation of the 24 GHz range radio spectrum band for the time-limited use by automotive short-range radar equipment in the Community</w:t>
      </w:r>
    </w:p>
  </w:footnote>
  <w:footnote w:id="46">
    <w:p w14:paraId="69BBAB32" w14:textId="77777777" w:rsidR="005C584B" w:rsidRPr="009A4BEB" w:rsidRDefault="005C584B" w:rsidP="008C63E0">
      <w:pPr>
        <w:pStyle w:val="Lbjegyzetszveg"/>
        <w:rPr>
          <w:sz w:val="16"/>
          <w:szCs w:val="16"/>
        </w:rPr>
      </w:pPr>
      <w:r>
        <w:rPr>
          <w:rStyle w:val="Lbjegyzet-hivatkozs"/>
          <w:lang w:val="en-GB"/>
        </w:rPr>
        <w:footnoteRef/>
      </w:r>
      <w:r>
        <w:rPr>
          <w:lang w:val="en-GB"/>
        </w:rPr>
        <w:t xml:space="preserve"> </w:t>
      </w:r>
      <w:r>
        <w:rPr>
          <w:sz w:val="16"/>
          <w:szCs w:val="16"/>
          <w:lang w:val="en-GB"/>
        </w:rPr>
        <w:t>2011/485/EU: Commission Implementing Decision of 29 July 2011 amending Decision 2005/50/EC on the harmonisation of the 24 GHz range radio spectrum band for the time-limited use by automotive short-range radar equipment in the Community</w:t>
      </w:r>
    </w:p>
  </w:footnote>
  <w:footnote w:id="47">
    <w:p w14:paraId="5FA397AC" w14:textId="77777777" w:rsidR="005C584B" w:rsidRDefault="005C584B" w:rsidP="008C63E0">
      <w:pPr>
        <w:pStyle w:val="Lbjegyzetszveg"/>
      </w:pPr>
      <w:r>
        <w:rPr>
          <w:rStyle w:val="Lbjegyzet-hivatkozs"/>
          <w:lang w:val="en-GB"/>
        </w:rPr>
        <w:footnoteRef/>
      </w:r>
      <w:r>
        <w:rPr>
          <w:lang w:val="en-GB"/>
        </w:rPr>
        <w:t xml:space="preserve"> </w:t>
      </w:r>
      <w:r>
        <w:rPr>
          <w:sz w:val="16"/>
          <w:szCs w:val="16"/>
          <w:lang w:val="en-GB"/>
        </w:rPr>
        <w:t>2007/46/EC:</w:t>
      </w:r>
      <w:r>
        <w:rPr>
          <w:lang w:val="en-GB"/>
        </w:rPr>
        <w:t xml:space="preserve"> </w:t>
      </w:r>
      <w:r>
        <w:rPr>
          <w:sz w:val="16"/>
          <w:szCs w:val="16"/>
          <w:lang w:val="en-GB"/>
        </w:rPr>
        <w:t>Directive 2007/46/EC of the European Parliament and of the Council of 5 September 2007 establishing a framework for the approval of motor vehicles and their trailers, and of systems, components and separate technical units intended for such vehicles</w:t>
      </w:r>
    </w:p>
  </w:footnote>
  <w:footnote w:id="48">
    <w:p w14:paraId="21FE7AA7" w14:textId="77777777" w:rsidR="005C584B" w:rsidRPr="00854C77" w:rsidRDefault="005C584B" w:rsidP="008C63E0">
      <w:pPr>
        <w:pStyle w:val="Lbjegyzetszveg"/>
        <w:rPr>
          <w:sz w:val="16"/>
          <w:szCs w:val="16"/>
        </w:rPr>
      </w:pPr>
      <w:r>
        <w:rPr>
          <w:rStyle w:val="Lbjegyzet-hivatkozs"/>
          <w:lang w:val="en-GB"/>
        </w:rPr>
        <w:footnoteRef/>
      </w:r>
      <w:r>
        <w:rPr>
          <w:lang w:val="en-GB"/>
        </w:rPr>
        <w:t xml:space="preserve"> </w:t>
      </w:r>
      <w:r>
        <w:rPr>
          <w:sz w:val="16"/>
          <w:szCs w:val="16"/>
          <w:lang w:val="en-GB"/>
        </w:rPr>
        <w:t>ECC Report 023:</w:t>
      </w:r>
      <w:r>
        <w:rPr>
          <w:lang w:val="en-GB"/>
        </w:rPr>
        <w:t xml:space="preserve"> </w:t>
      </w:r>
      <w:r>
        <w:rPr>
          <w:sz w:val="16"/>
          <w:szCs w:val="16"/>
          <w:lang w:val="en-GB"/>
        </w:rPr>
        <w:t>Compatibility of automotive collision warning Short Range Radar operating at 24 GHz with FS, EESS and Radio Astronomy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91FE" w14:textId="77777777" w:rsidR="005C584B" w:rsidRDefault="005C584B">
    <w:pPr>
      <w:pStyle w:val="lfej"/>
    </w:pPr>
    <w:r>
      <w:rPr>
        <w:noProof/>
        <w:lang w:eastAsia="hu-HU"/>
      </w:rPr>
      <w:drawing>
        <wp:anchor distT="0" distB="0" distL="114300" distR="114300" simplePos="0" relativeHeight="251664896" behindDoc="0" locked="0" layoutInCell="1" allowOverlap="1" wp14:anchorId="2123D7C0" wp14:editId="7718B57E">
          <wp:simplePos x="0" y="0"/>
          <wp:positionH relativeFrom="margin">
            <wp:posOffset>-883920</wp:posOffset>
          </wp:positionH>
          <wp:positionV relativeFrom="page">
            <wp:posOffset>0</wp:posOffset>
          </wp:positionV>
          <wp:extent cx="7529195" cy="1077595"/>
          <wp:effectExtent l="0" t="0" r="0" b="0"/>
          <wp:wrapTopAndBottom/>
          <wp:docPr id="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4D2" w14:textId="77777777" w:rsidR="005C584B" w:rsidRDefault="005C584B">
    <w:pPr>
      <w:pStyle w:val="lfej"/>
    </w:pPr>
    <w:r>
      <w:rPr>
        <w:noProof/>
        <w:lang w:eastAsia="hu-HU"/>
      </w:rPr>
      <w:drawing>
        <wp:anchor distT="0" distB="0" distL="114300" distR="114300" simplePos="0" relativeHeight="251662848" behindDoc="0" locked="0" layoutInCell="1" allowOverlap="1" wp14:anchorId="09F78D53" wp14:editId="78F56804">
          <wp:simplePos x="0" y="0"/>
          <wp:positionH relativeFrom="margin">
            <wp:posOffset>-883920</wp:posOffset>
          </wp:positionH>
          <wp:positionV relativeFrom="page">
            <wp:posOffset>0</wp:posOffset>
          </wp:positionV>
          <wp:extent cx="7529195" cy="1077595"/>
          <wp:effectExtent l="0" t="0" r="0" b="0"/>
          <wp:wrapTopAndBottom/>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8C8E" w14:textId="77777777" w:rsidR="005C584B" w:rsidRDefault="005C584B">
    <w:pPr>
      <w:pStyle w:val="lfej"/>
    </w:pPr>
    <w:r>
      <w:rPr>
        <w:noProof/>
        <w:lang w:eastAsia="hu-HU"/>
      </w:rPr>
      <w:drawing>
        <wp:anchor distT="0" distB="0" distL="114300" distR="114300" simplePos="0" relativeHeight="251661824" behindDoc="0" locked="0" layoutInCell="1" allowOverlap="1" wp14:anchorId="79A44A80" wp14:editId="2ECB03D1">
          <wp:simplePos x="0" y="0"/>
          <wp:positionH relativeFrom="margin">
            <wp:posOffset>-883920</wp:posOffset>
          </wp:positionH>
          <wp:positionV relativeFrom="page">
            <wp:posOffset>0</wp:posOffset>
          </wp:positionV>
          <wp:extent cx="7529195" cy="1077595"/>
          <wp:effectExtent l="0" t="0" r="0" b="0"/>
          <wp:wrapTopAndBottom/>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24C4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2EF9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E4595"/>
    <w:multiLevelType w:val="hybridMultilevel"/>
    <w:tmpl w:val="62D61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1942B0E"/>
    <w:multiLevelType w:val="hybridMultilevel"/>
    <w:tmpl w:val="DFF8C3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974B35"/>
    <w:multiLevelType w:val="hybridMultilevel"/>
    <w:tmpl w:val="D95C3E6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04B968CA"/>
    <w:multiLevelType w:val="hybridMultilevel"/>
    <w:tmpl w:val="D9EE40D6"/>
    <w:lvl w:ilvl="0" w:tplc="41DE42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3B2316"/>
    <w:multiLevelType w:val="multilevel"/>
    <w:tmpl w:val="EDA6A788"/>
    <w:lvl w:ilvl="0">
      <w:start w:val="1"/>
      <w:numFmt w:val="decimal"/>
      <w:lvlText w:val="%1."/>
      <w:lvlJc w:val="left"/>
      <w:pPr>
        <w:tabs>
          <w:tab w:val="num" w:pos="0"/>
        </w:tabs>
        <w:ind w:left="360" w:hanging="360"/>
      </w:pPr>
      <w:rPr>
        <w:rFonts w:hint="default"/>
        <w:b/>
        <w:i w:val="0"/>
        <w:sz w:val="24"/>
        <w:szCs w:val="20"/>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b w:val="0"/>
        <w:i w:val="0"/>
        <w:sz w:val="24"/>
        <w:szCs w:val="24"/>
      </w:rPr>
    </w:lvl>
    <w:lvl w:ilvl="4">
      <w:start w:val="1"/>
      <w:numFmt w:val="decimal"/>
      <w:lvlText w:val="%1.%2.%3.%4.%5"/>
      <w:lvlJc w:val="left"/>
      <w:pPr>
        <w:tabs>
          <w:tab w:val="num" w:pos="1008"/>
        </w:tabs>
        <w:ind w:left="1008" w:hanging="1008"/>
      </w:pPr>
      <w:rPr>
        <w:rFonts w:hint="default"/>
        <w:b/>
        <w:i w:val="0"/>
        <w:sz w:val="16"/>
        <w:szCs w:val="16"/>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7D0550D"/>
    <w:multiLevelType w:val="hybridMultilevel"/>
    <w:tmpl w:val="28D499A0"/>
    <w:lvl w:ilvl="0" w:tplc="C5D057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8196225"/>
    <w:multiLevelType w:val="hybridMultilevel"/>
    <w:tmpl w:val="F552DE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66163C"/>
    <w:multiLevelType w:val="hybridMultilevel"/>
    <w:tmpl w:val="39C00968"/>
    <w:lvl w:ilvl="0" w:tplc="D870E7E8">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0" w15:restartNumberingAfterBreak="0">
    <w:nsid w:val="0B113445"/>
    <w:multiLevelType w:val="multilevel"/>
    <w:tmpl w:val="4A10D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8"/>
        </w:tabs>
        <w:ind w:left="1218" w:hanging="792"/>
      </w:pPr>
      <w:rPr>
        <w:rFonts w:hint="default"/>
        <w:b/>
        <w:sz w:val="22"/>
        <w:szCs w:val="22"/>
      </w:rPr>
    </w:lvl>
    <w:lvl w:ilvl="2">
      <w:start w:val="1"/>
      <w:numFmt w:val="decimal"/>
      <w:lvlText w:val="%1.%2.%3."/>
      <w:lvlJc w:val="left"/>
      <w:pPr>
        <w:tabs>
          <w:tab w:val="num" w:pos="2008"/>
        </w:tabs>
        <w:ind w:left="1792" w:hanging="1224"/>
      </w:pPr>
      <w:rPr>
        <w:rFonts w:hint="default"/>
        <w:sz w:val="22"/>
        <w:szCs w:val="22"/>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E312D9F"/>
    <w:multiLevelType w:val="hybridMultilevel"/>
    <w:tmpl w:val="EBAE0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FD16996"/>
    <w:multiLevelType w:val="hybridMultilevel"/>
    <w:tmpl w:val="D09A2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FD47634"/>
    <w:multiLevelType w:val="hybridMultilevel"/>
    <w:tmpl w:val="FE8CDFB6"/>
    <w:lvl w:ilvl="0" w:tplc="6F860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5" w15:restartNumberingAfterBreak="0">
    <w:nsid w:val="11A10836"/>
    <w:multiLevelType w:val="hybridMultilevel"/>
    <w:tmpl w:val="9C7A7D0A"/>
    <w:lvl w:ilvl="0" w:tplc="667AD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992286D"/>
    <w:multiLevelType w:val="hybridMultilevel"/>
    <w:tmpl w:val="4086C32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15:restartNumberingAfterBreak="0">
    <w:nsid w:val="1E2776C6"/>
    <w:multiLevelType w:val="hybridMultilevel"/>
    <w:tmpl w:val="E58E1A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FFF43DC"/>
    <w:multiLevelType w:val="hybridMultilevel"/>
    <w:tmpl w:val="7884FD18"/>
    <w:lvl w:ilvl="0" w:tplc="1D00EA04">
      <w:start w:val="1"/>
      <w:numFmt w:val="decimal"/>
      <w:lvlText w:val="%1"/>
      <w:lvlJc w:val="center"/>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0E52E65"/>
    <w:multiLevelType w:val="hybridMultilevel"/>
    <w:tmpl w:val="735E77BE"/>
    <w:lvl w:ilvl="0" w:tplc="1B88B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396649C"/>
    <w:multiLevelType w:val="hybridMultilevel"/>
    <w:tmpl w:val="1F2C54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3E11CCB"/>
    <w:multiLevelType w:val="hybridMultilevel"/>
    <w:tmpl w:val="BB0E9C04"/>
    <w:lvl w:ilvl="0" w:tplc="65B8DE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53361F8"/>
    <w:multiLevelType w:val="hybridMultilevel"/>
    <w:tmpl w:val="6B44973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4" w15:restartNumberingAfterBreak="0">
    <w:nsid w:val="253B7929"/>
    <w:multiLevelType w:val="hybridMultilevel"/>
    <w:tmpl w:val="F0404D5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5" w15:restartNumberingAfterBreak="0">
    <w:nsid w:val="27645838"/>
    <w:multiLevelType w:val="hybridMultilevel"/>
    <w:tmpl w:val="43DA7E1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6" w15:restartNumberingAfterBreak="0">
    <w:nsid w:val="29E02373"/>
    <w:multiLevelType w:val="hybridMultilevel"/>
    <w:tmpl w:val="7BB0A1E0"/>
    <w:lvl w:ilvl="0" w:tplc="040E000F">
      <w:start w:val="1"/>
      <w:numFmt w:val="decimal"/>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7" w15:restartNumberingAfterBreak="0">
    <w:nsid w:val="2A6B09C9"/>
    <w:multiLevelType w:val="hybridMultilevel"/>
    <w:tmpl w:val="43744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A8A3C1C"/>
    <w:multiLevelType w:val="multilevel"/>
    <w:tmpl w:val="BA6C48F0"/>
    <w:lvl w:ilvl="0">
      <w:start w:val="1"/>
      <w:numFmt w:val="ordinal"/>
      <w:pStyle w:val="Cmsor1szmozottnmhh"/>
      <w:lvlText w:val="%1"/>
      <w:lvlJc w:val="left"/>
      <w:pPr>
        <w:ind w:left="999" w:hanging="432"/>
      </w:pPr>
      <w:rPr>
        <w:rFonts w:hint="default"/>
      </w:rPr>
    </w:lvl>
    <w:lvl w:ilvl="1">
      <w:start w:val="1"/>
      <w:numFmt w:val="ordinal"/>
      <w:pStyle w:val="Cmsor2szmozottnmhh"/>
      <w:lvlText w:val="%1%2"/>
      <w:lvlJc w:val="left"/>
      <w:pPr>
        <w:ind w:left="576" w:hanging="576"/>
      </w:pPr>
      <w:rPr>
        <w:rFonts w:hint="default"/>
      </w:rPr>
    </w:lvl>
    <w:lvl w:ilvl="2">
      <w:start w:val="1"/>
      <w:numFmt w:val="ordinal"/>
      <w:pStyle w:val="Cmsor3szmozottnmhh"/>
      <w:lvlText w:val="%1%2%3"/>
      <w:lvlJc w:val="left"/>
      <w:pPr>
        <w:ind w:left="720"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9" w15:restartNumberingAfterBreak="0">
    <w:nsid w:val="2C8E01E2"/>
    <w:multiLevelType w:val="hybridMultilevel"/>
    <w:tmpl w:val="81D2C62C"/>
    <w:lvl w:ilvl="0" w:tplc="3A22BCC6">
      <w:start w:val="1"/>
      <w:numFmt w:val="low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0" w15:restartNumberingAfterBreak="0">
    <w:nsid w:val="2D861DA4"/>
    <w:multiLevelType w:val="hybridMultilevel"/>
    <w:tmpl w:val="1B96B4EE"/>
    <w:lvl w:ilvl="0" w:tplc="884AEC2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EAC2F99"/>
    <w:multiLevelType w:val="hybridMultilevel"/>
    <w:tmpl w:val="8A068A9C"/>
    <w:lvl w:ilvl="0" w:tplc="FFEA4358">
      <w:start w:val="1"/>
      <w:numFmt w:val="bullet"/>
      <w:lvlText w:val="•"/>
      <w:lvlJc w:val="left"/>
      <w:pPr>
        <w:tabs>
          <w:tab w:val="num" w:pos="720"/>
        </w:tabs>
        <w:ind w:left="720" w:hanging="360"/>
      </w:pPr>
      <w:rPr>
        <w:rFonts w:ascii="Arial" w:hAnsi="Arial" w:hint="default"/>
      </w:rPr>
    </w:lvl>
    <w:lvl w:ilvl="1" w:tplc="055860C4" w:tentative="1">
      <w:start w:val="1"/>
      <w:numFmt w:val="bullet"/>
      <w:lvlText w:val="•"/>
      <w:lvlJc w:val="left"/>
      <w:pPr>
        <w:tabs>
          <w:tab w:val="num" w:pos="1440"/>
        </w:tabs>
        <w:ind w:left="1440" w:hanging="360"/>
      </w:pPr>
      <w:rPr>
        <w:rFonts w:ascii="Arial" w:hAnsi="Arial" w:hint="default"/>
      </w:rPr>
    </w:lvl>
    <w:lvl w:ilvl="2" w:tplc="9B102490" w:tentative="1">
      <w:start w:val="1"/>
      <w:numFmt w:val="bullet"/>
      <w:lvlText w:val="•"/>
      <w:lvlJc w:val="left"/>
      <w:pPr>
        <w:tabs>
          <w:tab w:val="num" w:pos="2160"/>
        </w:tabs>
        <w:ind w:left="2160" w:hanging="360"/>
      </w:pPr>
      <w:rPr>
        <w:rFonts w:ascii="Arial" w:hAnsi="Arial" w:hint="default"/>
      </w:rPr>
    </w:lvl>
    <w:lvl w:ilvl="3" w:tplc="FEAA7D7A" w:tentative="1">
      <w:start w:val="1"/>
      <w:numFmt w:val="bullet"/>
      <w:lvlText w:val="•"/>
      <w:lvlJc w:val="left"/>
      <w:pPr>
        <w:tabs>
          <w:tab w:val="num" w:pos="2880"/>
        </w:tabs>
        <w:ind w:left="2880" w:hanging="360"/>
      </w:pPr>
      <w:rPr>
        <w:rFonts w:ascii="Arial" w:hAnsi="Arial" w:hint="default"/>
      </w:rPr>
    </w:lvl>
    <w:lvl w:ilvl="4" w:tplc="497ECB3A" w:tentative="1">
      <w:start w:val="1"/>
      <w:numFmt w:val="bullet"/>
      <w:lvlText w:val="•"/>
      <w:lvlJc w:val="left"/>
      <w:pPr>
        <w:tabs>
          <w:tab w:val="num" w:pos="3600"/>
        </w:tabs>
        <w:ind w:left="3600" w:hanging="360"/>
      </w:pPr>
      <w:rPr>
        <w:rFonts w:ascii="Arial" w:hAnsi="Arial" w:hint="default"/>
      </w:rPr>
    </w:lvl>
    <w:lvl w:ilvl="5" w:tplc="11A42F74" w:tentative="1">
      <w:start w:val="1"/>
      <w:numFmt w:val="bullet"/>
      <w:lvlText w:val="•"/>
      <w:lvlJc w:val="left"/>
      <w:pPr>
        <w:tabs>
          <w:tab w:val="num" w:pos="4320"/>
        </w:tabs>
        <w:ind w:left="4320" w:hanging="360"/>
      </w:pPr>
      <w:rPr>
        <w:rFonts w:ascii="Arial" w:hAnsi="Arial" w:hint="default"/>
      </w:rPr>
    </w:lvl>
    <w:lvl w:ilvl="6" w:tplc="D4FA234E" w:tentative="1">
      <w:start w:val="1"/>
      <w:numFmt w:val="bullet"/>
      <w:lvlText w:val="•"/>
      <w:lvlJc w:val="left"/>
      <w:pPr>
        <w:tabs>
          <w:tab w:val="num" w:pos="5040"/>
        </w:tabs>
        <w:ind w:left="5040" w:hanging="360"/>
      </w:pPr>
      <w:rPr>
        <w:rFonts w:ascii="Arial" w:hAnsi="Arial" w:hint="default"/>
      </w:rPr>
    </w:lvl>
    <w:lvl w:ilvl="7" w:tplc="C58AB1B4" w:tentative="1">
      <w:start w:val="1"/>
      <w:numFmt w:val="bullet"/>
      <w:lvlText w:val="•"/>
      <w:lvlJc w:val="left"/>
      <w:pPr>
        <w:tabs>
          <w:tab w:val="num" w:pos="5760"/>
        </w:tabs>
        <w:ind w:left="5760" w:hanging="360"/>
      </w:pPr>
      <w:rPr>
        <w:rFonts w:ascii="Arial" w:hAnsi="Arial" w:hint="default"/>
      </w:rPr>
    </w:lvl>
    <w:lvl w:ilvl="8" w:tplc="D9F8A2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0C709A4"/>
    <w:multiLevelType w:val="hybridMultilevel"/>
    <w:tmpl w:val="E3D4C258"/>
    <w:lvl w:ilvl="0" w:tplc="38F2EE3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3EB6C4E"/>
    <w:multiLevelType w:val="hybridMultilevel"/>
    <w:tmpl w:val="CA04767E"/>
    <w:lvl w:ilvl="0" w:tplc="5F72173C">
      <w:start w:val="1"/>
      <w:numFmt w:val="bullet"/>
      <w:lvlText w:val=""/>
      <w:lvlJc w:val="left"/>
      <w:pPr>
        <w:ind w:left="720" w:hanging="360"/>
      </w:pPr>
      <w:rPr>
        <w:rFonts w:ascii="Symbol" w:hAnsi="Symbol" w:hint="default"/>
      </w:rPr>
    </w:lvl>
    <w:lvl w:ilvl="1" w:tplc="5A4CAF22">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5937FE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F33BF9"/>
    <w:multiLevelType w:val="hybridMultilevel"/>
    <w:tmpl w:val="2FCCF77C"/>
    <w:lvl w:ilvl="0" w:tplc="9000D7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A133498"/>
    <w:multiLevelType w:val="hybridMultilevel"/>
    <w:tmpl w:val="E0D85AC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9" w15:restartNumberingAfterBreak="0">
    <w:nsid w:val="3B4F7FB8"/>
    <w:multiLevelType w:val="hybridMultilevel"/>
    <w:tmpl w:val="23CA6B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D163F7A"/>
    <w:multiLevelType w:val="multilevel"/>
    <w:tmpl w:val="C51432D8"/>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E06202B"/>
    <w:multiLevelType w:val="hybridMultilevel"/>
    <w:tmpl w:val="B21ED882"/>
    <w:lvl w:ilvl="0" w:tplc="7FD0D24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385067E"/>
    <w:multiLevelType w:val="hybridMultilevel"/>
    <w:tmpl w:val="A66272CC"/>
    <w:lvl w:ilvl="0" w:tplc="F28C776A">
      <w:start w:val="1"/>
      <w:numFmt w:val="decimal"/>
      <w:lvlText w:val="%1."/>
      <w:lvlJc w:val="left"/>
      <w:pPr>
        <w:ind w:left="717" w:hanging="360"/>
      </w:pPr>
      <w:rPr>
        <w:rFonts w:hint="default"/>
        <w:i w:val="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44" w15:restartNumberingAfterBreak="0">
    <w:nsid w:val="487F6167"/>
    <w:multiLevelType w:val="hybridMultilevel"/>
    <w:tmpl w:val="0A1EA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8E77E54"/>
    <w:multiLevelType w:val="hybridMultilevel"/>
    <w:tmpl w:val="53C400D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48F51EBB"/>
    <w:multiLevelType w:val="hybridMultilevel"/>
    <w:tmpl w:val="3E84B5F8"/>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7" w15:restartNumberingAfterBreak="0">
    <w:nsid w:val="4E100FB5"/>
    <w:multiLevelType w:val="hybridMultilevel"/>
    <w:tmpl w:val="A7B8B486"/>
    <w:lvl w:ilvl="0" w:tplc="040E0001">
      <w:start w:val="1"/>
      <w:numFmt w:val="bullet"/>
      <w:lvlText w:val=""/>
      <w:lvlJc w:val="left"/>
      <w:pPr>
        <w:ind w:left="717" w:hanging="360"/>
      </w:pPr>
      <w:rPr>
        <w:rFonts w:ascii="Symbol" w:hAnsi="Symbol" w:hint="default"/>
        <w:i w:val="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48" w15:restartNumberingAfterBreak="0">
    <w:nsid w:val="50187145"/>
    <w:multiLevelType w:val="hybridMultilevel"/>
    <w:tmpl w:val="AD4CE798"/>
    <w:lvl w:ilvl="0" w:tplc="06A440E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1D946E4"/>
    <w:multiLevelType w:val="hybridMultilevel"/>
    <w:tmpl w:val="8F309E66"/>
    <w:lvl w:ilvl="0" w:tplc="040E0001">
      <w:start w:val="1"/>
      <w:numFmt w:val="bullet"/>
      <w:lvlText w:val=""/>
      <w:lvlJc w:val="left"/>
      <w:pPr>
        <w:ind w:left="720" w:hanging="360"/>
      </w:pPr>
      <w:rPr>
        <w:rFonts w:ascii="Symbol" w:hAnsi="Symbol" w:hint="default"/>
      </w:rPr>
    </w:lvl>
    <w:lvl w:ilvl="1" w:tplc="4470E0BE">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5893257"/>
    <w:multiLevelType w:val="hybridMultilevel"/>
    <w:tmpl w:val="F232E72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1" w15:restartNumberingAfterBreak="0">
    <w:nsid w:val="55D803E6"/>
    <w:multiLevelType w:val="hybridMultilevel"/>
    <w:tmpl w:val="6214F0B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2" w15:restartNumberingAfterBreak="0">
    <w:nsid w:val="55E6323D"/>
    <w:multiLevelType w:val="hybridMultilevel"/>
    <w:tmpl w:val="D9FE70CC"/>
    <w:lvl w:ilvl="0" w:tplc="AAD42C32">
      <w:start w:val="1"/>
      <w:numFmt w:val="bullet"/>
      <w:lvlText w:val=""/>
      <w:lvlJc w:val="left"/>
      <w:pPr>
        <w:tabs>
          <w:tab w:val="num" w:pos="-31680"/>
        </w:tabs>
        <w:ind w:left="1418" w:hanging="567"/>
      </w:pPr>
      <w:rPr>
        <w:rFonts w:ascii="Wingdings" w:hAnsi="Wingding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7620584"/>
    <w:multiLevelType w:val="hybridMultilevel"/>
    <w:tmpl w:val="C2F23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7B50BAB"/>
    <w:multiLevelType w:val="hybridMultilevel"/>
    <w:tmpl w:val="9BEAF3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5" w15:restartNumberingAfterBreak="0">
    <w:nsid w:val="5A2450A1"/>
    <w:multiLevelType w:val="multilevel"/>
    <w:tmpl w:val="34FAAEBC"/>
    <w:lvl w:ilvl="0">
      <w:start w:val="6"/>
      <w:numFmt w:val="decimal"/>
      <w:lvlText w:val="%1"/>
      <w:lvlJc w:val="left"/>
      <w:pPr>
        <w:ind w:left="450" w:hanging="450"/>
      </w:pPr>
      <w:rPr>
        <w:rFonts w:hint="default"/>
      </w:rPr>
    </w:lvl>
    <w:lvl w:ilvl="1">
      <w:start w:val="1"/>
      <w:numFmt w:val="decimal"/>
      <w:lvlText w:val="%1.%2"/>
      <w:lvlJc w:val="left"/>
      <w:pPr>
        <w:ind w:left="1077" w:hanging="720"/>
      </w:pPr>
      <w:rPr>
        <w:rFonts w:hint="default"/>
        <w:b/>
      </w:rPr>
    </w:lvl>
    <w:lvl w:ilvl="2">
      <w:start w:val="1"/>
      <w:numFmt w:val="decimal"/>
      <w:lvlText w:val="%1.%2.%3"/>
      <w:lvlJc w:val="left"/>
      <w:pPr>
        <w:ind w:left="1434" w:hanging="720"/>
      </w:pPr>
      <w:rPr>
        <w:rFonts w:hint="default"/>
      </w:rPr>
    </w:lvl>
    <w:lvl w:ilvl="3">
      <w:start w:val="1"/>
      <w:numFmt w:val="lowerLetter"/>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56" w15:restartNumberingAfterBreak="0">
    <w:nsid w:val="5AAB2E8F"/>
    <w:multiLevelType w:val="hybridMultilevel"/>
    <w:tmpl w:val="3E20B338"/>
    <w:lvl w:ilvl="0" w:tplc="DE82B7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288364F"/>
    <w:multiLevelType w:val="hybridMultilevel"/>
    <w:tmpl w:val="3F446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6A067A8"/>
    <w:multiLevelType w:val="hybridMultilevel"/>
    <w:tmpl w:val="C8F26298"/>
    <w:lvl w:ilvl="0" w:tplc="4C3636B2">
      <w:start w:val="1911"/>
      <w:numFmt w:val="decimal"/>
      <w:lvlText w:val="%1"/>
      <w:lvlJc w:val="center"/>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6AF1ACB"/>
    <w:multiLevelType w:val="hybridMultilevel"/>
    <w:tmpl w:val="359E542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61" w15:restartNumberingAfterBreak="0">
    <w:nsid w:val="69093E3B"/>
    <w:multiLevelType w:val="hybridMultilevel"/>
    <w:tmpl w:val="3F96B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B794DD3"/>
    <w:multiLevelType w:val="multilevel"/>
    <w:tmpl w:val="D1740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C247FDC"/>
    <w:multiLevelType w:val="hybridMultilevel"/>
    <w:tmpl w:val="F97CA402"/>
    <w:lvl w:ilvl="0" w:tplc="66E82FD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DEF2CC3"/>
    <w:multiLevelType w:val="multilevel"/>
    <w:tmpl w:val="DA2661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ECF5A1D"/>
    <w:multiLevelType w:val="hybridMultilevel"/>
    <w:tmpl w:val="25A6965E"/>
    <w:lvl w:ilvl="0" w:tplc="5AFE57CE">
      <w:start w:val="1"/>
      <w:numFmt w:val="decimal"/>
      <w:lvlText w:val="%1"/>
      <w:lvlJc w:val="left"/>
      <w:pPr>
        <w:ind w:left="502" w:hanging="360"/>
      </w:pPr>
      <w:rPr>
        <w:rFonts w:hint="default"/>
      </w:rPr>
    </w:lvl>
    <w:lvl w:ilvl="1" w:tplc="040E0019" w:tentative="1">
      <w:start w:val="1"/>
      <w:numFmt w:val="lowerLetter"/>
      <w:lvlText w:val="%2."/>
      <w:lvlJc w:val="left"/>
      <w:pPr>
        <w:ind w:left="1294" w:hanging="360"/>
      </w:pPr>
    </w:lvl>
    <w:lvl w:ilvl="2" w:tplc="040E001B" w:tentative="1">
      <w:start w:val="1"/>
      <w:numFmt w:val="lowerRoman"/>
      <w:lvlText w:val="%3."/>
      <w:lvlJc w:val="right"/>
      <w:pPr>
        <w:ind w:left="2014" w:hanging="180"/>
      </w:pPr>
    </w:lvl>
    <w:lvl w:ilvl="3" w:tplc="32AA0C7A" w:tentative="1">
      <w:start w:val="1"/>
      <w:numFmt w:val="decimal"/>
      <w:lvlText w:val="%4."/>
      <w:lvlJc w:val="left"/>
      <w:pPr>
        <w:ind w:left="2734" w:hanging="360"/>
      </w:pPr>
    </w:lvl>
    <w:lvl w:ilvl="4" w:tplc="040E0019" w:tentative="1">
      <w:start w:val="1"/>
      <w:numFmt w:val="lowerLetter"/>
      <w:lvlText w:val="%5."/>
      <w:lvlJc w:val="left"/>
      <w:pPr>
        <w:ind w:left="3454" w:hanging="360"/>
      </w:pPr>
    </w:lvl>
    <w:lvl w:ilvl="5" w:tplc="040E001B" w:tentative="1">
      <w:start w:val="1"/>
      <w:numFmt w:val="lowerRoman"/>
      <w:lvlText w:val="%6."/>
      <w:lvlJc w:val="right"/>
      <w:pPr>
        <w:ind w:left="4174" w:hanging="180"/>
      </w:pPr>
    </w:lvl>
    <w:lvl w:ilvl="6" w:tplc="040E000F" w:tentative="1">
      <w:start w:val="1"/>
      <w:numFmt w:val="decimal"/>
      <w:lvlText w:val="%7."/>
      <w:lvlJc w:val="left"/>
      <w:pPr>
        <w:ind w:left="4894" w:hanging="360"/>
      </w:pPr>
    </w:lvl>
    <w:lvl w:ilvl="7" w:tplc="040E0019" w:tentative="1">
      <w:start w:val="1"/>
      <w:numFmt w:val="lowerLetter"/>
      <w:lvlText w:val="%8."/>
      <w:lvlJc w:val="left"/>
      <w:pPr>
        <w:ind w:left="5614" w:hanging="360"/>
      </w:pPr>
    </w:lvl>
    <w:lvl w:ilvl="8" w:tplc="040E001B" w:tentative="1">
      <w:start w:val="1"/>
      <w:numFmt w:val="lowerRoman"/>
      <w:lvlText w:val="%9."/>
      <w:lvlJc w:val="right"/>
      <w:pPr>
        <w:ind w:left="6334" w:hanging="180"/>
      </w:pPr>
    </w:lvl>
  </w:abstractNum>
  <w:abstractNum w:abstractNumId="66" w15:restartNumberingAfterBreak="0">
    <w:nsid w:val="707468E0"/>
    <w:multiLevelType w:val="hybridMultilevel"/>
    <w:tmpl w:val="38D6DF9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67"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8" w15:restartNumberingAfterBreak="0">
    <w:nsid w:val="756E5ADA"/>
    <w:multiLevelType w:val="hybridMultilevel"/>
    <w:tmpl w:val="C2EA3E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9" w15:restartNumberingAfterBreak="0">
    <w:nsid w:val="7A4C7E35"/>
    <w:multiLevelType w:val="hybridMultilevel"/>
    <w:tmpl w:val="1B48FC5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num w:numId="1">
    <w:abstractNumId w:val="62"/>
  </w:num>
  <w:num w:numId="2">
    <w:abstractNumId w:val="62"/>
  </w:num>
  <w:num w:numId="3">
    <w:abstractNumId w:val="62"/>
  </w:num>
  <w:num w:numId="4">
    <w:abstractNumId w:val="62"/>
  </w:num>
  <w:num w:numId="5">
    <w:abstractNumId w:val="35"/>
  </w:num>
  <w:num w:numId="6">
    <w:abstractNumId w:val="35"/>
  </w:num>
  <w:num w:numId="7">
    <w:abstractNumId w:val="30"/>
  </w:num>
  <w:num w:numId="8">
    <w:abstractNumId w:val="63"/>
  </w:num>
  <w:num w:numId="9">
    <w:abstractNumId w:val="15"/>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56"/>
  </w:num>
  <w:num w:numId="19">
    <w:abstractNumId w:val="49"/>
  </w:num>
  <w:num w:numId="20">
    <w:abstractNumId w:val="32"/>
  </w:num>
  <w:num w:numId="21">
    <w:abstractNumId w:val="41"/>
  </w:num>
  <w:num w:numId="22">
    <w:abstractNumId w:val="19"/>
  </w:num>
  <w:num w:numId="23">
    <w:abstractNumId w:val="1"/>
  </w:num>
  <w:num w:numId="24">
    <w:abstractNumId w:val="0"/>
  </w:num>
  <w:num w:numId="25">
    <w:abstractNumId w:val="36"/>
  </w:num>
  <w:num w:numId="26">
    <w:abstractNumId w:val="57"/>
  </w:num>
  <w:num w:numId="27">
    <w:abstractNumId w:val="34"/>
  </w:num>
  <w:num w:numId="28">
    <w:abstractNumId w:val="20"/>
  </w:num>
  <w:num w:numId="29">
    <w:abstractNumId w:val="28"/>
  </w:num>
  <w:num w:numId="30">
    <w:abstractNumId w:val="33"/>
  </w:num>
  <w:num w:numId="31">
    <w:abstractNumId w:val="42"/>
  </w:num>
  <w:num w:numId="32">
    <w:abstractNumId w:val="67"/>
  </w:num>
  <w:num w:numId="33">
    <w:abstractNumId w:val="58"/>
  </w:num>
  <w:num w:numId="34">
    <w:abstractNumId w:val="38"/>
  </w:num>
  <w:num w:numId="35">
    <w:abstractNumId w:val="23"/>
  </w:num>
  <w:num w:numId="36">
    <w:abstractNumId w:val="12"/>
  </w:num>
  <w:num w:numId="37">
    <w:abstractNumId w:val="60"/>
  </w:num>
  <w:num w:numId="38">
    <w:abstractNumId w:val="4"/>
  </w:num>
  <w:num w:numId="39">
    <w:abstractNumId w:val="18"/>
  </w:num>
  <w:num w:numId="40">
    <w:abstractNumId w:val="59"/>
  </w:num>
  <w:num w:numId="41">
    <w:abstractNumId w:val="10"/>
  </w:num>
  <w:num w:numId="42">
    <w:abstractNumId w:val="13"/>
  </w:num>
  <w:num w:numId="43">
    <w:abstractNumId w:val="5"/>
  </w:num>
  <w:num w:numId="44">
    <w:abstractNumId w:val="37"/>
  </w:num>
  <w:num w:numId="45">
    <w:abstractNumId w:val="7"/>
  </w:num>
  <w:num w:numId="46">
    <w:abstractNumId w:val="22"/>
  </w:num>
  <w:num w:numId="47">
    <w:abstractNumId w:val="65"/>
  </w:num>
  <w:num w:numId="48">
    <w:abstractNumId w:val="52"/>
  </w:num>
  <w:num w:numId="49">
    <w:abstractNumId w:val="43"/>
  </w:num>
  <w:num w:numId="50">
    <w:abstractNumId w:val="68"/>
  </w:num>
  <w:num w:numId="51">
    <w:abstractNumId w:val="45"/>
  </w:num>
  <w:num w:numId="52">
    <w:abstractNumId w:val="39"/>
  </w:num>
  <w:num w:numId="53">
    <w:abstractNumId w:val="17"/>
  </w:num>
  <w:num w:numId="54">
    <w:abstractNumId w:val="48"/>
  </w:num>
  <w:num w:numId="55">
    <w:abstractNumId w:val="29"/>
  </w:num>
  <w:num w:numId="56">
    <w:abstractNumId w:val="26"/>
  </w:num>
  <w:num w:numId="57">
    <w:abstractNumId w:val="40"/>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51"/>
  </w:num>
  <w:num w:numId="61">
    <w:abstractNumId w:val="66"/>
  </w:num>
  <w:num w:numId="62">
    <w:abstractNumId w:val="25"/>
  </w:num>
  <w:num w:numId="63">
    <w:abstractNumId w:val="64"/>
  </w:num>
  <w:num w:numId="64">
    <w:abstractNumId w:val="24"/>
  </w:num>
  <w:num w:numId="65">
    <w:abstractNumId w:val="27"/>
  </w:num>
  <w:num w:numId="66">
    <w:abstractNumId w:val="8"/>
  </w:num>
  <w:num w:numId="67">
    <w:abstractNumId w:val="61"/>
  </w:num>
  <w:num w:numId="68">
    <w:abstractNumId w:val="53"/>
  </w:num>
  <w:num w:numId="69">
    <w:abstractNumId w:val="9"/>
  </w:num>
  <w:num w:numId="70">
    <w:abstractNumId w:val="21"/>
  </w:num>
  <w:num w:numId="71">
    <w:abstractNumId w:val="3"/>
  </w:num>
  <w:num w:numId="72">
    <w:abstractNumId w:val="11"/>
  </w:num>
  <w:num w:numId="73">
    <w:abstractNumId w:val="44"/>
  </w:num>
  <w:num w:numId="74">
    <w:abstractNumId w:val="54"/>
  </w:num>
  <w:num w:numId="75">
    <w:abstractNumId w:val="31"/>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num>
  <w:num w:numId="78">
    <w:abstractNumId w:val="47"/>
  </w:num>
  <w:num w:numId="79">
    <w:abstractNumId w:val="6"/>
  </w:num>
  <w:num w:numId="80">
    <w:abstractNumId w:val="46"/>
  </w:num>
  <w:num w:numId="81">
    <w:abstractNumId w:val="55"/>
  </w:num>
  <w:num w:numId="82">
    <w:abstractNumId w:val="2"/>
  </w:num>
  <w:num w:numId="83">
    <w:abstractNumId w:val="28"/>
  </w:num>
  <w:num w:numId="84">
    <w:abstractNumId w:val="28"/>
  </w:num>
  <w:num w:numId="85">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attachedTemplate r:id="rId1"/>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79"/>
    <w:rsid w:val="000009D2"/>
    <w:rsid w:val="00004F77"/>
    <w:rsid w:val="00007C9D"/>
    <w:rsid w:val="00011730"/>
    <w:rsid w:val="00015B38"/>
    <w:rsid w:val="000200DA"/>
    <w:rsid w:val="00027C0E"/>
    <w:rsid w:val="0003045F"/>
    <w:rsid w:val="00031065"/>
    <w:rsid w:val="00031851"/>
    <w:rsid w:val="00035E1D"/>
    <w:rsid w:val="000412C6"/>
    <w:rsid w:val="00041388"/>
    <w:rsid w:val="0005034B"/>
    <w:rsid w:val="00052700"/>
    <w:rsid w:val="00052F3B"/>
    <w:rsid w:val="0005360D"/>
    <w:rsid w:val="000539FF"/>
    <w:rsid w:val="000544B2"/>
    <w:rsid w:val="000547B1"/>
    <w:rsid w:val="000569C0"/>
    <w:rsid w:val="00064DDA"/>
    <w:rsid w:val="000720C9"/>
    <w:rsid w:val="0007682C"/>
    <w:rsid w:val="00086DCE"/>
    <w:rsid w:val="00087F88"/>
    <w:rsid w:val="00093835"/>
    <w:rsid w:val="00096F05"/>
    <w:rsid w:val="000A1CA9"/>
    <w:rsid w:val="000A4467"/>
    <w:rsid w:val="000A55EE"/>
    <w:rsid w:val="000B1191"/>
    <w:rsid w:val="000C1A87"/>
    <w:rsid w:val="000C35B6"/>
    <w:rsid w:val="000D02B8"/>
    <w:rsid w:val="000D0B0A"/>
    <w:rsid w:val="000E02F4"/>
    <w:rsid w:val="000E0FE8"/>
    <w:rsid w:val="000E1FB1"/>
    <w:rsid w:val="000E2DC9"/>
    <w:rsid w:val="000E7111"/>
    <w:rsid w:val="000E782B"/>
    <w:rsid w:val="000F2E37"/>
    <w:rsid w:val="0010133C"/>
    <w:rsid w:val="001055DF"/>
    <w:rsid w:val="0011064A"/>
    <w:rsid w:val="00111B91"/>
    <w:rsid w:val="00112EBF"/>
    <w:rsid w:val="00117480"/>
    <w:rsid w:val="00120DBD"/>
    <w:rsid w:val="0013034F"/>
    <w:rsid w:val="00132507"/>
    <w:rsid w:val="00133E39"/>
    <w:rsid w:val="00134888"/>
    <w:rsid w:val="00136C02"/>
    <w:rsid w:val="0014299B"/>
    <w:rsid w:val="00147296"/>
    <w:rsid w:val="001479E7"/>
    <w:rsid w:val="00150A8F"/>
    <w:rsid w:val="00150F3A"/>
    <w:rsid w:val="001524F4"/>
    <w:rsid w:val="00156550"/>
    <w:rsid w:val="001600B1"/>
    <w:rsid w:val="00160BBB"/>
    <w:rsid w:val="001727C7"/>
    <w:rsid w:val="00172E2E"/>
    <w:rsid w:val="00175C1F"/>
    <w:rsid w:val="00176004"/>
    <w:rsid w:val="00177EA0"/>
    <w:rsid w:val="00181636"/>
    <w:rsid w:val="0018720A"/>
    <w:rsid w:val="00187EEB"/>
    <w:rsid w:val="0019052D"/>
    <w:rsid w:val="00196098"/>
    <w:rsid w:val="001A099A"/>
    <w:rsid w:val="001A30A6"/>
    <w:rsid w:val="001A3BDC"/>
    <w:rsid w:val="001A5122"/>
    <w:rsid w:val="001B0569"/>
    <w:rsid w:val="001B379D"/>
    <w:rsid w:val="001B5456"/>
    <w:rsid w:val="001B6E5A"/>
    <w:rsid w:val="001C0301"/>
    <w:rsid w:val="001C3EC9"/>
    <w:rsid w:val="001C5172"/>
    <w:rsid w:val="001C76E1"/>
    <w:rsid w:val="001D013E"/>
    <w:rsid w:val="001D161F"/>
    <w:rsid w:val="001D29EE"/>
    <w:rsid w:val="001E183F"/>
    <w:rsid w:val="001E1AD8"/>
    <w:rsid w:val="001E4194"/>
    <w:rsid w:val="001E5FD0"/>
    <w:rsid w:val="00200D3D"/>
    <w:rsid w:val="0020290F"/>
    <w:rsid w:val="00202CF5"/>
    <w:rsid w:val="00211DC1"/>
    <w:rsid w:val="00217ADA"/>
    <w:rsid w:val="00221007"/>
    <w:rsid w:val="00221F22"/>
    <w:rsid w:val="00240320"/>
    <w:rsid w:val="00247462"/>
    <w:rsid w:val="002502C6"/>
    <w:rsid w:val="00251B86"/>
    <w:rsid w:val="00257130"/>
    <w:rsid w:val="00260CB3"/>
    <w:rsid w:val="002615D3"/>
    <w:rsid w:val="00263376"/>
    <w:rsid w:val="002723C1"/>
    <w:rsid w:val="00274A4E"/>
    <w:rsid w:val="0029389B"/>
    <w:rsid w:val="00295A10"/>
    <w:rsid w:val="00296849"/>
    <w:rsid w:val="002A4C44"/>
    <w:rsid w:val="002A65F7"/>
    <w:rsid w:val="002B4B15"/>
    <w:rsid w:val="002B52A1"/>
    <w:rsid w:val="002C121F"/>
    <w:rsid w:val="002C712E"/>
    <w:rsid w:val="002E1847"/>
    <w:rsid w:val="002E222E"/>
    <w:rsid w:val="002E671D"/>
    <w:rsid w:val="002F3A6D"/>
    <w:rsid w:val="00301E0E"/>
    <w:rsid w:val="00334E46"/>
    <w:rsid w:val="003352B6"/>
    <w:rsid w:val="003412A1"/>
    <w:rsid w:val="00355337"/>
    <w:rsid w:val="003712AF"/>
    <w:rsid w:val="00374CA0"/>
    <w:rsid w:val="003808B8"/>
    <w:rsid w:val="00383BD0"/>
    <w:rsid w:val="00383F0D"/>
    <w:rsid w:val="003A033D"/>
    <w:rsid w:val="003A1122"/>
    <w:rsid w:val="003A2C47"/>
    <w:rsid w:val="003A4DD8"/>
    <w:rsid w:val="003A768A"/>
    <w:rsid w:val="003B10BE"/>
    <w:rsid w:val="003B5616"/>
    <w:rsid w:val="003B776B"/>
    <w:rsid w:val="003C5031"/>
    <w:rsid w:val="003C53E6"/>
    <w:rsid w:val="003C6C01"/>
    <w:rsid w:val="003C7C94"/>
    <w:rsid w:val="003D2A7A"/>
    <w:rsid w:val="003E3BF8"/>
    <w:rsid w:val="003E75CB"/>
    <w:rsid w:val="003E7ADE"/>
    <w:rsid w:val="003F76DD"/>
    <w:rsid w:val="00400DB9"/>
    <w:rsid w:val="00407364"/>
    <w:rsid w:val="00407ED1"/>
    <w:rsid w:val="004102FB"/>
    <w:rsid w:val="0041145C"/>
    <w:rsid w:val="00412B64"/>
    <w:rsid w:val="00414891"/>
    <w:rsid w:val="00414DEF"/>
    <w:rsid w:val="00420452"/>
    <w:rsid w:val="00422524"/>
    <w:rsid w:val="00423DF2"/>
    <w:rsid w:val="0042601A"/>
    <w:rsid w:val="004275D0"/>
    <w:rsid w:val="00427DE8"/>
    <w:rsid w:val="004308EB"/>
    <w:rsid w:val="00430B47"/>
    <w:rsid w:val="00434D51"/>
    <w:rsid w:val="00434D92"/>
    <w:rsid w:val="00440197"/>
    <w:rsid w:val="00442017"/>
    <w:rsid w:val="00444F7E"/>
    <w:rsid w:val="0044740A"/>
    <w:rsid w:val="004709B2"/>
    <w:rsid w:val="00477C09"/>
    <w:rsid w:val="004824D5"/>
    <w:rsid w:val="00487B2A"/>
    <w:rsid w:val="00491F9E"/>
    <w:rsid w:val="004942E2"/>
    <w:rsid w:val="004A4F65"/>
    <w:rsid w:val="004B5A68"/>
    <w:rsid w:val="004B7525"/>
    <w:rsid w:val="004C3B48"/>
    <w:rsid w:val="004C5589"/>
    <w:rsid w:val="004D7478"/>
    <w:rsid w:val="004E27BC"/>
    <w:rsid w:val="004E55F3"/>
    <w:rsid w:val="004F04A4"/>
    <w:rsid w:val="004F0D37"/>
    <w:rsid w:val="004F25E2"/>
    <w:rsid w:val="00505E28"/>
    <w:rsid w:val="005068A7"/>
    <w:rsid w:val="0051176C"/>
    <w:rsid w:val="00511D28"/>
    <w:rsid w:val="00517579"/>
    <w:rsid w:val="00517AE9"/>
    <w:rsid w:val="00521B61"/>
    <w:rsid w:val="0052329D"/>
    <w:rsid w:val="005243EA"/>
    <w:rsid w:val="00531AF5"/>
    <w:rsid w:val="00532807"/>
    <w:rsid w:val="00532E5A"/>
    <w:rsid w:val="00537B19"/>
    <w:rsid w:val="00537E6B"/>
    <w:rsid w:val="005443A7"/>
    <w:rsid w:val="00551074"/>
    <w:rsid w:val="0055573E"/>
    <w:rsid w:val="00561445"/>
    <w:rsid w:val="0056442F"/>
    <w:rsid w:val="00565FDE"/>
    <w:rsid w:val="0056702B"/>
    <w:rsid w:val="00574B07"/>
    <w:rsid w:val="00580851"/>
    <w:rsid w:val="005833AB"/>
    <w:rsid w:val="00587E9D"/>
    <w:rsid w:val="0059058E"/>
    <w:rsid w:val="005947D8"/>
    <w:rsid w:val="00594FCC"/>
    <w:rsid w:val="00596217"/>
    <w:rsid w:val="005A0C65"/>
    <w:rsid w:val="005A2169"/>
    <w:rsid w:val="005B1FA2"/>
    <w:rsid w:val="005B7C4E"/>
    <w:rsid w:val="005C099E"/>
    <w:rsid w:val="005C3306"/>
    <w:rsid w:val="005C584B"/>
    <w:rsid w:val="005D0D74"/>
    <w:rsid w:val="005E0C05"/>
    <w:rsid w:val="005E2911"/>
    <w:rsid w:val="005E4934"/>
    <w:rsid w:val="005E5163"/>
    <w:rsid w:val="005E52B8"/>
    <w:rsid w:val="005F04B2"/>
    <w:rsid w:val="005F14D6"/>
    <w:rsid w:val="00601430"/>
    <w:rsid w:val="00603A44"/>
    <w:rsid w:val="00615264"/>
    <w:rsid w:val="006159D3"/>
    <w:rsid w:val="00617295"/>
    <w:rsid w:val="006245BC"/>
    <w:rsid w:val="00626ACE"/>
    <w:rsid w:val="00637ECD"/>
    <w:rsid w:val="00644AAD"/>
    <w:rsid w:val="00646E97"/>
    <w:rsid w:val="0065411F"/>
    <w:rsid w:val="00673892"/>
    <w:rsid w:val="006762F0"/>
    <w:rsid w:val="0067677D"/>
    <w:rsid w:val="006A18B0"/>
    <w:rsid w:val="006A2CB3"/>
    <w:rsid w:val="006A365F"/>
    <w:rsid w:val="006A682B"/>
    <w:rsid w:val="006A70B7"/>
    <w:rsid w:val="006B2150"/>
    <w:rsid w:val="006B5A93"/>
    <w:rsid w:val="006B7414"/>
    <w:rsid w:val="006C047B"/>
    <w:rsid w:val="006C0B6B"/>
    <w:rsid w:val="006C1538"/>
    <w:rsid w:val="006C7E2D"/>
    <w:rsid w:val="006D055B"/>
    <w:rsid w:val="006D0F5E"/>
    <w:rsid w:val="006E1262"/>
    <w:rsid w:val="006E5C5B"/>
    <w:rsid w:val="00700BD4"/>
    <w:rsid w:val="00702FCC"/>
    <w:rsid w:val="00713C40"/>
    <w:rsid w:val="0071427B"/>
    <w:rsid w:val="00714B17"/>
    <w:rsid w:val="00721375"/>
    <w:rsid w:val="00721C70"/>
    <w:rsid w:val="00722102"/>
    <w:rsid w:val="00723A9D"/>
    <w:rsid w:val="00726933"/>
    <w:rsid w:val="00726ACA"/>
    <w:rsid w:val="00731308"/>
    <w:rsid w:val="0073287D"/>
    <w:rsid w:val="00733037"/>
    <w:rsid w:val="007357FF"/>
    <w:rsid w:val="00755618"/>
    <w:rsid w:val="00763B3C"/>
    <w:rsid w:val="007827A9"/>
    <w:rsid w:val="00793636"/>
    <w:rsid w:val="00793D16"/>
    <w:rsid w:val="007940BD"/>
    <w:rsid w:val="00796A84"/>
    <w:rsid w:val="007A1AC4"/>
    <w:rsid w:val="007A2E3B"/>
    <w:rsid w:val="007A35BB"/>
    <w:rsid w:val="007B2341"/>
    <w:rsid w:val="007B30DB"/>
    <w:rsid w:val="007B55E4"/>
    <w:rsid w:val="007C45D4"/>
    <w:rsid w:val="007C622B"/>
    <w:rsid w:val="007E4F22"/>
    <w:rsid w:val="007F203A"/>
    <w:rsid w:val="007F48EE"/>
    <w:rsid w:val="007F518E"/>
    <w:rsid w:val="00801917"/>
    <w:rsid w:val="00807C5F"/>
    <w:rsid w:val="00815D6D"/>
    <w:rsid w:val="008168DE"/>
    <w:rsid w:val="008256C0"/>
    <w:rsid w:val="008257C5"/>
    <w:rsid w:val="00827BFE"/>
    <w:rsid w:val="00831D9A"/>
    <w:rsid w:val="00831E5E"/>
    <w:rsid w:val="00836A70"/>
    <w:rsid w:val="00843807"/>
    <w:rsid w:val="00843F16"/>
    <w:rsid w:val="0084474B"/>
    <w:rsid w:val="00847983"/>
    <w:rsid w:val="0085588F"/>
    <w:rsid w:val="008613B5"/>
    <w:rsid w:val="00862237"/>
    <w:rsid w:val="00867426"/>
    <w:rsid w:val="008767E1"/>
    <w:rsid w:val="00880050"/>
    <w:rsid w:val="008827A9"/>
    <w:rsid w:val="00886386"/>
    <w:rsid w:val="00893306"/>
    <w:rsid w:val="0089596D"/>
    <w:rsid w:val="00896DD2"/>
    <w:rsid w:val="008A0A97"/>
    <w:rsid w:val="008A3453"/>
    <w:rsid w:val="008B0660"/>
    <w:rsid w:val="008B1574"/>
    <w:rsid w:val="008B4D11"/>
    <w:rsid w:val="008B5529"/>
    <w:rsid w:val="008B5767"/>
    <w:rsid w:val="008C1F59"/>
    <w:rsid w:val="008C2CFE"/>
    <w:rsid w:val="008C36D2"/>
    <w:rsid w:val="008C3C16"/>
    <w:rsid w:val="008C63E0"/>
    <w:rsid w:val="008D118F"/>
    <w:rsid w:val="008D1919"/>
    <w:rsid w:val="008D30AE"/>
    <w:rsid w:val="008D44C5"/>
    <w:rsid w:val="008D550A"/>
    <w:rsid w:val="008D5F59"/>
    <w:rsid w:val="008E78EF"/>
    <w:rsid w:val="008F40DD"/>
    <w:rsid w:val="008F7774"/>
    <w:rsid w:val="00900816"/>
    <w:rsid w:val="00914066"/>
    <w:rsid w:val="0091420E"/>
    <w:rsid w:val="009166F7"/>
    <w:rsid w:val="0092062C"/>
    <w:rsid w:val="00922E0D"/>
    <w:rsid w:val="00926AD6"/>
    <w:rsid w:val="00930A7D"/>
    <w:rsid w:val="00932363"/>
    <w:rsid w:val="00941E4B"/>
    <w:rsid w:val="009452D4"/>
    <w:rsid w:val="00947D16"/>
    <w:rsid w:val="00954F12"/>
    <w:rsid w:val="00957DFA"/>
    <w:rsid w:val="00964C30"/>
    <w:rsid w:val="00964EC1"/>
    <w:rsid w:val="009678E7"/>
    <w:rsid w:val="00967E7A"/>
    <w:rsid w:val="00973133"/>
    <w:rsid w:val="0097329D"/>
    <w:rsid w:val="00973841"/>
    <w:rsid w:val="00977123"/>
    <w:rsid w:val="00981A84"/>
    <w:rsid w:val="00983E9F"/>
    <w:rsid w:val="0099208A"/>
    <w:rsid w:val="00992839"/>
    <w:rsid w:val="00992927"/>
    <w:rsid w:val="00996248"/>
    <w:rsid w:val="009A593A"/>
    <w:rsid w:val="009A59CD"/>
    <w:rsid w:val="009B4CBC"/>
    <w:rsid w:val="009B57FA"/>
    <w:rsid w:val="009C0AF0"/>
    <w:rsid w:val="009C5298"/>
    <w:rsid w:val="009D03D9"/>
    <w:rsid w:val="009D2D9F"/>
    <w:rsid w:val="009D3535"/>
    <w:rsid w:val="009D4022"/>
    <w:rsid w:val="009D432E"/>
    <w:rsid w:val="009D6950"/>
    <w:rsid w:val="009E7932"/>
    <w:rsid w:val="009F3A19"/>
    <w:rsid w:val="009F433D"/>
    <w:rsid w:val="009F690B"/>
    <w:rsid w:val="009F6EDD"/>
    <w:rsid w:val="009F7188"/>
    <w:rsid w:val="00A016D8"/>
    <w:rsid w:val="00A05450"/>
    <w:rsid w:val="00A126A6"/>
    <w:rsid w:val="00A239B5"/>
    <w:rsid w:val="00A33377"/>
    <w:rsid w:val="00A336F6"/>
    <w:rsid w:val="00A36DDD"/>
    <w:rsid w:val="00A42101"/>
    <w:rsid w:val="00A46EC4"/>
    <w:rsid w:val="00A54AD1"/>
    <w:rsid w:val="00A56D0C"/>
    <w:rsid w:val="00A57800"/>
    <w:rsid w:val="00A6000D"/>
    <w:rsid w:val="00A65910"/>
    <w:rsid w:val="00A65CB7"/>
    <w:rsid w:val="00A65ECD"/>
    <w:rsid w:val="00A70C6D"/>
    <w:rsid w:val="00A72B76"/>
    <w:rsid w:val="00A733CE"/>
    <w:rsid w:val="00A74EFB"/>
    <w:rsid w:val="00A75DAB"/>
    <w:rsid w:val="00A76701"/>
    <w:rsid w:val="00A77B04"/>
    <w:rsid w:val="00A8047A"/>
    <w:rsid w:val="00A83593"/>
    <w:rsid w:val="00A83B88"/>
    <w:rsid w:val="00A843D1"/>
    <w:rsid w:val="00A84EED"/>
    <w:rsid w:val="00A911D5"/>
    <w:rsid w:val="00A96019"/>
    <w:rsid w:val="00A96819"/>
    <w:rsid w:val="00A97669"/>
    <w:rsid w:val="00AA2623"/>
    <w:rsid w:val="00AA2862"/>
    <w:rsid w:val="00AA4778"/>
    <w:rsid w:val="00AA47DC"/>
    <w:rsid w:val="00AA73A4"/>
    <w:rsid w:val="00AB2EE5"/>
    <w:rsid w:val="00AB6891"/>
    <w:rsid w:val="00AB7288"/>
    <w:rsid w:val="00AC59A5"/>
    <w:rsid w:val="00AC6808"/>
    <w:rsid w:val="00AE0B66"/>
    <w:rsid w:val="00AE0D67"/>
    <w:rsid w:val="00AE63CA"/>
    <w:rsid w:val="00AF6016"/>
    <w:rsid w:val="00B00DE2"/>
    <w:rsid w:val="00B05124"/>
    <w:rsid w:val="00B2302C"/>
    <w:rsid w:val="00B24D20"/>
    <w:rsid w:val="00B27528"/>
    <w:rsid w:val="00B30331"/>
    <w:rsid w:val="00B3090D"/>
    <w:rsid w:val="00B312BB"/>
    <w:rsid w:val="00B312D7"/>
    <w:rsid w:val="00B35F39"/>
    <w:rsid w:val="00B46E03"/>
    <w:rsid w:val="00B47447"/>
    <w:rsid w:val="00B4773E"/>
    <w:rsid w:val="00B5106F"/>
    <w:rsid w:val="00B525C2"/>
    <w:rsid w:val="00B529FC"/>
    <w:rsid w:val="00B6079D"/>
    <w:rsid w:val="00B60818"/>
    <w:rsid w:val="00B613D6"/>
    <w:rsid w:val="00B62491"/>
    <w:rsid w:val="00B73B22"/>
    <w:rsid w:val="00B765BF"/>
    <w:rsid w:val="00B86588"/>
    <w:rsid w:val="00B91523"/>
    <w:rsid w:val="00B944E9"/>
    <w:rsid w:val="00B956E3"/>
    <w:rsid w:val="00B97269"/>
    <w:rsid w:val="00B97D95"/>
    <w:rsid w:val="00BA35FB"/>
    <w:rsid w:val="00BA47A0"/>
    <w:rsid w:val="00BA53EF"/>
    <w:rsid w:val="00BA6C5D"/>
    <w:rsid w:val="00BB76A0"/>
    <w:rsid w:val="00BC3CC1"/>
    <w:rsid w:val="00BC6786"/>
    <w:rsid w:val="00BD001D"/>
    <w:rsid w:val="00BD5A55"/>
    <w:rsid w:val="00BE2C21"/>
    <w:rsid w:val="00BE2CCE"/>
    <w:rsid w:val="00C14E36"/>
    <w:rsid w:val="00C20E17"/>
    <w:rsid w:val="00C263F8"/>
    <w:rsid w:val="00C27625"/>
    <w:rsid w:val="00C44441"/>
    <w:rsid w:val="00C552D7"/>
    <w:rsid w:val="00C56362"/>
    <w:rsid w:val="00C61CEF"/>
    <w:rsid w:val="00C664AE"/>
    <w:rsid w:val="00C66DAE"/>
    <w:rsid w:val="00C74881"/>
    <w:rsid w:val="00C86D6D"/>
    <w:rsid w:val="00C96C83"/>
    <w:rsid w:val="00CA0AAE"/>
    <w:rsid w:val="00CA46D4"/>
    <w:rsid w:val="00CA6B29"/>
    <w:rsid w:val="00CB1F51"/>
    <w:rsid w:val="00CB341D"/>
    <w:rsid w:val="00CC1B36"/>
    <w:rsid w:val="00CD0584"/>
    <w:rsid w:val="00CD5192"/>
    <w:rsid w:val="00CE2002"/>
    <w:rsid w:val="00CE5A15"/>
    <w:rsid w:val="00CF03A4"/>
    <w:rsid w:val="00CF389E"/>
    <w:rsid w:val="00CF59EA"/>
    <w:rsid w:val="00D03C6C"/>
    <w:rsid w:val="00D11975"/>
    <w:rsid w:val="00D12E43"/>
    <w:rsid w:val="00D147E5"/>
    <w:rsid w:val="00D14AC5"/>
    <w:rsid w:val="00D15B5A"/>
    <w:rsid w:val="00D20534"/>
    <w:rsid w:val="00D26F49"/>
    <w:rsid w:val="00D30477"/>
    <w:rsid w:val="00D33548"/>
    <w:rsid w:val="00D37C1D"/>
    <w:rsid w:val="00D41053"/>
    <w:rsid w:val="00D43590"/>
    <w:rsid w:val="00D43693"/>
    <w:rsid w:val="00D44A3A"/>
    <w:rsid w:val="00D46C12"/>
    <w:rsid w:val="00D50B62"/>
    <w:rsid w:val="00D54515"/>
    <w:rsid w:val="00D56062"/>
    <w:rsid w:val="00D57466"/>
    <w:rsid w:val="00D625D3"/>
    <w:rsid w:val="00D63975"/>
    <w:rsid w:val="00D644FD"/>
    <w:rsid w:val="00D659E2"/>
    <w:rsid w:val="00D671B6"/>
    <w:rsid w:val="00D71DDF"/>
    <w:rsid w:val="00D8382D"/>
    <w:rsid w:val="00D849EB"/>
    <w:rsid w:val="00D850E2"/>
    <w:rsid w:val="00D90D2D"/>
    <w:rsid w:val="00D9256F"/>
    <w:rsid w:val="00D96CED"/>
    <w:rsid w:val="00DB14C0"/>
    <w:rsid w:val="00DB4D7C"/>
    <w:rsid w:val="00DB6558"/>
    <w:rsid w:val="00DC0327"/>
    <w:rsid w:val="00DC0CDB"/>
    <w:rsid w:val="00DC0EA9"/>
    <w:rsid w:val="00DD42BE"/>
    <w:rsid w:val="00DD54AF"/>
    <w:rsid w:val="00DD68DF"/>
    <w:rsid w:val="00DD7A64"/>
    <w:rsid w:val="00DE5B17"/>
    <w:rsid w:val="00E018A8"/>
    <w:rsid w:val="00E02BBD"/>
    <w:rsid w:val="00E11A68"/>
    <w:rsid w:val="00E17F45"/>
    <w:rsid w:val="00E219B8"/>
    <w:rsid w:val="00E26640"/>
    <w:rsid w:val="00E30398"/>
    <w:rsid w:val="00E3096F"/>
    <w:rsid w:val="00E3177D"/>
    <w:rsid w:val="00E32046"/>
    <w:rsid w:val="00E45890"/>
    <w:rsid w:val="00E50CC6"/>
    <w:rsid w:val="00E67378"/>
    <w:rsid w:val="00E71915"/>
    <w:rsid w:val="00E9113D"/>
    <w:rsid w:val="00E9176B"/>
    <w:rsid w:val="00EA18E0"/>
    <w:rsid w:val="00EA1A18"/>
    <w:rsid w:val="00EA3D9F"/>
    <w:rsid w:val="00EB3D55"/>
    <w:rsid w:val="00EB7AA4"/>
    <w:rsid w:val="00EC5668"/>
    <w:rsid w:val="00ED05C2"/>
    <w:rsid w:val="00ED46A0"/>
    <w:rsid w:val="00EE02F0"/>
    <w:rsid w:val="00EE3986"/>
    <w:rsid w:val="00EF036F"/>
    <w:rsid w:val="00EF25CE"/>
    <w:rsid w:val="00F01B09"/>
    <w:rsid w:val="00F26C1C"/>
    <w:rsid w:val="00F32D91"/>
    <w:rsid w:val="00F42A9E"/>
    <w:rsid w:val="00F431E2"/>
    <w:rsid w:val="00F52B33"/>
    <w:rsid w:val="00F53429"/>
    <w:rsid w:val="00F54787"/>
    <w:rsid w:val="00F54E17"/>
    <w:rsid w:val="00F57A8C"/>
    <w:rsid w:val="00F61B55"/>
    <w:rsid w:val="00F66781"/>
    <w:rsid w:val="00F702B7"/>
    <w:rsid w:val="00F728B3"/>
    <w:rsid w:val="00F77911"/>
    <w:rsid w:val="00F8274E"/>
    <w:rsid w:val="00F83C49"/>
    <w:rsid w:val="00F92470"/>
    <w:rsid w:val="00F942AA"/>
    <w:rsid w:val="00F96453"/>
    <w:rsid w:val="00FA0121"/>
    <w:rsid w:val="00FA3A54"/>
    <w:rsid w:val="00FB2E38"/>
    <w:rsid w:val="00FC1FD9"/>
    <w:rsid w:val="00FC3AE9"/>
    <w:rsid w:val="00FD5791"/>
    <w:rsid w:val="00FE2637"/>
    <w:rsid w:val="00FE55B1"/>
    <w:rsid w:val="00FE665A"/>
    <w:rsid w:val="00FF4778"/>
    <w:rsid w:val="00FF6968"/>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24DE"/>
  <w15:docId w15:val="{7A84C8CC-7ED0-40AE-A24B-A16E2BCF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pPr>
      <w:spacing w:after="120"/>
      <w:jc w:val="both"/>
    </w:pPr>
  </w:style>
  <w:style w:type="paragraph" w:styleId="Cmsor1">
    <w:name w:val="heading 1"/>
    <w:aliases w:val="ECC Heading 1"/>
    <w:basedOn w:val="Norml"/>
    <w:next w:val="Norml"/>
    <w:link w:val="Cmsor1Char"/>
    <w:qFormat/>
    <w:pPr>
      <w:keepNext/>
      <w:keepLines/>
      <w:numPr>
        <w:numId w:val="17"/>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aliases w:val="ECC Heading 2"/>
    <w:basedOn w:val="Norml"/>
    <w:next w:val="Norml"/>
    <w:link w:val="Cmsor2Char"/>
    <w:unhideWhenUsed/>
    <w:qFormat/>
    <w:pPr>
      <w:keepNext/>
      <w:keepLines/>
      <w:numPr>
        <w:ilvl w:val="1"/>
        <w:numId w:val="17"/>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aliases w:val="ECC Heading 3"/>
    <w:basedOn w:val="Norml"/>
    <w:next w:val="Norml"/>
    <w:link w:val="Cmsor3Char"/>
    <w:unhideWhenUsed/>
    <w:qFormat/>
    <w:pPr>
      <w:keepNext/>
      <w:keepLines/>
      <w:numPr>
        <w:ilvl w:val="2"/>
        <w:numId w:val="17"/>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aliases w:val="ECC Heading 4"/>
    <w:basedOn w:val="Norml"/>
    <w:next w:val="Norml"/>
    <w:link w:val="Cmsor4Char"/>
    <w:unhideWhenUsed/>
    <w:qFormat/>
    <w:pPr>
      <w:keepNext/>
      <w:keepLines/>
      <w:numPr>
        <w:ilvl w:val="3"/>
        <w:numId w:val="17"/>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nhideWhenUsed/>
    <w:qFormat/>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CC Heading 1 Char"/>
    <w:basedOn w:val="Bekezdsalapbettpusa"/>
    <w:link w:val="Cmsor1"/>
    <w:uiPriority w:val="9"/>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pPr>
      <w:numPr>
        <w:numId w:val="0"/>
      </w:numPr>
      <w:outlineLvl w:val="9"/>
    </w:pPr>
  </w:style>
  <w:style w:type="paragraph" w:styleId="lfej">
    <w:name w:val="header"/>
    <w:aliases w:val="encabezado,he,header odd,header odd1,header odd2,header"/>
    <w:basedOn w:val="Norml"/>
    <w:link w:val="lfejChar"/>
    <w:unhideWhenUsed/>
    <w:pPr>
      <w:tabs>
        <w:tab w:val="center" w:pos="4536"/>
        <w:tab w:val="right" w:pos="9072"/>
      </w:tabs>
      <w:spacing w:after="0" w:line="240" w:lineRule="auto"/>
    </w:pPr>
  </w:style>
  <w:style w:type="paragraph" w:styleId="Listaszerbekezds">
    <w:name w:val="List Paragraph"/>
    <w:basedOn w:val="Norml"/>
    <w:link w:val="ListaszerbekezdsChar"/>
    <w:uiPriority w:val="34"/>
    <w:qFormat/>
    <w:pPr>
      <w:ind w:left="720"/>
      <w:contextualSpacing/>
    </w:pPr>
  </w:style>
  <w:style w:type="character" w:customStyle="1" w:styleId="lfejChar">
    <w:name w:val="Élőfej Char"/>
    <w:aliases w:val="encabezado Char,he Char,header odd Char,header odd1 Char,header odd2 Char,header Char"/>
    <w:basedOn w:val="Bekezdsalapbettpusa"/>
    <w:link w:val="lfej"/>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customStyle="1" w:styleId="Cmnmhh">
    <w:name w:val="Cím_nmhh"/>
    <w:basedOn w:val="Cm"/>
    <w:qFormat/>
    <w:pPr>
      <w:pBdr>
        <w:bottom w:val="none" w:sz="0" w:space="0" w:color="auto"/>
      </w:pBdr>
      <w:spacing w:after="480" w:line="720" w:lineRule="exact"/>
      <w:ind w:left="890"/>
      <w:contextualSpacing w:val="0"/>
      <w:jc w:val="left"/>
    </w:pPr>
    <w:rPr>
      <w:b/>
      <w:color w:val="0556A5"/>
      <w:sz w:val="60"/>
    </w:rPr>
  </w:style>
  <w:style w:type="paragraph" w:customStyle="1" w:styleId="Osztlynmhh">
    <w:name w:val="Osztály_nmhh"/>
    <w:basedOn w:val="Norml"/>
    <w:next w:val="Norml"/>
    <w:qFormat/>
    <w:pPr>
      <w:spacing w:after="0"/>
      <w:ind w:left="890"/>
      <w:jc w:val="left"/>
    </w:pPr>
    <w:rPr>
      <w:caps/>
      <w:color w:val="43525A"/>
      <w:sz w:val="36"/>
    </w:rPr>
  </w:style>
  <w:style w:type="paragraph" w:styleId="Cm">
    <w:name w:val="Title"/>
    <w:basedOn w:val="Norml"/>
    <w:next w:val="Norml"/>
    <w:link w:val="Cm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pPr>
      <w:spacing w:after="0"/>
      <w:ind w:left="890"/>
      <w:jc w:val="left"/>
    </w:pPr>
    <w:rPr>
      <w:color w:val="43525A"/>
      <w:sz w:val="30"/>
    </w:rPr>
  </w:style>
  <w:style w:type="paragraph" w:customStyle="1" w:styleId="Tartalomjegyzkcmsoranmhh">
    <w:name w:val="Tartalomjegyzék_címsora_nmhh"/>
    <w:basedOn w:val="Tartalomjegyzkcmsora"/>
    <w:link w:val="TartalomjegyzkcmsoranmhhChar"/>
    <w:qFormat/>
    <w:rPr>
      <w:color w:val="43525A"/>
      <w:sz w:val="36"/>
    </w:rPr>
  </w:style>
  <w:style w:type="character" w:customStyle="1" w:styleId="BortlapegybnmhhChar">
    <w:name w:val="Borítólap egyéb_nmhh Char"/>
    <w:basedOn w:val="Bekezdsalapbettpusa"/>
    <w:link w:val="Bortlapegybnmhh"/>
    <w:rPr>
      <w:color w:val="43525A"/>
      <w:sz w:val="30"/>
    </w:rPr>
  </w:style>
  <w:style w:type="paragraph" w:customStyle="1" w:styleId="Bekezdsnmhh">
    <w:name w:val="Bekezdés_nmhh"/>
    <w:basedOn w:val="Norml"/>
    <w:link w:val="BekezdsnmhhChar"/>
    <w:qFormat/>
    <w:rPr>
      <w:sz w:val="20"/>
      <w:szCs w:val="20"/>
    </w:rPr>
  </w:style>
  <w:style w:type="character" w:customStyle="1" w:styleId="TartalomjegyzkcmsoraChar">
    <w:name w:val="Tartalomjegyzék címsora Char"/>
    <w:basedOn w:val="Cmsor1Char"/>
    <w:link w:val="Tartalomjegyzkcmsora"/>
    <w:uiPriority w:val="39"/>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Pr>
      <w:rFonts w:asciiTheme="majorHAnsi" w:eastAsiaTheme="majorEastAsia" w:hAnsiTheme="majorHAnsi" w:cstheme="majorBidi"/>
      <w:b/>
      <w:bCs/>
      <w:color w:val="43525A"/>
      <w:sz w:val="36"/>
      <w:szCs w:val="28"/>
    </w:rPr>
  </w:style>
  <w:style w:type="paragraph" w:customStyle="1" w:styleId="Behzottbekezdsnmhh">
    <w:name w:val="Behúzott_bekezdés_nmhh"/>
    <w:basedOn w:val="Norml"/>
    <w:link w:val="BehzottbekezdsnmhhChar"/>
    <w:qFormat/>
    <w:pPr>
      <w:ind w:firstLine="357"/>
    </w:pPr>
    <w:rPr>
      <w:sz w:val="20"/>
      <w:szCs w:val="20"/>
    </w:rPr>
  </w:style>
  <w:style w:type="character" w:customStyle="1" w:styleId="BekezdsnmhhChar">
    <w:name w:val="Bekezdés_nmhh Char"/>
    <w:basedOn w:val="Bekezdsalapbettpusa"/>
    <w:link w:val="Bekezdsnmhh"/>
    <w:rPr>
      <w:sz w:val="20"/>
      <w:szCs w:val="20"/>
    </w:rPr>
  </w:style>
  <w:style w:type="paragraph" w:customStyle="1" w:styleId="Felsorolsbekezdsnmhh">
    <w:name w:val="Felsorolás_bekezdés_nmhh"/>
    <w:basedOn w:val="Norml"/>
    <w:qFormat/>
    <w:pPr>
      <w:ind w:left="709"/>
    </w:pPr>
    <w:rPr>
      <w:color w:val="43525A"/>
      <w:sz w:val="20"/>
      <w:szCs w:val="20"/>
    </w:rPr>
  </w:style>
  <w:style w:type="character" w:customStyle="1" w:styleId="BehzottbekezdsnmhhChar">
    <w:name w:val="Behúzott_bekezdés_nmhh Char"/>
    <w:basedOn w:val="Bekezdsalapbettpusa"/>
    <w:link w:val="Behzottbekezdsnmhh"/>
    <w:rPr>
      <w:sz w:val="20"/>
      <w:szCs w:val="20"/>
    </w:rPr>
  </w:style>
  <w:style w:type="paragraph" w:customStyle="1" w:styleId="Felsorolsnmhh">
    <w:name w:val="Felsorolás_nmhh"/>
    <w:basedOn w:val="Listaszerbekezds"/>
    <w:link w:val="FelsorolsnmhhChar"/>
    <w:qFormat/>
    <w:pPr>
      <w:numPr>
        <w:numId w:val="26"/>
      </w:numPr>
      <w:ind w:left="714" w:hanging="357"/>
    </w:pPr>
    <w:rPr>
      <w:b/>
      <w:color w:val="43525A"/>
      <w:sz w:val="20"/>
      <w:szCs w:val="20"/>
    </w:rPr>
  </w:style>
  <w:style w:type="paragraph" w:customStyle="1" w:styleId="Felsorols1nmhh">
    <w:name w:val="Felsorolás1_nmhh"/>
    <w:basedOn w:val="Listaszerbekezds"/>
    <w:link w:val="Felsorols1nmhhChar"/>
    <w:qFormat/>
    <w:pPr>
      <w:numPr>
        <w:numId w:val="28"/>
      </w:numPr>
      <w:ind w:left="357" w:hanging="357"/>
      <w:contextualSpacing w:val="0"/>
    </w:pPr>
    <w:rPr>
      <w:b/>
      <w:color w:val="43525A"/>
      <w:sz w:val="20"/>
      <w:szCs w:val="20"/>
    </w:rPr>
  </w:style>
  <w:style w:type="character" w:customStyle="1" w:styleId="ListaszerbekezdsChar">
    <w:name w:val="Listaszerű bekezdés Char"/>
    <w:basedOn w:val="Bekezdsalapbettpusa"/>
    <w:link w:val="Listaszerbekezds"/>
    <w:uiPriority w:val="34"/>
  </w:style>
  <w:style w:type="character" w:customStyle="1" w:styleId="FelsorolsnmhhChar">
    <w:name w:val="Felsorolás_nmhh Char"/>
    <w:basedOn w:val="ListaszerbekezdsChar"/>
    <w:link w:val="Felsorolsnmhh"/>
    <w:rPr>
      <w:b/>
      <w:color w:val="43525A"/>
      <w:sz w:val="20"/>
      <w:szCs w:val="20"/>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pPr>
      <w:numPr>
        <w:numId w:val="27"/>
      </w:numPr>
      <w:ind w:left="357" w:hanging="357"/>
    </w:pPr>
    <w:rPr>
      <w:b/>
      <w:color w:val="43525A"/>
      <w:sz w:val="20"/>
      <w:szCs w:val="20"/>
    </w:rPr>
  </w:style>
  <w:style w:type="character" w:customStyle="1" w:styleId="Felsorols1nmhhChar">
    <w:name w:val="Felsorolás1_nmhh Char"/>
    <w:basedOn w:val="ListaszerbekezdsChar"/>
    <w:link w:val="Felsorols1nmhh"/>
    <w:rPr>
      <w:b/>
      <w:color w:val="43525A"/>
      <w:sz w:val="20"/>
      <w:szCs w:val="20"/>
    </w:rPr>
  </w:style>
  <w:style w:type="paragraph" w:customStyle="1" w:styleId="Lista1nmhh">
    <w:name w:val="Lista1_nmhh"/>
    <w:basedOn w:val="Listaszerbekezds"/>
    <w:link w:val="Lista1nmhhChar"/>
    <w:qFormat/>
    <w:pPr>
      <w:numPr>
        <w:numId w:val="30"/>
      </w:numPr>
      <w:spacing w:after="0"/>
      <w:ind w:left="714" w:hanging="357"/>
    </w:pPr>
    <w:rPr>
      <w:color w:val="43525A"/>
      <w:sz w:val="20"/>
      <w:szCs w:val="20"/>
    </w:rPr>
  </w:style>
  <w:style w:type="character" w:customStyle="1" w:styleId="Felsorols2nmhhChar">
    <w:name w:val="Felsorolás2_nmhh Char"/>
    <w:basedOn w:val="ListaszerbekezdsChar"/>
    <w:link w:val="Felsorols2nmhh"/>
    <w:rPr>
      <w:b/>
      <w:color w:val="43525A"/>
      <w:sz w:val="20"/>
      <w:szCs w:val="20"/>
    </w:rPr>
  </w:style>
  <w:style w:type="paragraph" w:customStyle="1" w:styleId="Lista2nmhh">
    <w:name w:val="Lista2_nmhh"/>
    <w:basedOn w:val="Listaszerbekezds"/>
    <w:link w:val="Lista2nmhhChar"/>
    <w:qFormat/>
    <w:pPr>
      <w:numPr>
        <w:numId w:val="31"/>
      </w:numPr>
      <w:spacing w:after="0"/>
    </w:pPr>
    <w:rPr>
      <w:color w:val="43525A"/>
      <w:sz w:val="20"/>
      <w:szCs w:val="20"/>
    </w:rPr>
  </w:style>
  <w:style w:type="character" w:customStyle="1" w:styleId="Lista1nmhhChar">
    <w:name w:val="Lista1_nmhh Char"/>
    <w:basedOn w:val="ListaszerbekezdsChar"/>
    <w:link w:val="Lista1nmhh"/>
    <w:rPr>
      <w:color w:val="43525A"/>
      <w:sz w:val="20"/>
      <w:szCs w:val="20"/>
    </w:rPr>
  </w:style>
  <w:style w:type="paragraph" w:customStyle="1" w:styleId="Cmsorszmozatlannmhh">
    <w:name w:val="Címsor_számozatlan_nmhh"/>
    <w:basedOn w:val="Norml"/>
    <w:next w:val="Behzottbekezdsnmhh"/>
    <w:link w:val="CmsorszmozatlannmhhChar"/>
    <w:qFormat/>
    <w:pPr>
      <w:pageBreakBefore/>
      <w:tabs>
        <w:tab w:val="left" w:pos="6564"/>
      </w:tabs>
      <w:spacing w:after="240"/>
      <w:jc w:val="left"/>
    </w:pPr>
    <w:rPr>
      <w:rFonts w:asciiTheme="majorHAnsi" w:hAnsiTheme="majorHAnsi" w:cstheme="majorHAnsi"/>
      <w:b/>
      <w:color w:val="43525A"/>
      <w:sz w:val="36"/>
      <w:szCs w:val="36"/>
    </w:rPr>
  </w:style>
  <w:style w:type="character" w:customStyle="1" w:styleId="Lista2nmhhChar">
    <w:name w:val="Lista2_nmhh Char"/>
    <w:basedOn w:val="ListaszerbekezdsChar"/>
    <w:link w:val="Lista2nmhh"/>
    <w:rPr>
      <w:color w:val="43525A"/>
      <w:sz w:val="20"/>
      <w:szCs w:val="20"/>
    </w:rPr>
  </w:style>
  <w:style w:type="paragraph" w:customStyle="1" w:styleId="Cmsor1szmozottnmhh">
    <w:name w:val="Címsor1_számozott_nmhh"/>
    <w:basedOn w:val="Listaszerbekezds"/>
    <w:next w:val="Behzottbekezdsnmhh"/>
    <w:link w:val="Cmsor1szmozottnmhhChar"/>
    <w:qFormat/>
    <w:pPr>
      <w:pageBreakBefore/>
      <w:numPr>
        <w:numId w:val="29"/>
      </w:numPr>
      <w:spacing w:after="240"/>
      <w:ind w:left="432"/>
      <w:contextualSpacing w:val="0"/>
      <w:jc w:val="left"/>
      <w:outlineLvl w:val="0"/>
    </w:pPr>
    <w:rPr>
      <w:rFonts w:asciiTheme="majorHAnsi" w:hAnsiTheme="majorHAnsi" w:cstheme="majorHAnsi"/>
      <w:b/>
      <w:color w:val="43525A"/>
      <w:sz w:val="36"/>
      <w:szCs w:val="36"/>
    </w:rPr>
  </w:style>
  <w:style w:type="character" w:customStyle="1" w:styleId="CmsorszmozatlannmhhChar">
    <w:name w:val="Címsor_számozatlan_nmhh Char"/>
    <w:basedOn w:val="Bekezdsalapbettpusa"/>
    <w:link w:val="Cmsorszmozatlannmhh"/>
    <w:rPr>
      <w:rFonts w:asciiTheme="majorHAnsi" w:hAnsiTheme="majorHAnsi" w:cstheme="majorHAnsi"/>
      <w:b/>
      <w:color w:val="43525A"/>
      <w:sz w:val="36"/>
      <w:szCs w:val="36"/>
    </w:rPr>
  </w:style>
  <w:style w:type="paragraph" w:customStyle="1" w:styleId="Cmsor2szmozottnmhh">
    <w:name w:val="Címsor2_számozott_nmhh"/>
    <w:basedOn w:val="Listaszerbekezds"/>
    <w:next w:val="Behzottbekezdsnmhh"/>
    <w:link w:val="Cmsor2szmozottnmhhChar"/>
    <w:qFormat/>
    <w:pPr>
      <w:numPr>
        <w:ilvl w:val="1"/>
        <w:numId w:val="29"/>
      </w:numPr>
      <w:spacing w:after="240"/>
      <w:contextualSpacing w:val="0"/>
      <w:jc w:val="left"/>
      <w:outlineLvl w:val="1"/>
    </w:pPr>
    <w:rPr>
      <w:rFonts w:asciiTheme="majorHAnsi" w:hAnsiTheme="majorHAnsi" w:cstheme="majorHAnsi"/>
      <w:b/>
      <w:color w:val="43525A"/>
      <w:sz w:val="32"/>
      <w:szCs w:val="32"/>
    </w:rPr>
  </w:style>
  <w:style w:type="character" w:customStyle="1" w:styleId="Cmsor1szmozottnmhhChar">
    <w:name w:val="Címsor1_számozott_nmhh Char"/>
    <w:basedOn w:val="ListaszerbekezdsChar"/>
    <w:link w:val="Cmsor1szmozottnmhh"/>
    <w:rPr>
      <w:rFonts w:asciiTheme="majorHAnsi" w:hAnsiTheme="majorHAnsi" w:cstheme="majorHAnsi"/>
      <w:b/>
      <w:color w:val="43525A"/>
      <w:sz w:val="36"/>
      <w:szCs w:val="36"/>
    </w:rPr>
  </w:style>
  <w:style w:type="paragraph" w:customStyle="1" w:styleId="Cmsor3szmozottnmhh">
    <w:name w:val="Címsor3_számozott_nmhh"/>
    <w:basedOn w:val="Listaszerbekezds"/>
    <w:next w:val="Behzottbekezdsnmhh"/>
    <w:link w:val="Cmsor3szmozottnmhhChar"/>
    <w:qFormat/>
    <w:pPr>
      <w:numPr>
        <w:ilvl w:val="2"/>
        <w:numId w:val="29"/>
      </w:numPr>
      <w:spacing w:after="240"/>
      <w:contextualSpacing w:val="0"/>
      <w:jc w:val="left"/>
      <w:outlineLvl w:val="2"/>
    </w:pPr>
    <w:rPr>
      <w:rFonts w:asciiTheme="majorHAnsi" w:hAnsiTheme="majorHAnsi" w:cstheme="majorHAnsi"/>
      <w:b/>
      <w:color w:val="43525A"/>
      <w:sz w:val="28"/>
      <w:szCs w:val="28"/>
    </w:rPr>
  </w:style>
  <w:style w:type="character" w:customStyle="1" w:styleId="Cmsor2szmozottnmhhChar">
    <w:name w:val="Címsor2_számozott_nmhh Char"/>
    <w:basedOn w:val="ListaszerbekezdsChar"/>
    <w:link w:val="Cmsor2szmozottnmhh"/>
    <w:rPr>
      <w:rFonts w:asciiTheme="majorHAnsi" w:hAnsiTheme="majorHAnsi" w:cstheme="majorHAnsi"/>
      <w:b/>
      <w:color w:val="43525A"/>
      <w:sz w:val="32"/>
      <w:szCs w:val="32"/>
    </w:rPr>
  </w:style>
  <w:style w:type="paragraph" w:customStyle="1" w:styleId="Cmsor4szmozottnmhh">
    <w:name w:val="Címsor4_számozott_nmhh"/>
    <w:basedOn w:val="Listaszerbekezds"/>
    <w:next w:val="Behzottbekezdsnmhh"/>
    <w:link w:val="Cmsor4szmozottnmhhChar"/>
    <w:qFormat/>
    <w:pPr>
      <w:numPr>
        <w:ilvl w:val="3"/>
        <w:numId w:val="29"/>
      </w:numPr>
      <w:spacing w:after="240"/>
      <w:contextualSpacing w:val="0"/>
      <w:jc w:val="left"/>
      <w:outlineLvl w:val="3"/>
    </w:pPr>
    <w:rPr>
      <w:rFonts w:asciiTheme="majorHAnsi" w:hAnsiTheme="majorHAnsi" w:cstheme="majorHAnsi"/>
      <w:b/>
      <w:color w:val="43525A"/>
      <w:sz w:val="24"/>
      <w:szCs w:val="24"/>
    </w:rPr>
  </w:style>
  <w:style w:type="character" w:customStyle="1" w:styleId="Cmsor3szmozottnmhhChar">
    <w:name w:val="Címsor3_számozott_nmhh Char"/>
    <w:basedOn w:val="ListaszerbekezdsChar"/>
    <w:link w:val="Cmsor3szmozottnmhh"/>
    <w:rPr>
      <w:rFonts w:asciiTheme="majorHAnsi" w:hAnsiTheme="majorHAnsi" w:cstheme="majorHAnsi"/>
      <w:b/>
      <w:color w:val="43525A"/>
      <w:sz w:val="28"/>
      <w:szCs w:val="28"/>
    </w:rPr>
  </w:style>
  <w:style w:type="paragraph" w:customStyle="1" w:styleId="Irodalomjegyzkfelsorolsnmhh">
    <w:name w:val="Irodalomjegyzék_felsorolás_nmhh"/>
    <w:basedOn w:val="Bekezdsnmhh"/>
    <w:link w:val="IrodalomjegyzkfelsorolsnmhhChar"/>
    <w:qFormat/>
    <w:pPr>
      <w:numPr>
        <w:numId w:val="32"/>
      </w:numPr>
      <w:jc w:val="left"/>
    </w:pPr>
    <w:rPr>
      <w:color w:val="43525A"/>
    </w:rPr>
  </w:style>
  <w:style w:type="character" w:customStyle="1" w:styleId="Cmsor4szmozottnmhhChar">
    <w:name w:val="Címsor4_számozott_nmhh Char"/>
    <w:basedOn w:val="ListaszerbekezdsChar"/>
    <w:link w:val="Cmsor4szmozottnmhh"/>
    <w:rPr>
      <w:rFonts w:asciiTheme="majorHAnsi" w:hAnsiTheme="majorHAnsi" w:cstheme="majorHAnsi"/>
      <w:b/>
      <w:color w:val="43525A"/>
      <w:sz w:val="24"/>
      <w:szCs w:val="24"/>
    </w:rPr>
  </w:style>
  <w:style w:type="paragraph" w:styleId="TJ1">
    <w:name w:val="toc 1"/>
    <w:basedOn w:val="Norml"/>
    <w:next w:val="Norml"/>
    <w:autoRedefine/>
    <w:uiPriority w:val="39"/>
    <w:unhideWhenUsed/>
    <w:pPr>
      <w:spacing w:after="100"/>
    </w:pPr>
  </w:style>
  <w:style w:type="character" w:customStyle="1" w:styleId="IrodalomjegyzkfelsorolsnmhhChar">
    <w:name w:val="Irodalomjegyzék_felsorolás_nmhh Char"/>
    <w:basedOn w:val="BekezdsnmhhChar"/>
    <w:link w:val="Irodalomjegyzkfelsorolsnmhh"/>
    <w:rPr>
      <w:color w:val="43525A"/>
      <w:sz w:val="20"/>
      <w:szCs w:val="20"/>
    </w:rPr>
  </w:style>
  <w:style w:type="character" w:customStyle="1" w:styleId="Cmsor2Char">
    <w:name w:val="Címsor 2 Char"/>
    <w:aliases w:val="ECC Heading 2 Char"/>
    <w:basedOn w:val="Bekezdsalapbettpusa"/>
    <w:link w:val="Cmsor2"/>
    <w:uiPriority w:val="9"/>
    <w:semiHidden/>
    <w:rPr>
      <w:rFonts w:asciiTheme="majorHAnsi" w:eastAsiaTheme="majorEastAsia" w:hAnsiTheme="majorHAnsi" w:cstheme="majorBidi"/>
      <w:b/>
      <w:bCs/>
      <w:color w:val="666666" w:themeColor="text2" w:themeTint="99"/>
      <w:sz w:val="28"/>
      <w:szCs w:val="26"/>
    </w:rPr>
  </w:style>
  <w:style w:type="character" w:customStyle="1" w:styleId="Cmsor3Char">
    <w:name w:val="Címsor 3 Char"/>
    <w:aliases w:val="ECC Heading 3 Char"/>
    <w:basedOn w:val="Bekezdsalapbettpusa"/>
    <w:link w:val="Cmsor3"/>
    <w:uiPriority w:val="9"/>
    <w:semiHidden/>
    <w:rPr>
      <w:rFonts w:asciiTheme="majorHAnsi" w:eastAsiaTheme="majorEastAsia" w:hAnsiTheme="majorHAnsi" w:cstheme="majorBidi"/>
      <w:b/>
      <w:bCs/>
      <w:color w:val="999999" w:themeColor="text2" w:themeTint="66"/>
      <w:sz w:val="24"/>
    </w:rPr>
  </w:style>
  <w:style w:type="character" w:customStyle="1" w:styleId="Cmsor4Char">
    <w:name w:val="Címsor 4 Char"/>
    <w:aliases w:val="ECC Heading 4 Char"/>
    <w:basedOn w:val="Bekezdsalapbettpusa"/>
    <w:link w:val="Cmsor4"/>
    <w:uiPriority w:val="9"/>
    <w:semiHidden/>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pPr>
      <w:spacing w:after="100"/>
      <w:ind w:left="220"/>
    </w:pPr>
  </w:style>
  <w:style w:type="paragraph" w:styleId="TJ3">
    <w:name w:val="toc 3"/>
    <w:basedOn w:val="Norml"/>
    <w:next w:val="Norml"/>
    <w:autoRedefine/>
    <w:uiPriority w:val="39"/>
    <w:unhideWhenUsed/>
    <w:pPr>
      <w:spacing w:after="100"/>
      <w:ind w:left="440"/>
    </w:pPr>
  </w:style>
  <w:style w:type="paragraph" w:customStyle="1" w:styleId="BasicParagraph">
    <w:name w:val="[Basic Paragraph]"/>
    <w:basedOn w:val="Norml"/>
    <w:uiPriority w:val="99"/>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pPr>
      <w:spacing w:after="240" w:line="720" w:lineRule="exact"/>
      <w:jc w:val="left"/>
    </w:pPr>
    <w:rPr>
      <w:rFonts w:ascii="Arial" w:hAnsi="Arial" w:cstheme="minorBidi"/>
      <w:b/>
      <w:color w:val="911E6C"/>
      <w:sz w:val="60"/>
      <w:szCs w:val="60"/>
    </w:rPr>
  </w:style>
  <w:style w:type="paragraph" w:customStyle="1" w:styleId="Style3">
    <w:name w:val="Style3"/>
    <w:basedOn w:val="Norml"/>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Pr>
      <w:color w:val="808080"/>
    </w:rPr>
  </w:style>
  <w:style w:type="character" w:styleId="Hiperhivatkozs">
    <w:name w:val="Hyperlink"/>
    <w:basedOn w:val="Bekezdsalapbettpusa"/>
    <w:uiPriority w:val="99"/>
    <w:unhideWhenUsed/>
    <w:rPr>
      <w:color w:val="0000FF" w:themeColor="hyperlink"/>
      <w:u w:val="single"/>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table" w:styleId="Tblzatrcsosvilgos">
    <w:name w:val="Grid Table Light"/>
    <w:basedOn w:val="Normltblza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bjegyzetszveg">
    <w:name w:val="footnote text"/>
    <w:aliases w:val="Char,Footnote text,Footnote Text Char Char Char Char,Footnote Text Char Char,Footnote Text Char Char Char Char Char,Footnote Text Char Char Char Char Char Char Char Char,Footnote Text Char Char Char,Footnote Text Char1,Char1 Char, Char"/>
    <w:basedOn w:val="Norml"/>
    <w:link w:val="LbjegyzetszvegChar"/>
    <w:uiPriority w:val="99"/>
    <w:unhideWhenUsed/>
    <w:qFormat/>
    <w:rsid w:val="007B2341"/>
    <w:pPr>
      <w:spacing w:after="0" w:line="240" w:lineRule="auto"/>
    </w:pPr>
    <w:rPr>
      <w:rFonts w:ascii="Arial" w:eastAsia="Times New Roman" w:hAnsi="Arial" w:cs="Times New Roman"/>
      <w:sz w:val="20"/>
      <w:szCs w:val="20"/>
    </w:rPr>
  </w:style>
  <w:style w:type="character" w:customStyle="1" w:styleId="LbjegyzetszvegChar">
    <w:name w:val="Lábjegyzetszöveg Char"/>
    <w:aliases w:val="Char Char,Footnote text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B2341"/>
    <w:rPr>
      <w:rFonts w:ascii="Arial" w:eastAsia="Times New Roman" w:hAnsi="Arial" w:cs="Times New Roman"/>
      <w:sz w:val="20"/>
      <w:szCs w:val="20"/>
    </w:rPr>
  </w:style>
  <w:style w:type="character" w:styleId="Lbjegyzet-hivatkozs">
    <w:name w:val="footnote reference"/>
    <w:aliases w:val="Footnote symbol,Footnote,Nota"/>
    <w:basedOn w:val="Bekezdsalapbettpusa"/>
    <w:uiPriority w:val="99"/>
    <w:unhideWhenUsed/>
    <w:rsid w:val="007B2341"/>
    <w:rPr>
      <w:vertAlign w:val="superscript"/>
    </w:rPr>
  </w:style>
  <w:style w:type="table" w:customStyle="1" w:styleId="NormalTablePHPDOCX">
    <w:name w:val="Normal Table PHPDOCX"/>
    <w:uiPriority w:val="99"/>
    <w:semiHidden/>
    <w:unhideWhenUsed/>
    <w:qFormat/>
    <w:rsid w:val="00041388"/>
    <w:rPr>
      <w:rFonts w:cstheme="minorBidi"/>
      <w:lang w:val="en-US"/>
    </w:rPr>
    <w:tblPr>
      <w:tblInd w:w="0" w:type="dxa"/>
      <w:tblCellMar>
        <w:top w:w="0" w:type="dxa"/>
        <w:left w:w="108" w:type="dxa"/>
        <w:bottom w:w="0" w:type="dxa"/>
        <w:right w:w="108" w:type="dxa"/>
      </w:tblCellMar>
    </w:tblPr>
  </w:style>
  <w:style w:type="paragraph" w:customStyle="1" w:styleId="fnot1">
    <w:name w:val="fnot1"/>
    <w:basedOn w:val="Norml"/>
    <w:qFormat/>
    <w:rsid w:val="00F54787"/>
    <w:pPr>
      <w:spacing w:after="0" w:line="180" w:lineRule="atLeast"/>
      <w:jc w:val="left"/>
    </w:pPr>
    <w:rPr>
      <w:rFonts w:ascii="Arial" w:eastAsia="Times New Roman" w:hAnsi="Arial" w:cs="Times New Roman"/>
      <w:sz w:val="14"/>
      <w:szCs w:val="20"/>
    </w:rPr>
  </w:style>
  <w:style w:type="paragraph" w:customStyle="1" w:styleId="Hanging035">
    <w:name w:val="Hanging0_35"/>
    <w:basedOn w:val="Norml"/>
    <w:rsid w:val="00F54787"/>
    <w:pPr>
      <w:spacing w:after="0" w:line="240" w:lineRule="auto"/>
      <w:ind w:left="198" w:hanging="198"/>
      <w:jc w:val="left"/>
    </w:pPr>
    <w:rPr>
      <w:rFonts w:ascii="Arial" w:eastAsia="Times New Roman" w:hAnsi="Arial" w:cs="Times New Roman"/>
      <w:sz w:val="14"/>
      <w:szCs w:val="20"/>
      <w:lang w:eastAsia="hu-HU"/>
    </w:rPr>
  </w:style>
  <w:style w:type="character" w:styleId="Jegyzethivatkozs">
    <w:name w:val="annotation reference"/>
    <w:basedOn w:val="Bekezdsalapbettpusa"/>
    <w:uiPriority w:val="99"/>
    <w:unhideWhenUsed/>
    <w:rsid w:val="00F54787"/>
    <w:rPr>
      <w:sz w:val="16"/>
      <w:szCs w:val="16"/>
    </w:rPr>
  </w:style>
  <w:style w:type="paragraph" w:styleId="Jegyzetszveg">
    <w:name w:val="annotation text"/>
    <w:basedOn w:val="Norml"/>
    <w:link w:val="JegyzetszvegChar"/>
    <w:uiPriority w:val="99"/>
    <w:unhideWhenUsed/>
    <w:rsid w:val="00F54787"/>
    <w:pPr>
      <w:spacing w:line="240" w:lineRule="auto"/>
    </w:pPr>
    <w:rPr>
      <w:sz w:val="20"/>
      <w:szCs w:val="20"/>
    </w:rPr>
  </w:style>
  <w:style w:type="character" w:customStyle="1" w:styleId="JegyzetszvegChar">
    <w:name w:val="Jegyzetszöveg Char"/>
    <w:basedOn w:val="Bekezdsalapbettpusa"/>
    <w:link w:val="Jegyzetszveg"/>
    <w:uiPriority w:val="99"/>
    <w:rsid w:val="00F54787"/>
    <w:rPr>
      <w:sz w:val="20"/>
      <w:szCs w:val="20"/>
    </w:rPr>
  </w:style>
  <w:style w:type="paragraph" w:styleId="Megjegyzstrgya">
    <w:name w:val="annotation subject"/>
    <w:basedOn w:val="Jegyzetszveg"/>
    <w:next w:val="Jegyzetszveg"/>
    <w:link w:val="MegjegyzstrgyaChar"/>
    <w:uiPriority w:val="99"/>
    <w:semiHidden/>
    <w:unhideWhenUsed/>
    <w:rsid w:val="00C56362"/>
    <w:rPr>
      <w:b/>
      <w:bCs/>
    </w:rPr>
  </w:style>
  <w:style w:type="character" w:customStyle="1" w:styleId="MegjegyzstrgyaChar">
    <w:name w:val="Megjegyzés tárgya Char"/>
    <w:basedOn w:val="JegyzetszvegChar"/>
    <w:link w:val="Megjegyzstrgya"/>
    <w:uiPriority w:val="99"/>
    <w:semiHidden/>
    <w:rsid w:val="00C56362"/>
    <w:rPr>
      <w:b/>
      <w:bCs/>
      <w:sz w:val="20"/>
      <w:szCs w:val="20"/>
    </w:rPr>
  </w:style>
  <w:style w:type="paragraph" w:customStyle="1" w:styleId="fnot3">
    <w:name w:val="fnot3"/>
    <w:basedOn w:val="fnot1"/>
    <w:qFormat/>
    <w:rsid w:val="007B55E4"/>
    <w:pPr>
      <w:ind w:left="2007"/>
    </w:pPr>
  </w:style>
  <w:style w:type="character" w:customStyle="1" w:styleId="fr">
    <w:name w:val="fr"/>
    <w:basedOn w:val="Bekezdsalapbettpusa"/>
    <w:qFormat/>
    <w:rsid w:val="007B55E4"/>
    <w:rPr>
      <w:b/>
    </w:rPr>
  </w:style>
  <w:style w:type="paragraph" w:customStyle="1" w:styleId="fr1or2">
    <w:name w:val="fr1or2"/>
    <w:basedOn w:val="serv1"/>
    <w:qFormat/>
    <w:rsid w:val="007B55E4"/>
    <w:rPr>
      <w:b/>
    </w:rPr>
  </w:style>
  <w:style w:type="paragraph" w:customStyle="1" w:styleId="frserv3">
    <w:name w:val="frserv3"/>
    <w:basedOn w:val="fnot1"/>
    <w:qFormat/>
    <w:rsid w:val="007B55E4"/>
    <w:pPr>
      <w:tabs>
        <w:tab w:val="left" w:pos="2007"/>
      </w:tabs>
      <w:ind w:left="2121" w:hanging="2121"/>
    </w:pPr>
  </w:style>
  <w:style w:type="paragraph" w:customStyle="1" w:styleId="serv1">
    <w:name w:val="serv1"/>
    <w:basedOn w:val="fnot1"/>
    <w:rsid w:val="007B55E4"/>
    <w:pPr>
      <w:ind w:left="113" w:hanging="113"/>
    </w:pPr>
  </w:style>
  <w:style w:type="paragraph" w:customStyle="1" w:styleId="serv2">
    <w:name w:val="serv2"/>
    <w:basedOn w:val="Norml"/>
    <w:rsid w:val="007B55E4"/>
    <w:pPr>
      <w:spacing w:after="0" w:line="180" w:lineRule="atLeast"/>
      <w:ind w:left="567" w:hanging="113"/>
      <w:jc w:val="left"/>
    </w:pPr>
    <w:rPr>
      <w:rFonts w:ascii="Arial" w:eastAsia="Times New Roman" w:hAnsi="Arial" w:cs="Times New Roman"/>
      <w:sz w:val="14"/>
      <w:szCs w:val="20"/>
    </w:rPr>
  </w:style>
  <w:style w:type="paragraph" w:customStyle="1" w:styleId="serv3">
    <w:name w:val="serv3"/>
    <w:basedOn w:val="fnot3"/>
    <w:rsid w:val="007B55E4"/>
    <w:pPr>
      <w:ind w:left="2120" w:hanging="113"/>
    </w:pPr>
  </w:style>
  <w:style w:type="paragraph" w:customStyle="1" w:styleId="frthead">
    <w:name w:val="frthead"/>
    <w:basedOn w:val="fnot1"/>
    <w:qFormat/>
    <w:rsid w:val="007B55E4"/>
    <w:pPr>
      <w:jc w:val="center"/>
    </w:pPr>
  </w:style>
  <w:style w:type="paragraph" w:styleId="Szvegtrzs">
    <w:name w:val="Body Text"/>
    <w:basedOn w:val="Norml"/>
    <w:link w:val="SzvegtrzsChar"/>
    <w:uiPriority w:val="99"/>
    <w:rsid w:val="007B55E4"/>
    <w:pPr>
      <w:spacing w:after="0" w:line="240" w:lineRule="auto"/>
    </w:pPr>
    <w:rPr>
      <w:rFonts w:ascii="Arial" w:eastAsia="Times New Roman" w:hAnsi="Arial" w:cs="Times New Roman"/>
      <w:sz w:val="24"/>
      <w:szCs w:val="20"/>
    </w:rPr>
  </w:style>
  <w:style w:type="character" w:customStyle="1" w:styleId="SzvegtrzsChar">
    <w:name w:val="Szövegtörzs Char"/>
    <w:basedOn w:val="Bekezdsalapbettpusa"/>
    <w:link w:val="Szvegtrzs"/>
    <w:uiPriority w:val="99"/>
    <w:rsid w:val="007B55E4"/>
    <w:rPr>
      <w:rFonts w:ascii="Arial" w:eastAsia="Times New Roman" w:hAnsi="Arial" w:cs="Times New Roman"/>
      <w:sz w:val="24"/>
      <w:szCs w:val="20"/>
    </w:rPr>
  </w:style>
  <w:style w:type="paragraph" w:customStyle="1" w:styleId="cf0">
    <w:name w:val="cf0"/>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Szvegtrzsbehzssal">
    <w:name w:val="Body Text Indent"/>
    <w:basedOn w:val="Norml"/>
    <w:link w:val="SzvegtrzsbehzssalChar"/>
    <w:rsid w:val="007B55E4"/>
    <w:pPr>
      <w:spacing w:line="240" w:lineRule="auto"/>
      <w:ind w:left="283"/>
      <w:jc w:val="left"/>
    </w:pPr>
    <w:rPr>
      <w:rFonts w:ascii="Times New Roman" w:eastAsia="Times New Roman" w:hAnsi="Times New Roman" w:cs="Times New Roman"/>
      <w:sz w:val="24"/>
      <w:szCs w:val="24"/>
      <w:lang w:val="en-US"/>
    </w:rPr>
  </w:style>
  <w:style w:type="character" w:customStyle="1" w:styleId="SzvegtrzsbehzssalChar">
    <w:name w:val="Szövegtörzs behúzással Char"/>
    <w:basedOn w:val="Bekezdsalapbettpusa"/>
    <w:link w:val="Szvegtrzsbehzssal"/>
    <w:rsid w:val="007B55E4"/>
    <w:rPr>
      <w:rFonts w:ascii="Times New Roman" w:eastAsia="Times New Roman" w:hAnsi="Times New Roman" w:cs="Times New Roman"/>
      <w:sz w:val="24"/>
      <w:szCs w:val="24"/>
      <w:lang w:val="en-US"/>
    </w:rPr>
  </w:style>
  <w:style w:type="character" w:styleId="Kiemels2">
    <w:name w:val="Strong"/>
    <w:basedOn w:val="Bekezdsalapbettpusa"/>
    <w:uiPriority w:val="22"/>
    <w:qFormat/>
    <w:rsid w:val="007B55E4"/>
    <w:rPr>
      <w:b/>
      <w:bCs/>
    </w:rPr>
  </w:style>
  <w:style w:type="character" w:customStyle="1" w:styleId="apple-converted-space">
    <w:name w:val="apple-converted-space"/>
    <w:basedOn w:val="Bekezdsalapbettpusa"/>
    <w:rsid w:val="007B55E4"/>
  </w:style>
  <w:style w:type="character" w:styleId="Mrltotthiperhivatkozs">
    <w:name w:val="FollowedHyperlink"/>
    <w:basedOn w:val="Bekezdsalapbettpusa"/>
    <w:uiPriority w:val="99"/>
    <w:semiHidden/>
    <w:unhideWhenUsed/>
    <w:rsid w:val="007B55E4"/>
    <w:rPr>
      <w:color w:val="800080" w:themeColor="followedHyperlink"/>
      <w:u w:val="single"/>
    </w:rPr>
  </w:style>
  <w:style w:type="paragraph" w:customStyle="1" w:styleId="doc-ti">
    <w:name w:val="doc-ti"/>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Norml1">
    <w:name w:val="Normál1"/>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2">
    <w:name w:val="Body Text 2"/>
    <w:basedOn w:val="Norml"/>
    <w:link w:val="Szvegtrzs2Char"/>
    <w:unhideWhenUsed/>
    <w:rsid w:val="007B55E4"/>
    <w:pPr>
      <w:spacing w:line="480" w:lineRule="auto"/>
    </w:pPr>
  </w:style>
  <w:style w:type="character" w:customStyle="1" w:styleId="Szvegtrzs2Char">
    <w:name w:val="Szövegtörzs 2 Char"/>
    <w:basedOn w:val="Bekezdsalapbettpusa"/>
    <w:link w:val="Szvegtrzs2"/>
    <w:rsid w:val="007B55E4"/>
  </w:style>
  <w:style w:type="paragraph" w:styleId="Vltozat">
    <w:name w:val="Revision"/>
    <w:hidden/>
    <w:uiPriority w:val="99"/>
    <w:semiHidden/>
    <w:rsid w:val="007B55E4"/>
    <w:pPr>
      <w:spacing w:after="0" w:line="240" w:lineRule="auto"/>
    </w:pPr>
  </w:style>
  <w:style w:type="paragraph" w:customStyle="1" w:styleId="ECCTablenote">
    <w:name w:val="ECC Table note"/>
    <w:qFormat/>
    <w:rsid w:val="008C63E0"/>
    <w:pPr>
      <w:spacing w:after="0" w:line="240" w:lineRule="auto"/>
      <w:ind w:left="284" w:hanging="284"/>
      <w:jc w:val="both"/>
    </w:pPr>
    <w:rPr>
      <w:rFonts w:ascii="Arial" w:eastAsia="Times New Roman" w:hAnsi="Arial" w:cs="Times New Roman"/>
      <w:sz w:val="16"/>
      <w:szCs w:val="16"/>
      <w:lang w:val="en-GB"/>
    </w:rPr>
  </w:style>
  <w:style w:type="paragraph" w:customStyle="1" w:styleId="ECCFiguregraphcentered">
    <w:name w:val="ECC Figure/graph centered"/>
    <w:next w:val="Norml"/>
    <w:qFormat/>
    <w:rsid w:val="008C63E0"/>
    <w:pPr>
      <w:spacing w:before="240" w:after="240" w:line="240" w:lineRule="auto"/>
      <w:jc w:val="center"/>
    </w:pPr>
    <w:rPr>
      <w:rFonts w:ascii="Arial" w:eastAsia="Times New Roman" w:hAnsi="Arial" w:cs="Times New Roman"/>
      <w:noProof/>
      <w:sz w:val="20"/>
      <w:szCs w:val="20"/>
      <w:lang w:val="de-DE" w:eastAsia="de-DE"/>
      <w14:cntxtAlts/>
    </w:rPr>
  </w:style>
  <w:style w:type="paragraph" w:customStyle="1" w:styleId="ECCTabletext">
    <w:name w:val="ECC Table text"/>
    <w:basedOn w:val="Norml"/>
    <w:qFormat/>
    <w:rsid w:val="008C63E0"/>
    <w:pPr>
      <w:spacing w:after="60" w:line="240" w:lineRule="auto"/>
    </w:pPr>
    <w:rPr>
      <w:rFonts w:ascii="Arial" w:eastAsia="Calibri" w:hAnsi="Arial" w:cs="Times New Roman"/>
      <w:sz w:val="20"/>
      <w:lang w:val="en-GB"/>
    </w:rPr>
  </w:style>
  <w:style w:type="character" w:customStyle="1" w:styleId="ECCHLbold">
    <w:name w:val="ECC HL bold"/>
    <w:uiPriority w:val="1"/>
    <w:qFormat/>
    <w:rsid w:val="008C63E0"/>
    <w:rPr>
      <w:b/>
      <w:bCs w:val="0"/>
    </w:rPr>
  </w:style>
  <w:style w:type="paragraph" w:customStyle="1" w:styleId="Default">
    <w:name w:val="Default"/>
    <w:rsid w:val="008C63E0"/>
    <w:pPr>
      <w:autoSpaceDE w:val="0"/>
      <w:autoSpaceDN w:val="0"/>
      <w:adjustRightInd w:val="0"/>
      <w:spacing w:after="0" w:line="240" w:lineRule="auto"/>
    </w:pPr>
    <w:rPr>
      <w:rFonts w:ascii="EUAlbertina" w:hAnsi="EUAlbertina" w:cs="EUAlbertina"/>
      <w:color w:val="000000"/>
      <w:sz w:val="24"/>
      <w:szCs w:val="24"/>
    </w:rPr>
  </w:style>
  <w:style w:type="paragraph" w:styleId="Szvegtrzsbehzssal3">
    <w:name w:val="Body Text Indent 3"/>
    <w:basedOn w:val="Norml"/>
    <w:link w:val="Szvegtrzsbehzssal3Char"/>
    <w:rsid w:val="008C63E0"/>
    <w:pPr>
      <w:keepNext/>
      <w:keepLines/>
      <w:tabs>
        <w:tab w:val="left" w:pos="1276"/>
      </w:tabs>
      <w:spacing w:line="240" w:lineRule="auto"/>
      <w:ind w:left="1701" w:hanging="1701"/>
    </w:pPr>
    <w:rPr>
      <w:rFonts w:ascii="Arial" w:eastAsia="Times New Roman" w:hAnsi="Arial" w:cs="Times New Roman"/>
      <w:sz w:val="24"/>
      <w:szCs w:val="20"/>
    </w:rPr>
  </w:style>
  <w:style w:type="character" w:customStyle="1" w:styleId="Szvegtrzsbehzssal3Char">
    <w:name w:val="Szövegtörzs behúzással 3 Char"/>
    <w:basedOn w:val="Bekezdsalapbettpusa"/>
    <w:link w:val="Szvegtrzsbehzssal3"/>
    <w:rsid w:val="008C63E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6248">
      <w:bodyDiv w:val="1"/>
      <w:marLeft w:val="0"/>
      <w:marRight w:val="0"/>
      <w:marTop w:val="0"/>
      <w:marBottom w:val="0"/>
      <w:divBdr>
        <w:top w:val="none" w:sz="0" w:space="0" w:color="auto"/>
        <w:left w:val="none" w:sz="0" w:space="0" w:color="auto"/>
        <w:bottom w:val="none" w:sz="0" w:space="0" w:color="auto"/>
        <w:right w:val="none" w:sz="0" w:space="0" w:color="auto"/>
      </w:divBdr>
    </w:div>
    <w:div w:id="54283110">
      <w:bodyDiv w:val="1"/>
      <w:marLeft w:val="0"/>
      <w:marRight w:val="0"/>
      <w:marTop w:val="0"/>
      <w:marBottom w:val="0"/>
      <w:divBdr>
        <w:top w:val="none" w:sz="0" w:space="0" w:color="auto"/>
        <w:left w:val="none" w:sz="0" w:space="0" w:color="auto"/>
        <w:bottom w:val="none" w:sz="0" w:space="0" w:color="auto"/>
        <w:right w:val="none" w:sz="0" w:space="0" w:color="auto"/>
      </w:divBdr>
    </w:div>
    <w:div w:id="168714103">
      <w:bodyDiv w:val="1"/>
      <w:marLeft w:val="0"/>
      <w:marRight w:val="0"/>
      <w:marTop w:val="0"/>
      <w:marBottom w:val="0"/>
      <w:divBdr>
        <w:top w:val="none" w:sz="0" w:space="0" w:color="auto"/>
        <w:left w:val="none" w:sz="0" w:space="0" w:color="auto"/>
        <w:bottom w:val="none" w:sz="0" w:space="0" w:color="auto"/>
        <w:right w:val="none" w:sz="0" w:space="0" w:color="auto"/>
      </w:divBdr>
    </w:div>
    <w:div w:id="375815281">
      <w:bodyDiv w:val="1"/>
      <w:marLeft w:val="0"/>
      <w:marRight w:val="0"/>
      <w:marTop w:val="0"/>
      <w:marBottom w:val="0"/>
      <w:divBdr>
        <w:top w:val="none" w:sz="0" w:space="0" w:color="auto"/>
        <w:left w:val="none" w:sz="0" w:space="0" w:color="auto"/>
        <w:bottom w:val="none" w:sz="0" w:space="0" w:color="auto"/>
        <w:right w:val="none" w:sz="0" w:space="0" w:color="auto"/>
      </w:divBdr>
    </w:div>
    <w:div w:id="507644432">
      <w:bodyDiv w:val="1"/>
      <w:marLeft w:val="0"/>
      <w:marRight w:val="0"/>
      <w:marTop w:val="0"/>
      <w:marBottom w:val="0"/>
      <w:divBdr>
        <w:top w:val="none" w:sz="0" w:space="0" w:color="auto"/>
        <w:left w:val="none" w:sz="0" w:space="0" w:color="auto"/>
        <w:bottom w:val="none" w:sz="0" w:space="0" w:color="auto"/>
        <w:right w:val="none" w:sz="0" w:space="0" w:color="auto"/>
      </w:divBdr>
    </w:div>
    <w:div w:id="932275150">
      <w:bodyDiv w:val="1"/>
      <w:marLeft w:val="0"/>
      <w:marRight w:val="0"/>
      <w:marTop w:val="0"/>
      <w:marBottom w:val="0"/>
      <w:divBdr>
        <w:top w:val="none" w:sz="0" w:space="0" w:color="auto"/>
        <w:left w:val="none" w:sz="0" w:space="0" w:color="auto"/>
        <w:bottom w:val="none" w:sz="0" w:space="0" w:color="auto"/>
        <w:right w:val="none" w:sz="0" w:space="0" w:color="auto"/>
      </w:divBdr>
    </w:div>
    <w:div w:id="1385445612">
      <w:bodyDiv w:val="1"/>
      <w:marLeft w:val="0"/>
      <w:marRight w:val="0"/>
      <w:marTop w:val="0"/>
      <w:marBottom w:val="0"/>
      <w:divBdr>
        <w:top w:val="none" w:sz="0" w:space="0" w:color="auto"/>
        <w:left w:val="none" w:sz="0" w:space="0" w:color="auto"/>
        <w:bottom w:val="none" w:sz="0" w:space="0" w:color="auto"/>
        <w:right w:val="none" w:sz="0" w:space="0" w:color="auto"/>
      </w:divBdr>
    </w:div>
    <w:div w:id="18654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rspg-spectrum.eu/wp-content/uploads/2013/05/RPSG16-032-Opinion_5G.pdf" TargetMode="External"/><Relationship Id="rId3" Type="http://schemas.openxmlformats.org/officeDocument/2006/relationships/hyperlink" Target="http://rspg-spectrum.eu/wp-content/uploads/2013/05/RPSG16-032-Opinion_5G.pdf" TargetMode="External"/><Relationship Id="rId7" Type="http://schemas.openxmlformats.org/officeDocument/2006/relationships/hyperlink" Target="https://digital-strategy.ec.europa.eu/en/library/radio-spectrum-cept-mandates" TargetMode="External"/><Relationship Id="rId2" Type="http://schemas.openxmlformats.org/officeDocument/2006/relationships/hyperlink" Target="https://digital-strategy.ec.europa.eu/en/library/radio-spectrum-cept-mandates" TargetMode="External"/><Relationship Id="rId1" Type="http://schemas.openxmlformats.org/officeDocument/2006/relationships/hyperlink" Target="http://rspg-spectrum.eu/wp-content/uploads/2013/05/RPSG16-032-Opinion_5G.pdf" TargetMode="External"/><Relationship Id="rId6" Type="http://schemas.openxmlformats.org/officeDocument/2006/relationships/hyperlink" Target="https://nmhh.hu/esemeny/207926/Nyilvanos_meghallgatas_a_mobil_halozatok_uzemeltetesere_alkalmas_frekvenciasavok_hasznositasaval_kapcsolatos_szakmai_kerdesekre" TargetMode="External"/><Relationship Id="rId5" Type="http://schemas.openxmlformats.org/officeDocument/2006/relationships/hyperlink" Target="http://nmhh.hu/esemeny/207926/Nyilvanos_meghallgatas_a_mobil_halozatok_uzemeltetesere_alkalmas_frekvenciasavok_hasznositasaval_kapcsolatos_szakmai_kerdesekre" TargetMode="External"/><Relationship Id="rId4" Type="http://schemas.openxmlformats.org/officeDocument/2006/relationships/hyperlink" Target="https://digital-strategy.ec.europa.eu/en/library/radio-spectrum-cept-man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85A2A3E904405895CBFB5452ECE0A"/>
        <w:category>
          <w:name w:val="Általános"/>
          <w:gallery w:val="placeholder"/>
        </w:category>
        <w:types>
          <w:type w:val="bbPlcHdr"/>
        </w:types>
        <w:behaviors>
          <w:behavior w:val="content"/>
        </w:behaviors>
        <w:guid w:val="{2BD52FEA-9441-461A-932D-D1FF9081592D}"/>
      </w:docPartPr>
      <w:docPartBody>
        <w:p w:rsidR="00094F06" w:rsidRDefault="004F4D83">
          <w:pPr>
            <w:pStyle w:val="A7E85A2A3E904405895CBFB5452ECE0A"/>
          </w:pPr>
          <w:r>
            <w:t>A dokumentum címének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charset w:val="00"/>
    <w:family w:val="auto"/>
    <w:pitch w:val="default"/>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06"/>
    <w:rsid w:val="00000F6E"/>
    <w:rsid w:val="00023AD4"/>
    <w:rsid w:val="00027C5B"/>
    <w:rsid w:val="00094F06"/>
    <w:rsid w:val="00215878"/>
    <w:rsid w:val="00227DD9"/>
    <w:rsid w:val="002A763F"/>
    <w:rsid w:val="002E610A"/>
    <w:rsid w:val="00335495"/>
    <w:rsid w:val="00346FAD"/>
    <w:rsid w:val="003F2CDA"/>
    <w:rsid w:val="0043552E"/>
    <w:rsid w:val="004B5192"/>
    <w:rsid w:val="004F4D83"/>
    <w:rsid w:val="005A0834"/>
    <w:rsid w:val="00613576"/>
    <w:rsid w:val="00673B24"/>
    <w:rsid w:val="006D07FD"/>
    <w:rsid w:val="006E7597"/>
    <w:rsid w:val="006F2001"/>
    <w:rsid w:val="00726146"/>
    <w:rsid w:val="007A15D2"/>
    <w:rsid w:val="007B7479"/>
    <w:rsid w:val="007C4DD6"/>
    <w:rsid w:val="008353B3"/>
    <w:rsid w:val="00972203"/>
    <w:rsid w:val="009B44AD"/>
    <w:rsid w:val="009E7560"/>
    <w:rsid w:val="00AD4570"/>
    <w:rsid w:val="00B157BB"/>
    <w:rsid w:val="00B80D0E"/>
    <w:rsid w:val="00BB09B5"/>
    <w:rsid w:val="00CD02B9"/>
    <w:rsid w:val="00D2103A"/>
    <w:rsid w:val="00D65A69"/>
    <w:rsid w:val="00E034FD"/>
    <w:rsid w:val="00ED111A"/>
    <w:rsid w:val="00F56241"/>
    <w:rsid w:val="00FF47BA"/>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7E85A2A3E904405895CBFB5452ECE0A">
    <w:name w:val="A7E85A2A3E904405895CBFB5452ECE0A"/>
  </w:style>
  <w:style w:type="character" w:styleId="Helyrzszveg">
    <w:name w:val="Placeholder Text"/>
    <w:basedOn w:val="Bekezdsalapbettpusa"/>
    <w:uiPriority w:val="99"/>
    <w:semiHidden/>
    <w:rsid w:val="00FF47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84C1D-5E09-4CC3-A845-4AC7BDA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172</TotalTime>
  <Pages>23</Pages>
  <Words>7538</Words>
  <Characters>52020</Characters>
  <Application>Microsoft Office Word</Application>
  <DocSecurity>0</DocSecurity>
  <Lines>433</Lines>
  <Paragraphs>118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SGO</dc:creator>
  <cp:lastModifiedBy>Ulelay Emília dr.</cp:lastModifiedBy>
  <cp:revision>3</cp:revision>
  <dcterms:created xsi:type="dcterms:W3CDTF">2022-05-11T10:25:00Z</dcterms:created>
  <dcterms:modified xsi:type="dcterms:W3CDTF">2022-05-11T13:17:00Z</dcterms:modified>
</cp:coreProperties>
</file>