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HAnsi"/>
          <w:b w:val="0"/>
          <w:color w:val="auto"/>
          <w:spacing w:val="0"/>
          <w:kern w:val="0"/>
          <w:sz w:val="22"/>
          <w:szCs w:val="22"/>
        </w:rPr>
        <w:id w:val="7557074"/>
        <w:docPartObj>
          <w:docPartGallery w:val="Cover Pages"/>
          <w:docPartUnique/>
        </w:docPartObj>
      </w:sdtPr>
      <w:sdtEndPr>
        <w:rPr>
          <w:bCs/>
        </w:rPr>
      </w:sdtEndPr>
      <w:sdtContent>
        <w:p w14:paraId="68AAB80C" w14:textId="5FE28B6A" w:rsidR="003A0206" w:rsidRPr="0020145B" w:rsidRDefault="00CC5CE6" w:rsidP="001E50C0">
          <w:pPr>
            <w:pStyle w:val="Cmnmhh"/>
            <w:jc w:val="center"/>
            <w:rPr>
              <w:color w:val="7F7F7F" w:themeColor="text1" w:themeTint="80"/>
            </w:rPr>
          </w:pPr>
          <w:r>
            <w:rPr>
              <w:b w:val="0"/>
              <w:noProof/>
              <w:lang w:eastAsia="hu-HU"/>
            </w:rPr>
            <w:drawing>
              <wp:anchor distT="0" distB="1011555" distL="114300" distR="114300" simplePos="0" relativeHeight="251662336" behindDoc="1" locked="0" layoutInCell="1" allowOverlap="1" wp14:anchorId="7A12DCA0" wp14:editId="40A6D53E">
                <wp:simplePos x="0" y="0"/>
                <wp:positionH relativeFrom="page">
                  <wp:posOffset>0</wp:posOffset>
                </wp:positionH>
                <wp:positionV relativeFrom="page">
                  <wp:posOffset>0</wp:posOffset>
                </wp:positionV>
                <wp:extent cx="7556500" cy="3351530"/>
                <wp:effectExtent l="0" t="0" r="0" b="0"/>
                <wp:wrapTopAndBottom/>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6500" cy="3351530"/>
                        </a:xfrm>
                        <a:prstGeom prst="rect">
                          <a:avLst/>
                        </a:prstGeom>
                      </pic:spPr>
                    </pic:pic>
                  </a:graphicData>
                </a:graphic>
                <wp14:sizeRelV relativeFrom="margin">
                  <wp14:pctHeight>0</wp14:pctHeight>
                </wp14:sizeRelV>
              </wp:anchor>
            </w:drawing>
          </w:r>
          <w:r>
            <w:rPr>
              <w:b w:val="0"/>
              <w:noProof/>
              <w:lang w:eastAsia="hu-HU"/>
            </w:rPr>
            <w:drawing>
              <wp:anchor distT="0" distB="1011555" distL="114300" distR="114300" simplePos="0" relativeHeight="251659264" behindDoc="1" locked="0" layoutInCell="1" allowOverlap="1" wp14:anchorId="72BAE009" wp14:editId="0631BFB2">
                <wp:simplePos x="0" y="0"/>
                <wp:positionH relativeFrom="page">
                  <wp:posOffset>0</wp:posOffset>
                </wp:positionH>
                <wp:positionV relativeFrom="page">
                  <wp:posOffset>0</wp:posOffset>
                </wp:positionV>
                <wp:extent cx="6690728" cy="2975212"/>
                <wp:effectExtent l="0" t="0" r="0" b="0"/>
                <wp:wrapTopAndBottom/>
                <wp:docPr id="1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90348" cy="2975043"/>
                        </a:xfrm>
                        <a:prstGeom prst="rect">
                          <a:avLst/>
                        </a:prstGeom>
                      </pic:spPr>
                    </pic:pic>
                  </a:graphicData>
                </a:graphic>
                <wp14:sizeRelH relativeFrom="margin">
                  <wp14:pctWidth>0</wp14:pctWidth>
                </wp14:sizeRelH>
                <wp14:sizeRelV relativeFrom="margin">
                  <wp14:pctHeight>0</wp14:pctHeight>
                </wp14:sizeRelV>
              </wp:anchor>
            </w:drawing>
          </w:r>
          <w:sdt>
            <w:sdtPr>
              <w:alias w:val="Cím"/>
              <w:tag w:val="Cím"/>
              <w:id w:val="11965258"/>
            </w:sdtPr>
            <w:sdtEndPr>
              <w:rPr>
                <w:color w:val="7F7F7F" w:themeColor="text1" w:themeTint="80"/>
              </w:rPr>
            </w:sdtEndPr>
            <w:sdtContent>
              <w:sdt>
                <w:sdtPr>
                  <w:rPr>
                    <w:color w:val="7F7F7F" w:themeColor="text1" w:themeTint="80"/>
                  </w:rPr>
                  <w:alias w:val="Cím"/>
                  <w:tag w:val="Cím"/>
                  <w:id w:val="27217761"/>
                </w:sdtPr>
                <w:sdtEndPr/>
                <w:sdtContent>
                  <w:r>
                    <w:rPr>
                      <w:bCs/>
                      <w:color w:val="7F7F7F" w:themeColor="text1" w:themeTint="80"/>
                      <w:lang w:val="en-GB"/>
                    </w:rPr>
                    <w:t xml:space="preserve">Band overview </w:t>
                  </w:r>
                  <w:r>
                    <w:rPr>
                      <w:b w:val="0"/>
                      <w:color w:val="7F7F7F" w:themeColor="text1" w:themeTint="80"/>
                      <w:lang w:val="en-GB"/>
                    </w:rPr>
                    <w:br/>
                  </w:r>
                  <w:r>
                    <w:rPr>
                      <w:bCs/>
                      <w:color w:val="7F7F7F" w:themeColor="text1" w:themeTint="80"/>
                      <w:lang w:val="en-GB"/>
                    </w:rPr>
                    <w:t>700 MHz frequency band</w:t>
                  </w:r>
                </w:sdtContent>
              </w:sdt>
            </w:sdtContent>
          </w:sdt>
        </w:p>
        <w:p w14:paraId="78639B44" w14:textId="137987A9" w:rsidR="003A0206" w:rsidRPr="00184A51" w:rsidRDefault="003A0206" w:rsidP="00184A51">
          <w:pPr>
            <w:pStyle w:val="Bortlapegybnmhh"/>
            <w:spacing w:before="3480"/>
            <w:rPr>
              <w:rStyle w:val="Helyrzszveg"/>
              <w:color w:val="4C5256"/>
            </w:rPr>
          </w:pPr>
          <w:r>
            <w:rPr>
              <w:rStyle w:val="Helyrzszveg"/>
              <w:noProof/>
              <w:color w:val="4C5256"/>
              <w:lang w:eastAsia="hu-HU"/>
            </w:rPr>
            <w:drawing>
              <wp:anchor distT="0" distB="0" distL="114300" distR="114300" simplePos="0" relativeHeight="251660288" behindDoc="1" locked="0" layoutInCell="1" allowOverlap="1" wp14:anchorId="3D93BE0C" wp14:editId="67EE968B">
                <wp:simplePos x="0" y="0"/>
                <wp:positionH relativeFrom="page">
                  <wp:posOffset>7175</wp:posOffset>
                </wp:positionH>
                <wp:positionV relativeFrom="page">
                  <wp:posOffset>10082151</wp:posOffset>
                </wp:positionV>
                <wp:extent cx="7545531" cy="534389"/>
                <wp:effectExtent l="19050" t="0" r="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levelpapir_foo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9515" cy="534670"/>
                        </a:xfrm>
                        <a:prstGeom prst="rect">
                          <a:avLst/>
                        </a:prstGeom>
                      </pic:spPr>
                    </pic:pic>
                  </a:graphicData>
                </a:graphic>
              </wp:anchor>
            </w:drawing>
          </w:r>
        </w:p>
        <w:p w14:paraId="20488A06" w14:textId="3D939561" w:rsidR="003A0206" w:rsidRPr="00184A51" w:rsidRDefault="00E90334" w:rsidP="0084499F">
          <w:pPr>
            <w:pStyle w:val="Bortlapegybnmhh"/>
            <w:spacing w:before="240"/>
            <w:jc w:val="center"/>
          </w:pPr>
          <w:sdt>
            <w:sdtPr>
              <w:rPr>
                <w:rStyle w:val="BortlapegybnmhhChar"/>
              </w:rPr>
              <w:alias w:val="Dátum"/>
              <w:tag w:val="Dátum"/>
              <w:id w:val="11965270"/>
              <w:date w:fullDate="2022-02-15T00:00:00Z">
                <w:dateFormat w:val="yyyy. MMMM d."/>
                <w:lid w:val="hu-HU"/>
                <w:storeMappedDataAs w:val="dateTime"/>
                <w:calendar w:val="gregorian"/>
              </w:date>
            </w:sdtPr>
            <w:sdtEndPr>
              <w:rPr>
                <w:rStyle w:val="Bekezdsalapbettpusa"/>
              </w:rPr>
            </w:sdtEndPr>
            <w:sdtContent>
              <w:r w:rsidR="003A5D03">
                <w:rPr>
                  <w:rStyle w:val="BortlapegybnmhhChar"/>
                  <w:lang w:val="en-GB"/>
                </w:rPr>
                <w:t>15 February 2022</w:t>
              </w:r>
            </w:sdtContent>
          </w:sdt>
        </w:p>
        <w:p w14:paraId="19E3C7A6" w14:textId="77777777" w:rsidR="003A0206" w:rsidRDefault="003A0206">
          <w:pPr>
            <w:spacing w:after="200"/>
            <w:jc w:val="left"/>
          </w:pPr>
          <w:r>
            <w:rPr>
              <w:b/>
              <w:bCs/>
              <w:lang w:val="en-GB"/>
            </w:rPr>
            <w:br w:type="page"/>
          </w:r>
        </w:p>
      </w:sdtContent>
    </w:sdt>
    <w:sdt>
      <w:sdtPr>
        <w:rPr>
          <w:rFonts w:asciiTheme="minorHAnsi" w:eastAsiaTheme="minorHAnsi" w:hAnsiTheme="minorHAnsi" w:cstheme="minorHAnsi"/>
          <w:b w:val="0"/>
          <w:bCs w:val="0"/>
          <w:color w:val="auto"/>
          <w:sz w:val="22"/>
          <w:szCs w:val="22"/>
        </w:rPr>
        <w:id w:val="28749728"/>
        <w:docPartObj>
          <w:docPartGallery w:val="Table of Contents"/>
          <w:docPartUnique/>
        </w:docPartObj>
      </w:sdtPr>
      <w:sdtEndPr/>
      <w:sdtContent>
        <w:p w14:paraId="526ED903" w14:textId="77777777" w:rsidR="00DA31F6" w:rsidRDefault="00DA31F6" w:rsidP="00DA31F6">
          <w:pPr>
            <w:pStyle w:val="Tartalomjegyzkcmsoranmhh"/>
          </w:pPr>
          <w:r>
            <w:rPr>
              <w:lang w:val="en-GB"/>
            </w:rPr>
            <w:t>Table of contents</w:t>
          </w:r>
        </w:p>
        <w:p w14:paraId="2B26D925" w14:textId="1E72F737" w:rsidR="005A196D" w:rsidRDefault="004E74F5">
          <w:pPr>
            <w:pStyle w:val="TJ1"/>
            <w:tabs>
              <w:tab w:val="left" w:pos="440"/>
              <w:tab w:val="right" w:leader="dot" w:pos="9062"/>
            </w:tabs>
            <w:rPr>
              <w:rFonts w:eastAsiaTheme="minorEastAsia" w:cstheme="minorBidi"/>
              <w:noProof/>
              <w:lang w:val="en-US" w:bidi="he-IL"/>
            </w:rPr>
          </w:pPr>
          <w:r>
            <w:rPr>
              <w:lang w:val="en-GB"/>
            </w:rPr>
            <w:fldChar w:fldCharType="begin"/>
          </w:r>
          <w:r>
            <w:instrText xml:space="preserve"> TOC \o "1-3" \h \z \u </w:instrText>
          </w:r>
          <w:r>
            <w:fldChar w:fldCharType="separate"/>
          </w:r>
          <w:hyperlink w:anchor="_Toc98750381" w:history="1">
            <w:r w:rsidR="005A196D" w:rsidRPr="00D74B32">
              <w:rPr>
                <w:rStyle w:val="Hiperhivatkozs"/>
                <w:noProof/>
              </w:rPr>
              <w:t>1.</w:t>
            </w:r>
            <w:r w:rsidR="005A196D">
              <w:rPr>
                <w:rFonts w:eastAsiaTheme="minorEastAsia" w:cstheme="minorBidi"/>
                <w:noProof/>
                <w:lang w:val="en-US" w:bidi="he-IL"/>
              </w:rPr>
              <w:tab/>
            </w:r>
            <w:r w:rsidR="005A196D" w:rsidRPr="00D74B32">
              <w:rPr>
                <w:rStyle w:val="Hiperhivatkozs"/>
                <w:bCs/>
                <w:noProof/>
                <w:lang w:val="en-GB"/>
              </w:rPr>
              <w:t>Summary</w:t>
            </w:r>
            <w:r w:rsidR="005A196D">
              <w:rPr>
                <w:noProof/>
                <w:webHidden/>
              </w:rPr>
              <w:tab/>
            </w:r>
            <w:r w:rsidR="005A196D">
              <w:rPr>
                <w:noProof/>
                <w:webHidden/>
              </w:rPr>
              <w:fldChar w:fldCharType="begin"/>
            </w:r>
            <w:r w:rsidR="005A196D">
              <w:rPr>
                <w:noProof/>
                <w:webHidden/>
              </w:rPr>
              <w:instrText xml:space="preserve"> PAGEREF _Toc98750381 \h </w:instrText>
            </w:r>
            <w:r w:rsidR="005A196D">
              <w:rPr>
                <w:noProof/>
                <w:webHidden/>
              </w:rPr>
            </w:r>
            <w:r w:rsidR="005A196D">
              <w:rPr>
                <w:noProof/>
                <w:webHidden/>
              </w:rPr>
              <w:fldChar w:fldCharType="separate"/>
            </w:r>
            <w:r w:rsidR="005A196D">
              <w:rPr>
                <w:noProof/>
                <w:webHidden/>
              </w:rPr>
              <w:t>3</w:t>
            </w:r>
            <w:r w:rsidR="005A196D">
              <w:rPr>
                <w:noProof/>
                <w:webHidden/>
              </w:rPr>
              <w:fldChar w:fldCharType="end"/>
            </w:r>
          </w:hyperlink>
        </w:p>
        <w:p w14:paraId="0C653916" w14:textId="4231AC94" w:rsidR="005A196D" w:rsidRDefault="00E90334">
          <w:pPr>
            <w:pStyle w:val="TJ1"/>
            <w:tabs>
              <w:tab w:val="left" w:pos="440"/>
              <w:tab w:val="right" w:leader="dot" w:pos="9062"/>
            </w:tabs>
            <w:rPr>
              <w:rFonts w:eastAsiaTheme="minorEastAsia" w:cstheme="minorBidi"/>
              <w:noProof/>
              <w:lang w:val="en-US" w:bidi="he-IL"/>
            </w:rPr>
          </w:pPr>
          <w:hyperlink w:anchor="_Toc98750382" w:history="1">
            <w:r w:rsidR="005A196D" w:rsidRPr="00D74B32">
              <w:rPr>
                <w:rStyle w:val="Hiperhivatkozs"/>
                <w:noProof/>
              </w:rPr>
              <w:t>2.</w:t>
            </w:r>
            <w:r w:rsidR="005A196D">
              <w:rPr>
                <w:rFonts w:eastAsiaTheme="minorEastAsia" w:cstheme="minorBidi"/>
                <w:noProof/>
                <w:lang w:val="en-US" w:bidi="he-IL"/>
              </w:rPr>
              <w:tab/>
            </w:r>
            <w:r w:rsidR="005A196D" w:rsidRPr="00D74B32">
              <w:rPr>
                <w:rStyle w:val="Hiperhivatkozs"/>
                <w:bCs/>
                <w:noProof/>
                <w:lang w:val="en-GB"/>
              </w:rPr>
              <w:t>Introduction</w:t>
            </w:r>
            <w:r w:rsidR="005A196D">
              <w:rPr>
                <w:noProof/>
                <w:webHidden/>
              </w:rPr>
              <w:tab/>
            </w:r>
            <w:r w:rsidR="005A196D">
              <w:rPr>
                <w:noProof/>
                <w:webHidden/>
              </w:rPr>
              <w:fldChar w:fldCharType="begin"/>
            </w:r>
            <w:r w:rsidR="005A196D">
              <w:rPr>
                <w:noProof/>
                <w:webHidden/>
              </w:rPr>
              <w:instrText xml:space="preserve"> PAGEREF _Toc98750382 \h </w:instrText>
            </w:r>
            <w:r w:rsidR="005A196D">
              <w:rPr>
                <w:noProof/>
                <w:webHidden/>
              </w:rPr>
            </w:r>
            <w:r w:rsidR="005A196D">
              <w:rPr>
                <w:noProof/>
                <w:webHidden/>
              </w:rPr>
              <w:fldChar w:fldCharType="separate"/>
            </w:r>
            <w:r w:rsidR="005A196D">
              <w:rPr>
                <w:noProof/>
                <w:webHidden/>
              </w:rPr>
              <w:t>4</w:t>
            </w:r>
            <w:r w:rsidR="005A196D">
              <w:rPr>
                <w:noProof/>
                <w:webHidden/>
              </w:rPr>
              <w:fldChar w:fldCharType="end"/>
            </w:r>
          </w:hyperlink>
        </w:p>
        <w:p w14:paraId="224BAFE6" w14:textId="7EC15B0C" w:rsidR="005A196D" w:rsidRDefault="00E90334">
          <w:pPr>
            <w:pStyle w:val="TJ1"/>
            <w:tabs>
              <w:tab w:val="left" w:pos="440"/>
              <w:tab w:val="right" w:leader="dot" w:pos="9062"/>
            </w:tabs>
            <w:rPr>
              <w:rFonts w:eastAsiaTheme="minorEastAsia" w:cstheme="minorBidi"/>
              <w:noProof/>
              <w:lang w:val="en-US" w:bidi="he-IL"/>
            </w:rPr>
          </w:pPr>
          <w:hyperlink w:anchor="_Toc98750383" w:history="1">
            <w:r w:rsidR="005A196D" w:rsidRPr="00D74B32">
              <w:rPr>
                <w:rStyle w:val="Hiperhivatkozs"/>
                <w:noProof/>
              </w:rPr>
              <w:t>3.</w:t>
            </w:r>
            <w:r w:rsidR="005A196D">
              <w:rPr>
                <w:rFonts w:eastAsiaTheme="minorEastAsia" w:cstheme="minorBidi"/>
                <w:noProof/>
                <w:lang w:val="en-US" w:bidi="he-IL"/>
              </w:rPr>
              <w:tab/>
            </w:r>
            <w:r w:rsidR="005A196D" w:rsidRPr="00D74B32">
              <w:rPr>
                <w:rStyle w:val="Hiperhivatkozs"/>
                <w:bCs/>
                <w:noProof/>
                <w:lang w:val="en-GB"/>
              </w:rPr>
              <w:t>Regulation of 700 MHz band</w:t>
            </w:r>
            <w:r w:rsidR="005A196D">
              <w:rPr>
                <w:noProof/>
                <w:webHidden/>
              </w:rPr>
              <w:tab/>
            </w:r>
            <w:r w:rsidR="005A196D">
              <w:rPr>
                <w:noProof/>
                <w:webHidden/>
              </w:rPr>
              <w:fldChar w:fldCharType="begin"/>
            </w:r>
            <w:r w:rsidR="005A196D">
              <w:rPr>
                <w:noProof/>
                <w:webHidden/>
              </w:rPr>
              <w:instrText xml:space="preserve"> PAGEREF _Toc98750383 \h </w:instrText>
            </w:r>
            <w:r w:rsidR="005A196D">
              <w:rPr>
                <w:noProof/>
                <w:webHidden/>
              </w:rPr>
            </w:r>
            <w:r w:rsidR="005A196D">
              <w:rPr>
                <w:noProof/>
                <w:webHidden/>
              </w:rPr>
              <w:fldChar w:fldCharType="separate"/>
            </w:r>
            <w:r w:rsidR="005A196D">
              <w:rPr>
                <w:noProof/>
                <w:webHidden/>
              </w:rPr>
              <w:t>5</w:t>
            </w:r>
            <w:r w:rsidR="005A196D">
              <w:rPr>
                <w:noProof/>
                <w:webHidden/>
              </w:rPr>
              <w:fldChar w:fldCharType="end"/>
            </w:r>
          </w:hyperlink>
        </w:p>
        <w:p w14:paraId="4CA7D927" w14:textId="629DDBAD" w:rsidR="005A196D" w:rsidRDefault="00E90334">
          <w:pPr>
            <w:pStyle w:val="TJ2"/>
            <w:tabs>
              <w:tab w:val="left" w:pos="880"/>
              <w:tab w:val="right" w:leader="dot" w:pos="9062"/>
            </w:tabs>
            <w:rPr>
              <w:rFonts w:eastAsiaTheme="minorEastAsia" w:cstheme="minorBidi"/>
              <w:noProof/>
              <w:lang w:val="en-US" w:bidi="he-IL"/>
            </w:rPr>
          </w:pPr>
          <w:hyperlink w:anchor="_Toc98750384" w:history="1">
            <w:r w:rsidR="005A196D" w:rsidRPr="00D74B32">
              <w:rPr>
                <w:rStyle w:val="Hiperhivatkozs"/>
                <w:noProof/>
              </w:rPr>
              <w:t>3.1.</w:t>
            </w:r>
            <w:r w:rsidR="005A196D">
              <w:rPr>
                <w:rFonts w:eastAsiaTheme="minorEastAsia" w:cstheme="minorBidi"/>
                <w:noProof/>
                <w:lang w:val="en-US" w:bidi="he-IL"/>
              </w:rPr>
              <w:tab/>
            </w:r>
            <w:r w:rsidR="005A196D" w:rsidRPr="00D74B32">
              <w:rPr>
                <w:rStyle w:val="Hiperhivatkozs"/>
                <w:bCs/>
                <w:noProof/>
                <w:lang w:val="en-GB"/>
              </w:rPr>
              <w:t>International regulation</w:t>
            </w:r>
            <w:r w:rsidR="005A196D">
              <w:rPr>
                <w:noProof/>
                <w:webHidden/>
              </w:rPr>
              <w:tab/>
            </w:r>
            <w:r w:rsidR="005A196D">
              <w:rPr>
                <w:noProof/>
                <w:webHidden/>
              </w:rPr>
              <w:fldChar w:fldCharType="begin"/>
            </w:r>
            <w:r w:rsidR="005A196D">
              <w:rPr>
                <w:noProof/>
                <w:webHidden/>
              </w:rPr>
              <w:instrText xml:space="preserve"> PAGEREF _Toc98750384 \h </w:instrText>
            </w:r>
            <w:r w:rsidR="005A196D">
              <w:rPr>
                <w:noProof/>
                <w:webHidden/>
              </w:rPr>
            </w:r>
            <w:r w:rsidR="005A196D">
              <w:rPr>
                <w:noProof/>
                <w:webHidden/>
              </w:rPr>
              <w:fldChar w:fldCharType="separate"/>
            </w:r>
            <w:r w:rsidR="005A196D">
              <w:rPr>
                <w:noProof/>
                <w:webHidden/>
              </w:rPr>
              <w:t>5</w:t>
            </w:r>
            <w:r w:rsidR="005A196D">
              <w:rPr>
                <w:noProof/>
                <w:webHidden/>
              </w:rPr>
              <w:fldChar w:fldCharType="end"/>
            </w:r>
          </w:hyperlink>
        </w:p>
        <w:p w14:paraId="5E429BC3" w14:textId="7F72695F" w:rsidR="005A196D" w:rsidRDefault="00E90334">
          <w:pPr>
            <w:pStyle w:val="TJ3"/>
            <w:tabs>
              <w:tab w:val="left" w:pos="1320"/>
              <w:tab w:val="right" w:leader="dot" w:pos="9062"/>
            </w:tabs>
            <w:rPr>
              <w:rFonts w:eastAsiaTheme="minorEastAsia" w:cstheme="minorBidi"/>
              <w:noProof/>
              <w:lang w:val="en-US" w:bidi="he-IL"/>
            </w:rPr>
          </w:pPr>
          <w:hyperlink w:anchor="_Toc98750385" w:history="1">
            <w:r w:rsidR="005A196D" w:rsidRPr="00D74B32">
              <w:rPr>
                <w:rStyle w:val="Hiperhivatkozs"/>
                <w:noProof/>
              </w:rPr>
              <w:t>3.1.1.</w:t>
            </w:r>
            <w:r w:rsidR="005A196D">
              <w:rPr>
                <w:rFonts w:eastAsiaTheme="minorEastAsia" w:cstheme="minorBidi"/>
                <w:noProof/>
                <w:lang w:val="en-US" w:bidi="he-IL"/>
              </w:rPr>
              <w:tab/>
            </w:r>
            <w:r w:rsidR="005A196D" w:rsidRPr="00D74B32">
              <w:rPr>
                <w:rStyle w:val="Hiperhivatkozs"/>
                <w:bCs/>
                <w:noProof/>
                <w:lang w:val="en-GB"/>
              </w:rPr>
              <w:t>ITU</w:t>
            </w:r>
            <w:r w:rsidR="005A196D">
              <w:rPr>
                <w:noProof/>
                <w:webHidden/>
              </w:rPr>
              <w:tab/>
            </w:r>
            <w:r w:rsidR="005A196D">
              <w:rPr>
                <w:noProof/>
                <w:webHidden/>
              </w:rPr>
              <w:fldChar w:fldCharType="begin"/>
            </w:r>
            <w:r w:rsidR="005A196D">
              <w:rPr>
                <w:noProof/>
                <w:webHidden/>
              </w:rPr>
              <w:instrText xml:space="preserve"> PAGEREF _Toc98750385 \h </w:instrText>
            </w:r>
            <w:r w:rsidR="005A196D">
              <w:rPr>
                <w:noProof/>
                <w:webHidden/>
              </w:rPr>
            </w:r>
            <w:r w:rsidR="005A196D">
              <w:rPr>
                <w:noProof/>
                <w:webHidden/>
              </w:rPr>
              <w:fldChar w:fldCharType="separate"/>
            </w:r>
            <w:r w:rsidR="005A196D">
              <w:rPr>
                <w:noProof/>
                <w:webHidden/>
              </w:rPr>
              <w:t>5</w:t>
            </w:r>
            <w:r w:rsidR="005A196D">
              <w:rPr>
                <w:noProof/>
                <w:webHidden/>
              </w:rPr>
              <w:fldChar w:fldCharType="end"/>
            </w:r>
          </w:hyperlink>
        </w:p>
        <w:p w14:paraId="3C5E6593" w14:textId="140C7BE4" w:rsidR="005A196D" w:rsidRDefault="00E90334">
          <w:pPr>
            <w:pStyle w:val="TJ3"/>
            <w:tabs>
              <w:tab w:val="left" w:pos="1320"/>
              <w:tab w:val="right" w:leader="dot" w:pos="9062"/>
            </w:tabs>
            <w:rPr>
              <w:rFonts w:eastAsiaTheme="minorEastAsia" w:cstheme="minorBidi"/>
              <w:noProof/>
              <w:lang w:val="en-US" w:bidi="he-IL"/>
            </w:rPr>
          </w:pPr>
          <w:hyperlink w:anchor="_Toc98750386" w:history="1">
            <w:r w:rsidR="005A196D" w:rsidRPr="00D74B32">
              <w:rPr>
                <w:rStyle w:val="Hiperhivatkozs"/>
                <w:noProof/>
              </w:rPr>
              <w:t>3.1.2.</w:t>
            </w:r>
            <w:r w:rsidR="005A196D">
              <w:rPr>
                <w:rFonts w:eastAsiaTheme="minorEastAsia" w:cstheme="minorBidi"/>
                <w:noProof/>
                <w:lang w:val="en-US" w:bidi="he-IL"/>
              </w:rPr>
              <w:tab/>
            </w:r>
            <w:r w:rsidR="005A196D" w:rsidRPr="00D74B32">
              <w:rPr>
                <w:rStyle w:val="Hiperhivatkozs"/>
                <w:bCs/>
                <w:noProof/>
                <w:lang w:val="en-GB"/>
              </w:rPr>
              <w:t>CEPT</w:t>
            </w:r>
            <w:r w:rsidR="005A196D">
              <w:rPr>
                <w:noProof/>
                <w:webHidden/>
              </w:rPr>
              <w:tab/>
            </w:r>
            <w:r w:rsidR="005A196D">
              <w:rPr>
                <w:noProof/>
                <w:webHidden/>
              </w:rPr>
              <w:fldChar w:fldCharType="begin"/>
            </w:r>
            <w:r w:rsidR="005A196D">
              <w:rPr>
                <w:noProof/>
                <w:webHidden/>
              </w:rPr>
              <w:instrText xml:space="preserve"> PAGEREF _Toc98750386 \h </w:instrText>
            </w:r>
            <w:r w:rsidR="005A196D">
              <w:rPr>
                <w:noProof/>
                <w:webHidden/>
              </w:rPr>
            </w:r>
            <w:r w:rsidR="005A196D">
              <w:rPr>
                <w:noProof/>
                <w:webHidden/>
              </w:rPr>
              <w:fldChar w:fldCharType="separate"/>
            </w:r>
            <w:r w:rsidR="005A196D">
              <w:rPr>
                <w:noProof/>
                <w:webHidden/>
              </w:rPr>
              <w:t>8</w:t>
            </w:r>
            <w:r w:rsidR="005A196D">
              <w:rPr>
                <w:noProof/>
                <w:webHidden/>
              </w:rPr>
              <w:fldChar w:fldCharType="end"/>
            </w:r>
          </w:hyperlink>
        </w:p>
        <w:p w14:paraId="0C6B9B29" w14:textId="61A0D509" w:rsidR="005A196D" w:rsidRDefault="00E90334">
          <w:pPr>
            <w:pStyle w:val="TJ3"/>
            <w:tabs>
              <w:tab w:val="left" w:pos="1320"/>
              <w:tab w:val="right" w:leader="dot" w:pos="9062"/>
            </w:tabs>
            <w:rPr>
              <w:rFonts w:eastAsiaTheme="minorEastAsia" w:cstheme="minorBidi"/>
              <w:noProof/>
              <w:lang w:val="en-US" w:bidi="he-IL"/>
            </w:rPr>
          </w:pPr>
          <w:hyperlink w:anchor="_Toc98750387" w:history="1">
            <w:r w:rsidR="005A196D" w:rsidRPr="00D74B32">
              <w:rPr>
                <w:rStyle w:val="Hiperhivatkozs"/>
                <w:noProof/>
              </w:rPr>
              <w:t>3.1.3.</w:t>
            </w:r>
            <w:r w:rsidR="005A196D">
              <w:rPr>
                <w:rFonts w:eastAsiaTheme="minorEastAsia" w:cstheme="minorBidi"/>
                <w:noProof/>
                <w:lang w:val="en-US" w:bidi="he-IL"/>
              </w:rPr>
              <w:tab/>
            </w:r>
            <w:r w:rsidR="005A196D" w:rsidRPr="00D74B32">
              <w:rPr>
                <w:rStyle w:val="Hiperhivatkozs"/>
                <w:bCs/>
                <w:noProof/>
                <w:lang w:val="en-GB"/>
              </w:rPr>
              <w:t>EU</w:t>
            </w:r>
            <w:r w:rsidR="005A196D">
              <w:rPr>
                <w:noProof/>
                <w:webHidden/>
              </w:rPr>
              <w:tab/>
            </w:r>
            <w:r w:rsidR="005A196D">
              <w:rPr>
                <w:noProof/>
                <w:webHidden/>
              </w:rPr>
              <w:fldChar w:fldCharType="begin"/>
            </w:r>
            <w:r w:rsidR="005A196D">
              <w:rPr>
                <w:noProof/>
                <w:webHidden/>
              </w:rPr>
              <w:instrText xml:space="preserve"> PAGEREF _Toc98750387 \h </w:instrText>
            </w:r>
            <w:r w:rsidR="005A196D">
              <w:rPr>
                <w:noProof/>
                <w:webHidden/>
              </w:rPr>
            </w:r>
            <w:r w:rsidR="005A196D">
              <w:rPr>
                <w:noProof/>
                <w:webHidden/>
              </w:rPr>
              <w:fldChar w:fldCharType="separate"/>
            </w:r>
            <w:r w:rsidR="005A196D">
              <w:rPr>
                <w:noProof/>
                <w:webHidden/>
              </w:rPr>
              <w:t>11</w:t>
            </w:r>
            <w:r w:rsidR="005A196D">
              <w:rPr>
                <w:noProof/>
                <w:webHidden/>
              </w:rPr>
              <w:fldChar w:fldCharType="end"/>
            </w:r>
          </w:hyperlink>
        </w:p>
        <w:p w14:paraId="172C36CF" w14:textId="071A2179" w:rsidR="005A196D" w:rsidRDefault="00E90334">
          <w:pPr>
            <w:pStyle w:val="TJ2"/>
            <w:tabs>
              <w:tab w:val="left" w:pos="880"/>
              <w:tab w:val="right" w:leader="dot" w:pos="9062"/>
            </w:tabs>
            <w:rPr>
              <w:rFonts w:eastAsiaTheme="minorEastAsia" w:cstheme="minorBidi"/>
              <w:noProof/>
              <w:lang w:val="en-US" w:bidi="he-IL"/>
            </w:rPr>
          </w:pPr>
          <w:hyperlink w:anchor="_Toc98750388" w:history="1">
            <w:r w:rsidR="005A196D" w:rsidRPr="00D74B32">
              <w:rPr>
                <w:rStyle w:val="Hiperhivatkozs"/>
                <w:noProof/>
              </w:rPr>
              <w:t>3.2.</w:t>
            </w:r>
            <w:r w:rsidR="005A196D">
              <w:rPr>
                <w:rFonts w:eastAsiaTheme="minorEastAsia" w:cstheme="minorBidi"/>
                <w:noProof/>
                <w:lang w:val="en-US" w:bidi="he-IL"/>
              </w:rPr>
              <w:tab/>
            </w:r>
            <w:r w:rsidR="005A196D" w:rsidRPr="00D74B32">
              <w:rPr>
                <w:rStyle w:val="Hiperhivatkozs"/>
                <w:bCs/>
                <w:noProof/>
                <w:lang w:val="en-GB"/>
              </w:rPr>
              <w:t>National regulation</w:t>
            </w:r>
            <w:r w:rsidR="005A196D">
              <w:rPr>
                <w:noProof/>
                <w:webHidden/>
              </w:rPr>
              <w:tab/>
            </w:r>
            <w:r w:rsidR="005A196D">
              <w:rPr>
                <w:noProof/>
                <w:webHidden/>
              </w:rPr>
              <w:fldChar w:fldCharType="begin"/>
            </w:r>
            <w:r w:rsidR="005A196D">
              <w:rPr>
                <w:noProof/>
                <w:webHidden/>
              </w:rPr>
              <w:instrText xml:space="preserve"> PAGEREF _Toc98750388 \h </w:instrText>
            </w:r>
            <w:r w:rsidR="005A196D">
              <w:rPr>
                <w:noProof/>
                <w:webHidden/>
              </w:rPr>
            </w:r>
            <w:r w:rsidR="005A196D">
              <w:rPr>
                <w:noProof/>
                <w:webHidden/>
              </w:rPr>
              <w:fldChar w:fldCharType="separate"/>
            </w:r>
            <w:r w:rsidR="005A196D">
              <w:rPr>
                <w:noProof/>
                <w:webHidden/>
              </w:rPr>
              <w:t>13</w:t>
            </w:r>
            <w:r w:rsidR="005A196D">
              <w:rPr>
                <w:noProof/>
                <w:webHidden/>
              </w:rPr>
              <w:fldChar w:fldCharType="end"/>
            </w:r>
          </w:hyperlink>
        </w:p>
        <w:p w14:paraId="163F5E8C" w14:textId="48A1BC96" w:rsidR="005A196D" w:rsidRDefault="00E90334">
          <w:pPr>
            <w:pStyle w:val="TJ2"/>
            <w:tabs>
              <w:tab w:val="left" w:pos="880"/>
              <w:tab w:val="right" w:leader="dot" w:pos="9062"/>
            </w:tabs>
            <w:rPr>
              <w:rFonts w:eastAsiaTheme="minorEastAsia" w:cstheme="minorBidi"/>
              <w:noProof/>
              <w:lang w:val="en-US" w:bidi="he-IL"/>
            </w:rPr>
          </w:pPr>
          <w:hyperlink w:anchor="_Toc98750389" w:history="1">
            <w:r w:rsidR="005A196D" w:rsidRPr="00D74B32">
              <w:rPr>
                <w:rStyle w:val="Hiperhivatkozs"/>
                <w:noProof/>
              </w:rPr>
              <w:t>3.3.</w:t>
            </w:r>
            <w:r w:rsidR="005A196D">
              <w:rPr>
                <w:rFonts w:eastAsiaTheme="minorEastAsia" w:cstheme="minorBidi"/>
                <w:noProof/>
                <w:lang w:val="en-US" w:bidi="he-IL"/>
              </w:rPr>
              <w:tab/>
            </w:r>
            <w:r w:rsidR="005A196D" w:rsidRPr="00D74B32">
              <w:rPr>
                <w:rStyle w:val="Hiperhivatkozs"/>
                <w:bCs/>
                <w:noProof/>
                <w:lang w:val="en-GB"/>
              </w:rPr>
              <w:t>Actual use</w:t>
            </w:r>
            <w:r w:rsidR="005A196D">
              <w:rPr>
                <w:noProof/>
                <w:webHidden/>
              </w:rPr>
              <w:tab/>
            </w:r>
            <w:r w:rsidR="005A196D">
              <w:rPr>
                <w:noProof/>
                <w:webHidden/>
              </w:rPr>
              <w:fldChar w:fldCharType="begin"/>
            </w:r>
            <w:r w:rsidR="005A196D">
              <w:rPr>
                <w:noProof/>
                <w:webHidden/>
              </w:rPr>
              <w:instrText xml:space="preserve"> PAGEREF _Toc98750389 \h </w:instrText>
            </w:r>
            <w:r w:rsidR="005A196D">
              <w:rPr>
                <w:noProof/>
                <w:webHidden/>
              </w:rPr>
            </w:r>
            <w:r w:rsidR="005A196D">
              <w:rPr>
                <w:noProof/>
                <w:webHidden/>
              </w:rPr>
              <w:fldChar w:fldCharType="separate"/>
            </w:r>
            <w:r w:rsidR="005A196D">
              <w:rPr>
                <w:noProof/>
                <w:webHidden/>
              </w:rPr>
              <w:t>14</w:t>
            </w:r>
            <w:r w:rsidR="005A196D">
              <w:rPr>
                <w:noProof/>
                <w:webHidden/>
              </w:rPr>
              <w:fldChar w:fldCharType="end"/>
            </w:r>
          </w:hyperlink>
        </w:p>
        <w:p w14:paraId="181ACEF1" w14:textId="023A7CAD" w:rsidR="005A196D" w:rsidRDefault="00E90334">
          <w:pPr>
            <w:pStyle w:val="TJ1"/>
            <w:tabs>
              <w:tab w:val="left" w:pos="440"/>
              <w:tab w:val="right" w:leader="dot" w:pos="9062"/>
            </w:tabs>
            <w:rPr>
              <w:rFonts w:eastAsiaTheme="minorEastAsia" w:cstheme="minorBidi"/>
              <w:noProof/>
              <w:lang w:val="en-US" w:bidi="he-IL"/>
            </w:rPr>
          </w:pPr>
          <w:hyperlink w:anchor="_Toc98750390" w:history="1">
            <w:r w:rsidR="005A196D" w:rsidRPr="00D74B32">
              <w:rPr>
                <w:rStyle w:val="Hiperhivatkozs"/>
                <w:noProof/>
              </w:rPr>
              <w:t>4.</w:t>
            </w:r>
            <w:r w:rsidR="005A196D">
              <w:rPr>
                <w:rFonts w:eastAsiaTheme="minorEastAsia" w:cstheme="minorBidi"/>
                <w:noProof/>
                <w:lang w:val="en-US" w:bidi="he-IL"/>
              </w:rPr>
              <w:tab/>
            </w:r>
            <w:r w:rsidR="005A196D" w:rsidRPr="00D74B32">
              <w:rPr>
                <w:rStyle w:val="Hiperhivatkozs"/>
                <w:bCs/>
                <w:noProof/>
                <w:lang w:val="en-GB"/>
              </w:rPr>
              <w:t>Future use</w:t>
            </w:r>
            <w:r w:rsidR="005A196D">
              <w:rPr>
                <w:noProof/>
                <w:webHidden/>
              </w:rPr>
              <w:tab/>
            </w:r>
            <w:r w:rsidR="005A196D">
              <w:rPr>
                <w:noProof/>
                <w:webHidden/>
              </w:rPr>
              <w:fldChar w:fldCharType="begin"/>
            </w:r>
            <w:r w:rsidR="005A196D">
              <w:rPr>
                <w:noProof/>
                <w:webHidden/>
              </w:rPr>
              <w:instrText xml:space="preserve"> PAGEREF _Toc98750390 \h </w:instrText>
            </w:r>
            <w:r w:rsidR="005A196D">
              <w:rPr>
                <w:noProof/>
                <w:webHidden/>
              </w:rPr>
            </w:r>
            <w:r w:rsidR="005A196D">
              <w:rPr>
                <w:noProof/>
                <w:webHidden/>
              </w:rPr>
              <w:fldChar w:fldCharType="separate"/>
            </w:r>
            <w:r w:rsidR="005A196D">
              <w:rPr>
                <w:noProof/>
                <w:webHidden/>
              </w:rPr>
              <w:t>17</w:t>
            </w:r>
            <w:r w:rsidR="005A196D">
              <w:rPr>
                <w:noProof/>
                <w:webHidden/>
              </w:rPr>
              <w:fldChar w:fldCharType="end"/>
            </w:r>
          </w:hyperlink>
        </w:p>
        <w:p w14:paraId="5781C239" w14:textId="7CEA2B8A" w:rsidR="005A196D" w:rsidRDefault="00E90334">
          <w:pPr>
            <w:pStyle w:val="TJ1"/>
            <w:tabs>
              <w:tab w:val="left" w:pos="440"/>
              <w:tab w:val="right" w:leader="dot" w:pos="9062"/>
            </w:tabs>
            <w:rPr>
              <w:rFonts w:eastAsiaTheme="minorEastAsia" w:cstheme="minorBidi"/>
              <w:noProof/>
              <w:lang w:val="en-US" w:bidi="he-IL"/>
            </w:rPr>
          </w:pPr>
          <w:hyperlink w:anchor="_Toc98750391" w:history="1">
            <w:r w:rsidR="005A196D" w:rsidRPr="00D74B32">
              <w:rPr>
                <w:rStyle w:val="Hiperhivatkozs"/>
                <w:noProof/>
              </w:rPr>
              <w:t>5.</w:t>
            </w:r>
            <w:r w:rsidR="005A196D">
              <w:rPr>
                <w:rFonts w:eastAsiaTheme="minorEastAsia" w:cstheme="minorBidi"/>
                <w:noProof/>
                <w:lang w:val="en-US" w:bidi="he-IL"/>
              </w:rPr>
              <w:tab/>
            </w:r>
            <w:r w:rsidR="005A196D" w:rsidRPr="00D74B32">
              <w:rPr>
                <w:rStyle w:val="Hiperhivatkozs"/>
                <w:bCs/>
                <w:noProof/>
                <w:lang w:val="en-GB"/>
              </w:rPr>
              <w:t>Cross-border spectrum use and coordination</w:t>
            </w:r>
            <w:r w:rsidR="005A196D">
              <w:rPr>
                <w:noProof/>
                <w:webHidden/>
              </w:rPr>
              <w:tab/>
            </w:r>
            <w:r w:rsidR="005A196D">
              <w:rPr>
                <w:noProof/>
                <w:webHidden/>
              </w:rPr>
              <w:fldChar w:fldCharType="begin"/>
            </w:r>
            <w:r w:rsidR="005A196D">
              <w:rPr>
                <w:noProof/>
                <w:webHidden/>
              </w:rPr>
              <w:instrText xml:space="preserve"> PAGEREF _Toc98750391 \h </w:instrText>
            </w:r>
            <w:r w:rsidR="005A196D">
              <w:rPr>
                <w:noProof/>
                <w:webHidden/>
              </w:rPr>
            </w:r>
            <w:r w:rsidR="005A196D">
              <w:rPr>
                <w:noProof/>
                <w:webHidden/>
              </w:rPr>
              <w:fldChar w:fldCharType="separate"/>
            </w:r>
            <w:r w:rsidR="005A196D">
              <w:rPr>
                <w:noProof/>
                <w:webHidden/>
              </w:rPr>
              <w:t>18</w:t>
            </w:r>
            <w:r w:rsidR="005A196D">
              <w:rPr>
                <w:noProof/>
                <w:webHidden/>
              </w:rPr>
              <w:fldChar w:fldCharType="end"/>
            </w:r>
          </w:hyperlink>
        </w:p>
        <w:p w14:paraId="2804FA45" w14:textId="0A50AD70" w:rsidR="005A196D" w:rsidRDefault="00E90334">
          <w:pPr>
            <w:pStyle w:val="TJ1"/>
            <w:tabs>
              <w:tab w:val="left" w:pos="440"/>
              <w:tab w:val="right" w:leader="dot" w:pos="9062"/>
            </w:tabs>
            <w:rPr>
              <w:rFonts w:eastAsiaTheme="minorEastAsia" w:cstheme="minorBidi"/>
              <w:noProof/>
              <w:lang w:val="en-US" w:bidi="he-IL"/>
            </w:rPr>
          </w:pPr>
          <w:hyperlink w:anchor="_Toc98750392" w:history="1">
            <w:r w:rsidR="005A196D" w:rsidRPr="00D74B32">
              <w:rPr>
                <w:rStyle w:val="Hiperhivatkozs"/>
                <w:noProof/>
              </w:rPr>
              <w:t>6.</w:t>
            </w:r>
            <w:r w:rsidR="005A196D">
              <w:rPr>
                <w:rFonts w:eastAsiaTheme="minorEastAsia" w:cstheme="minorBidi"/>
                <w:noProof/>
                <w:lang w:val="en-US" w:bidi="he-IL"/>
              </w:rPr>
              <w:tab/>
            </w:r>
            <w:r w:rsidR="005A196D" w:rsidRPr="00D74B32">
              <w:rPr>
                <w:rStyle w:val="Hiperhivatkozs"/>
                <w:bCs/>
                <w:noProof/>
                <w:lang w:val="en-GB"/>
              </w:rPr>
              <w:t>Other potential interference issues</w:t>
            </w:r>
            <w:r w:rsidR="005A196D">
              <w:rPr>
                <w:noProof/>
                <w:webHidden/>
              </w:rPr>
              <w:tab/>
            </w:r>
            <w:r w:rsidR="005A196D">
              <w:rPr>
                <w:noProof/>
                <w:webHidden/>
              </w:rPr>
              <w:fldChar w:fldCharType="begin"/>
            </w:r>
            <w:r w:rsidR="005A196D">
              <w:rPr>
                <w:noProof/>
                <w:webHidden/>
              </w:rPr>
              <w:instrText xml:space="preserve"> PAGEREF _Toc98750392 \h </w:instrText>
            </w:r>
            <w:r w:rsidR="005A196D">
              <w:rPr>
                <w:noProof/>
                <w:webHidden/>
              </w:rPr>
            </w:r>
            <w:r w:rsidR="005A196D">
              <w:rPr>
                <w:noProof/>
                <w:webHidden/>
              </w:rPr>
              <w:fldChar w:fldCharType="separate"/>
            </w:r>
            <w:r w:rsidR="005A196D">
              <w:rPr>
                <w:noProof/>
                <w:webHidden/>
              </w:rPr>
              <w:t>19</w:t>
            </w:r>
            <w:r w:rsidR="005A196D">
              <w:rPr>
                <w:noProof/>
                <w:webHidden/>
              </w:rPr>
              <w:fldChar w:fldCharType="end"/>
            </w:r>
          </w:hyperlink>
        </w:p>
        <w:p w14:paraId="620202AE" w14:textId="341CC834" w:rsidR="005A196D" w:rsidRDefault="00E90334">
          <w:pPr>
            <w:pStyle w:val="TJ2"/>
            <w:tabs>
              <w:tab w:val="left" w:pos="880"/>
              <w:tab w:val="right" w:leader="dot" w:pos="9062"/>
            </w:tabs>
            <w:rPr>
              <w:rFonts w:eastAsiaTheme="minorEastAsia" w:cstheme="minorBidi"/>
              <w:noProof/>
              <w:lang w:val="en-US" w:bidi="he-IL"/>
            </w:rPr>
          </w:pPr>
          <w:hyperlink w:anchor="_Toc98750393" w:history="1">
            <w:r w:rsidR="005A196D" w:rsidRPr="00D74B32">
              <w:rPr>
                <w:rStyle w:val="Hiperhivatkozs"/>
                <w:noProof/>
              </w:rPr>
              <w:t>6.1.</w:t>
            </w:r>
            <w:r w:rsidR="005A196D">
              <w:rPr>
                <w:rFonts w:eastAsiaTheme="minorEastAsia" w:cstheme="minorBidi"/>
                <w:noProof/>
                <w:lang w:val="en-US" w:bidi="he-IL"/>
              </w:rPr>
              <w:tab/>
            </w:r>
            <w:r w:rsidR="005A196D" w:rsidRPr="00D74B32">
              <w:rPr>
                <w:rStyle w:val="Hiperhivatkozs"/>
                <w:bCs/>
                <w:noProof/>
                <w:lang w:val="en-GB"/>
              </w:rPr>
              <w:t>Terrestrial television broadcasting</w:t>
            </w:r>
            <w:r w:rsidR="005A196D">
              <w:rPr>
                <w:noProof/>
                <w:webHidden/>
              </w:rPr>
              <w:tab/>
            </w:r>
            <w:r w:rsidR="005A196D">
              <w:rPr>
                <w:noProof/>
                <w:webHidden/>
              </w:rPr>
              <w:fldChar w:fldCharType="begin"/>
            </w:r>
            <w:r w:rsidR="005A196D">
              <w:rPr>
                <w:noProof/>
                <w:webHidden/>
              </w:rPr>
              <w:instrText xml:space="preserve"> PAGEREF _Toc98750393 \h </w:instrText>
            </w:r>
            <w:r w:rsidR="005A196D">
              <w:rPr>
                <w:noProof/>
                <w:webHidden/>
              </w:rPr>
            </w:r>
            <w:r w:rsidR="005A196D">
              <w:rPr>
                <w:noProof/>
                <w:webHidden/>
              </w:rPr>
              <w:fldChar w:fldCharType="separate"/>
            </w:r>
            <w:r w:rsidR="005A196D">
              <w:rPr>
                <w:noProof/>
                <w:webHidden/>
              </w:rPr>
              <w:t>19</w:t>
            </w:r>
            <w:r w:rsidR="005A196D">
              <w:rPr>
                <w:noProof/>
                <w:webHidden/>
              </w:rPr>
              <w:fldChar w:fldCharType="end"/>
            </w:r>
          </w:hyperlink>
        </w:p>
        <w:p w14:paraId="022DB058" w14:textId="1AFFA51D" w:rsidR="005A196D" w:rsidRDefault="00E90334">
          <w:pPr>
            <w:pStyle w:val="TJ2"/>
            <w:tabs>
              <w:tab w:val="left" w:pos="880"/>
              <w:tab w:val="right" w:leader="dot" w:pos="9062"/>
            </w:tabs>
            <w:rPr>
              <w:rFonts w:eastAsiaTheme="minorEastAsia" w:cstheme="minorBidi"/>
              <w:noProof/>
              <w:lang w:val="en-US" w:bidi="he-IL"/>
            </w:rPr>
          </w:pPr>
          <w:hyperlink w:anchor="_Toc98750394" w:history="1">
            <w:r w:rsidR="005A196D" w:rsidRPr="00D74B32">
              <w:rPr>
                <w:rStyle w:val="Hiperhivatkozs"/>
                <w:noProof/>
              </w:rPr>
              <w:t>6.2.</w:t>
            </w:r>
            <w:r w:rsidR="005A196D">
              <w:rPr>
                <w:rFonts w:eastAsiaTheme="minorEastAsia" w:cstheme="minorBidi"/>
                <w:noProof/>
                <w:lang w:val="en-US" w:bidi="he-IL"/>
              </w:rPr>
              <w:tab/>
            </w:r>
            <w:r w:rsidR="005A196D" w:rsidRPr="00D74B32">
              <w:rPr>
                <w:rStyle w:val="Hiperhivatkozs"/>
                <w:bCs/>
                <w:noProof/>
                <w:lang w:val="en-GB"/>
              </w:rPr>
              <w:t>PMSE:</w:t>
            </w:r>
            <w:r w:rsidR="005A196D">
              <w:rPr>
                <w:noProof/>
                <w:webHidden/>
              </w:rPr>
              <w:tab/>
            </w:r>
            <w:r w:rsidR="005A196D">
              <w:rPr>
                <w:noProof/>
                <w:webHidden/>
              </w:rPr>
              <w:fldChar w:fldCharType="begin"/>
            </w:r>
            <w:r w:rsidR="005A196D">
              <w:rPr>
                <w:noProof/>
                <w:webHidden/>
              </w:rPr>
              <w:instrText xml:space="preserve"> PAGEREF _Toc98750394 \h </w:instrText>
            </w:r>
            <w:r w:rsidR="005A196D">
              <w:rPr>
                <w:noProof/>
                <w:webHidden/>
              </w:rPr>
            </w:r>
            <w:r w:rsidR="005A196D">
              <w:rPr>
                <w:noProof/>
                <w:webHidden/>
              </w:rPr>
              <w:fldChar w:fldCharType="separate"/>
            </w:r>
            <w:r w:rsidR="005A196D">
              <w:rPr>
                <w:noProof/>
                <w:webHidden/>
              </w:rPr>
              <w:t>19</w:t>
            </w:r>
            <w:r w:rsidR="005A196D">
              <w:rPr>
                <w:noProof/>
                <w:webHidden/>
              </w:rPr>
              <w:fldChar w:fldCharType="end"/>
            </w:r>
          </w:hyperlink>
        </w:p>
        <w:p w14:paraId="2DD2DF5C" w14:textId="449F44BE" w:rsidR="005A196D" w:rsidRDefault="00E90334">
          <w:pPr>
            <w:pStyle w:val="TJ2"/>
            <w:tabs>
              <w:tab w:val="left" w:pos="880"/>
              <w:tab w:val="right" w:leader="dot" w:pos="9062"/>
            </w:tabs>
            <w:rPr>
              <w:rFonts w:eastAsiaTheme="minorEastAsia" w:cstheme="minorBidi"/>
              <w:noProof/>
              <w:lang w:val="en-US" w:bidi="he-IL"/>
            </w:rPr>
          </w:pPr>
          <w:hyperlink w:anchor="_Toc98750395" w:history="1">
            <w:r w:rsidR="005A196D" w:rsidRPr="00D74B32">
              <w:rPr>
                <w:rStyle w:val="Hiperhivatkozs"/>
                <w:noProof/>
              </w:rPr>
              <w:t>6.3.</w:t>
            </w:r>
            <w:r w:rsidR="005A196D">
              <w:rPr>
                <w:rFonts w:eastAsiaTheme="minorEastAsia" w:cstheme="minorBidi"/>
                <w:noProof/>
                <w:lang w:val="en-US" w:bidi="he-IL"/>
              </w:rPr>
              <w:tab/>
            </w:r>
            <w:r w:rsidR="005A196D" w:rsidRPr="00D74B32">
              <w:rPr>
                <w:rStyle w:val="Hiperhivatkozs"/>
                <w:bCs/>
                <w:noProof/>
                <w:lang w:val="en-GB"/>
              </w:rPr>
              <w:t>Cable television</w:t>
            </w:r>
            <w:r w:rsidR="005A196D">
              <w:rPr>
                <w:noProof/>
                <w:webHidden/>
              </w:rPr>
              <w:tab/>
            </w:r>
            <w:r w:rsidR="005A196D">
              <w:rPr>
                <w:noProof/>
                <w:webHidden/>
              </w:rPr>
              <w:fldChar w:fldCharType="begin"/>
            </w:r>
            <w:r w:rsidR="005A196D">
              <w:rPr>
                <w:noProof/>
                <w:webHidden/>
              </w:rPr>
              <w:instrText xml:space="preserve"> PAGEREF _Toc98750395 \h </w:instrText>
            </w:r>
            <w:r w:rsidR="005A196D">
              <w:rPr>
                <w:noProof/>
                <w:webHidden/>
              </w:rPr>
            </w:r>
            <w:r w:rsidR="005A196D">
              <w:rPr>
                <w:noProof/>
                <w:webHidden/>
              </w:rPr>
              <w:fldChar w:fldCharType="separate"/>
            </w:r>
            <w:r w:rsidR="005A196D">
              <w:rPr>
                <w:noProof/>
                <w:webHidden/>
              </w:rPr>
              <w:t>20</w:t>
            </w:r>
            <w:r w:rsidR="005A196D">
              <w:rPr>
                <w:noProof/>
                <w:webHidden/>
              </w:rPr>
              <w:fldChar w:fldCharType="end"/>
            </w:r>
          </w:hyperlink>
        </w:p>
        <w:p w14:paraId="0DCF9987" w14:textId="404EC867" w:rsidR="005A196D" w:rsidRDefault="00E90334">
          <w:pPr>
            <w:pStyle w:val="TJ1"/>
            <w:tabs>
              <w:tab w:val="left" w:pos="440"/>
              <w:tab w:val="right" w:leader="dot" w:pos="9062"/>
            </w:tabs>
            <w:rPr>
              <w:rFonts w:eastAsiaTheme="minorEastAsia" w:cstheme="minorBidi"/>
              <w:noProof/>
              <w:lang w:val="en-US" w:bidi="he-IL"/>
            </w:rPr>
          </w:pPr>
          <w:hyperlink w:anchor="_Toc98750396" w:history="1">
            <w:r w:rsidR="005A196D" w:rsidRPr="00D74B32">
              <w:rPr>
                <w:rStyle w:val="Hiperhivatkozs"/>
                <w:noProof/>
              </w:rPr>
              <w:t>7.</w:t>
            </w:r>
            <w:r w:rsidR="005A196D">
              <w:rPr>
                <w:rFonts w:eastAsiaTheme="minorEastAsia" w:cstheme="minorBidi"/>
                <w:noProof/>
                <w:lang w:val="en-US" w:bidi="he-IL"/>
              </w:rPr>
              <w:tab/>
            </w:r>
            <w:r w:rsidR="005A196D" w:rsidRPr="00D74B32">
              <w:rPr>
                <w:rStyle w:val="Hiperhivatkozs"/>
                <w:bCs/>
                <w:noProof/>
                <w:lang w:val="en-GB"/>
              </w:rPr>
              <w:t>Radio spectrum fees</w:t>
            </w:r>
            <w:r w:rsidR="005A196D">
              <w:rPr>
                <w:noProof/>
                <w:webHidden/>
              </w:rPr>
              <w:tab/>
            </w:r>
            <w:r w:rsidR="005A196D">
              <w:rPr>
                <w:noProof/>
                <w:webHidden/>
              </w:rPr>
              <w:fldChar w:fldCharType="begin"/>
            </w:r>
            <w:r w:rsidR="005A196D">
              <w:rPr>
                <w:noProof/>
                <w:webHidden/>
              </w:rPr>
              <w:instrText xml:space="preserve"> PAGEREF _Toc98750396 \h </w:instrText>
            </w:r>
            <w:r w:rsidR="005A196D">
              <w:rPr>
                <w:noProof/>
                <w:webHidden/>
              </w:rPr>
            </w:r>
            <w:r w:rsidR="005A196D">
              <w:rPr>
                <w:noProof/>
                <w:webHidden/>
              </w:rPr>
              <w:fldChar w:fldCharType="separate"/>
            </w:r>
            <w:r w:rsidR="005A196D">
              <w:rPr>
                <w:noProof/>
                <w:webHidden/>
              </w:rPr>
              <w:t>21</w:t>
            </w:r>
            <w:r w:rsidR="005A196D">
              <w:rPr>
                <w:noProof/>
                <w:webHidden/>
              </w:rPr>
              <w:fldChar w:fldCharType="end"/>
            </w:r>
          </w:hyperlink>
        </w:p>
        <w:p w14:paraId="28B9872F" w14:textId="704196FF" w:rsidR="00DA31F6" w:rsidRDefault="004E74F5" w:rsidP="00D04833">
          <w:pPr>
            <w:spacing w:after="200"/>
            <w:jc w:val="left"/>
          </w:pPr>
          <w:r>
            <w:fldChar w:fldCharType="end"/>
          </w:r>
          <w:r>
            <w:rPr>
              <w:lang w:val="en-GB"/>
            </w:rPr>
            <w:br w:type="page"/>
          </w:r>
        </w:p>
      </w:sdtContent>
    </w:sdt>
    <w:p w14:paraId="7083E7D1" w14:textId="77777777" w:rsidR="001E50C0" w:rsidRPr="00C1180D" w:rsidRDefault="00B530D5" w:rsidP="001E50C0">
      <w:pPr>
        <w:pStyle w:val="Cmsor1szmozottnmhh"/>
        <w:ind w:left="431" w:hanging="431"/>
      </w:pPr>
      <w:bookmarkStart w:id="0" w:name="_Toc98750381"/>
      <w:bookmarkStart w:id="1" w:name="_Toc473880713"/>
      <w:bookmarkStart w:id="2" w:name="_Toc451860698"/>
      <w:r>
        <w:rPr>
          <w:bCs/>
          <w:lang w:val="en-GB"/>
        </w:rPr>
        <w:lastRenderedPageBreak/>
        <w:t>Summary</w:t>
      </w:r>
      <w:bookmarkEnd w:id="0"/>
    </w:p>
    <w:p w14:paraId="0AD2675D" w14:textId="636157AC" w:rsidR="00735A38" w:rsidRPr="00735A38" w:rsidRDefault="00735A38" w:rsidP="00735A38">
      <w:pPr>
        <w:pStyle w:val="Behzottbekezdsnmhh"/>
      </w:pPr>
    </w:p>
    <w:p w14:paraId="6DE1A503" w14:textId="64AD0D33" w:rsidR="00B54767" w:rsidRPr="00735A38" w:rsidRDefault="00AD7B47" w:rsidP="00E836B6">
      <w:pPr>
        <w:pStyle w:val="Behzottbekezdsnmhh"/>
      </w:pPr>
      <w:r>
        <w:rPr>
          <w:color w:val="000000"/>
          <w:shd w:val="clear" w:color="auto" w:fill="FFFFFF"/>
          <w:lang w:val="en-GB"/>
        </w:rPr>
        <w:t xml:space="preserve">The EU legal acts establishing obligations </w:t>
      </w:r>
      <w:r>
        <w:rPr>
          <w:lang w:val="en-GB"/>
        </w:rPr>
        <w:t>for the use</w:t>
      </w:r>
      <w:r>
        <w:rPr>
          <w:color w:val="000000"/>
          <w:shd w:val="clear" w:color="auto" w:fill="FFFFFF"/>
          <w:lang w:val="en-GB"/>
        </w:rPr>
        <w:t xml:space="preserve"> of the 694-790 MHz </w:t>
      </w:r>
      <w:r>
        <w:rPr>
          <w:lang w:val="en-GB"/>
        </w:rPr>
        <w:t xml:space="preserve">frequency band (hereinafter referred to as: 700 MHz frequency band) provide a flexible framework for Member States to regulate use of the 700 MHz band. Within the regulatory framework, 2×30 MHz in the 700 MHz band </w:t>
      </w:r>
      <w:r w:rsidR="00CF4010">
        <w:rPr>
          <w:lang w:val="en-GB"/>
        </w:rPr>
        <w:t xml:space="preserve">shall </w:t>
      </w:r>
      <w:r>
        <w:rPr>
          <w:lang w:val="en-GB"/>
        </w:rPr>
        <w:t>be made available on a mandatory basis for mobile</w:t>
      </w:r>
      <w:r w:rsidR="00716805">
        <w:rPr>
          <w:lang w:val="en-GB"/>
        </w:rPr>
        <w:t xml:space="preserve"> and </w:t>
      </w:r>
      <w:r>
        <w:rPr>
          <w:lang w:val="en-GB"/>
        </w:rPr>
        <w:t>fixed communication networks (MFCN</w:t>
      </w:r>
      <w:r>
        <w:rPr>
          <w:vertAlign w:val="superscript"/>
          <w:lang w:val="en-GB"/>
        </w:rPr>
        <w:footnoteReference w:id="1"/>
      </w:r>
      <w:r>
        <w:rPr>
          <w:lang w:val="en-GB"/>
        </w:rPr>
        <w:t>) capable of providing wireless broadband communications services, while in other sub-bands, use options can be chosen at national level, subject to compliance with specified technical conditions. Such options include broadband radio applications for public protection and disaster relief (hereinafter referred to as: BB-PPDR</w:t>
      </w:r>
      <w:r>
        <w:rPr>
          <w:vertAlign w:val="superscript"/>
          <w:lang w:val="en-GB"/>
        </w:rPr>
        <w:footnoteReference w:id="2"/>
      </w:r>
      <w:r>
        <w:rPr>
          <w:lang w:val="en-GB"/>
        </w:rPr>
        <w:t>), supplemental downlink (SDL</w:t>
      </w:r>
      <w:r>
        <w:rPr>
          <w:vertAlign w:val="superscript"/>
          <w:lang w:val="en-GB"/>
        </w:rPr>
        <w:footnoteReference w:id="3"/>
      </w:r>
      <w:r>
        <w:rPr>
          <w:lang w:val="en-GB"/>
        </w:rPr>
        <w:t xml:space="preserve">) </w:t>
      </w:r>
      <w:r w:rsidR="00CF4010">
        <w:rPr>
          <w:lang w:val="en-GB"/>
        </w:rPr>
        <w:t xml:space="preserve">communications </w:t>
      </w:r>
      <w:r>
        <w:rPr>
          <w:lang w:val="en-GB"/>
        </w:rPr>
        <w:t>for increased downlink traffic, applications related to broadcasting and programme</w:t>
      </w:r>
      <w:r w:rsidR="00BF1AD0">
        <w:rPr>
          <w:lang w:val="en-GB"/>
        </w:rPr>
        <w:t xml:space="preserve"> </w:t>
      </w:r>
      <w:r>
        <w:rPr>
          <w:lang w:val="en-GB"/>
        </w:rPr>
        <w:t>making as well as special events (hereinafter referred to as: PMSE</w:t>
      </w:r>
      <w:r>
        <w:rPr>
          <w:vertAlign w:val="superscript"/>
          <w:lang w:val="en-GB"/>
        </w:rPr>
        <w:footnoteReference w:id="4"/>
      </w:r>
      <w:r>
        <w:rPr>
          <w:lang w:val="en-GB"/>
        </w:rPr>
        <w:t xml:space="preserve"> applications) and machine-to-machine communications (hereinafter referred to as: M2M</w:t>
      </w:r>
      <w:r>
        <w:rPr>
          <w:vertAlign w:val="superscript"/>
          <w:lang w:val="en-GB"/>
        </w:rPr>
        <w:footnoteReference w:id="5"/>
      </w:r>
      <w:r>
        <w:rPr>
          <w:lang w:val="en-GB"/>
        </w:rPr>
        <w:t>). The key decisions on the future of the 700 MHz frequency band are set out in the National Roadmap</w:t>
      </w:r>
      <w:r>
        <w:rPr>
          <w:rStyle w:val="Lbjegyzet-hivatkozs"/>
          <w:lang w:val="en-GB"/>
        </w:rPr>
        <w:footnoteReference w:id="6"/>
      </w:r>
      <w:r>
        <w:rPr>
          <w:lang w:val="en-GB"/>
        </w:rPr>
        <w:t xml:space="preserve"> prepared in line with EU obligations.</w:t>
      </w:r>
    </w:p>
    <w:p w14:paraId="04844AAC" w14:textId="02306954" w:rsidR="00356B3C" w:rsidRDefault="00356B3C" w:rsidP="00E836B6">
      <w:pPr>
        <w:pStyle w:val="Behzottbekezdsnmhh"/>
      </w:pPr>
      <w:r>
        <w:rPr>
          <w:lang w:val="en-GB"/>
        </w:rPr>
        <w:t>The utilisation of the 700 MHz frequency band affects several interrelated radio spectrum management processes, and several sectors using frequency. One key issue is the deployment of broadband PPDR networks in the 700 MHz band, for which there are several options in terms of the frequency bands that can be chosen (e.g. the 400 MHz band can be used in addition to the 700 MHz band) and the type of implementation (dedicated government network operation, commercial service use or a hybrid solution combining the two).</w:t>
      </w:r>
    </w:p>
    <w:p w14:paraId="151E6FE7" w14:textId="01AEEDEA" w:rsidR="00C1180D" w:rsidRDefault="00C1180D" w:rsidP="00E836B6">
      <w:pPr>
        <w:pStyle w:val="Behzottbekezdsnmhh"/>
      </w:pPr>
      <w:r>
        <w:rPr>
          <w:lang w:val="en-GB"/>
        </w:rPr>
        <w:t xml:space="preserve">From the 2x30 MHz band available for MFCN systems under the EU obligation, 2x25 MHz sub-band </w:t>
      </w:r>
      <w:r w:rsidR="00CD3351">
        <w:rPr>
          <w:lang w:val="en-GB"/>
        </w:rPr>
        <w:t xml:space="preserve">was </w:t>
      </w:r>
      <w:r>
        <w:rPr>
          <w:lang w:val="en-GB"/>
        </w:rPr>
        <w:t xml:space="preserve">distributed in the 2020 auction, </w:t>
      </w:r>
      <w:r w:rsidR="00F35F34">
        <w:rPr>
          <w:lang w:val="en-GB"/>
        </w:rPr>
        <w:t xml:space="preserve">while </w:t>
      </w:r>
      <w:r w:rsidR="00B006FA">
        <w:rPr>
          <w:lang w:val="en-GB"/>
        </w:rPr>
        <w:t xml:space="preserve">for </w:t>
      </w:r>
      <w:r>
        <w:rPr>
          <w:lang w:val="en-GB"/>
        </w:rPr>
        <w:t xml:space="preserve">the remaining 2x5 MHz sub-band planned category </w:t>
      </w:r>
      <w:r w:rsidR="00B006FA">
        <w:rPr>
          <w:lang w:val="en-GB"/>
        </w:rPr>
        <w:t xml:space="preserve">has been maintained </w:t>
      </w:r>
      <w:r>
        <w:rPr>
          <w:lang w:val="en-GB"/>
        </w:rPr>
        <w:t>until the spectrum needs of digital broadband PPDR systems in Hungary are clarified.</w:t>
      </w:r>
    </w:p>
    <w:p w14:paraId="100A39B4" w14:textId="1560CBCC" w:rsidR="00BC1C9C" w:rsidRDefault="00BC1C9C" w:rsidP="00E836B6">
      <w:pPr>
        <w:pStyle w:val="Behzottbekezdsnmhh"/>
        <w:rPr>
          <w:iCs/>
        </w:rPr>
      </w:pPr>
      <w:r>
        <w:rPr>
          <w:lang w:val="en-GB"/>
        </w:rPr>
        <w:t>In this</w:t>
      </w:r>
      <w:r w:rsidR="00A972D0" w:rsidRPr="00A972D0">
        <w:rPr>
          <w:sz w:val="22"/>
          <w:szCs w:val="22"/>
          <w:lang w:val="en-GB"/>
        </w:rPr>
        <w:t xml:space="preserve"> </w:t>
      </w:r>
      <w:r w:rsidR="00A972D0" w:rsidRPr="00A972D0">
        <w:rPr>
          <w:lang w:val="en-GB"/>
        </w:rPr>
        <w:t>consultation</w:t>
      </w:r>
      <w:r>
        <w:rPr>
          <w:lang w:val="en-GB"/>
        </w:rPr>
        <w:t xml:space="preserve">, we will reassess the needs, taking into account the growing demand for spectrum in next generation networks, as well as the needs for PPDR systems. As a result of the public consultation, a decision can be taken on the future use of the undistributed sub-band, in particular on the </w:t>
      </w:r>
      <w:r w:rsidR="00A972D0">
        <w:rPr>
          <w:lang w:val="en-GB"/>
        </w:rPr>
        <w:t xml:space="preserve">method </w:t>
      </w:r>
      <w:r>
        <w:rPr>
          <w:lang w:val="en-GB"/>
        </w:rPr>
        <w:t>and opportunities of the distribution (e.g. launching a competitive procedure, meeting PPDR demands with a hybrid solution, etc.).</w:t>
      </w:r>
    </w:p>
    <w:p w14:paraId="098A38B5" w14:textId="1DE37187" w:rsidR="00CA5369" w:rsidRDefault="00CA5369">
      <w:pPr>
        <w:spacing w:after="200"/>
        <w:jc w:val="left"/>
        <w:rPr>
          <w:sz w:val="20"/>
          <w:szCs w:val="20"/>
        </w:rPr>
      </w:pPr>
      <w:r>
        <w:rPr>
          <w:lang w:val="en-GB"/>
        </w:rPr>
        <w:br w:type="page"/>
      </w:r>
    </w:p>
    <w:p w14:paraId="7410F4EF" w14:textId="77777777" w:rsidR="001E50C0" w:rsidRPr="007C2EAC" w:rsidRDefault="001E50C0" w:rsidP="001E50C0">
      <w:pPr>
        <w:pStyle w:val="Cmsor1szmozottnmhh"/>
        <w:ind w:left="431" w:hanging="431"/>
      </w:pPr>
      <w:bookmarkStart w:id="3" w:name="_Toc98750382"/>
      <w:r>
        <w:rPr>
          <w:bCs/>
          <w:lang w:val="en-GB"/>
        </w:rPr>
        <w:lastRenderedPageBreak/>
        <w:t>Introduction</w:t>
      </w:r>
      <w:bookmarkEnd w:id="1"/>
      <w:bookmarkEnd w:id="3"/>
    </w:p>
    <w:p w14:paraId="60F0BE3E" w14:textId="73C8D6A6" w:rsidR="0055639E" w:rsidRDefault="0055639E" w:rsidP="0003238B">
      <w:pPr>
        <w:pStyle w:val="Behzottbekezdsnmhh"/>
      </w:pPr>
      <w:r>
        <w:rPr>
          <w:lang w:val="en-GB"/>
        </w:rPr>
        <w:t>Commission Implementing Decision (EU) 2016/687</w:t>
      </w:r>
      <w:r w:rsidR="00A35380">
        <w:rPr>
          <w:rStyle w:val="Lbjegyzet-hivatkozs"/>
          <w:lang w:val="en-GB"/>
        </w:rPr>
        <w:footnoteReference w:id="7"/>
      </w:r>
      <w:r>
        <w:rPr>
          <w:lang w:val="en-GB"/>
        </w:rPr>
        <w:t xml:space="preserve"> </w:t>
      </w:r>
      <w:r w:rsidR="00DA7DD8" w:rsidRPr="00DA7DD8">
        <w:rPr>
          <w:lang w:val="en-GB"/>
        </w:rPr>
        <w:t xml:space="preserve">(hereinafter referred to as “Commission Implementing Decision”) </w:t>
      </w:r>
      <w:r>
        <w:rPr>
          <w:lang w:val="en-GB"/>
        </w:rPr>
        <w:t>on harmonised technical conditions for band utilisation with regard to the use of mobile broadband in the 694-790 MHz frequency band (hereinafter: 700 MHz frequency band) previously used for broadcasting was adopted in 2016. Then, in 2017, a decision of the Parliament and the Council</w:t>
      </w:r>
      <w:r>
        <w:rPr>
          <w:rStyle w:val="Lbjegyzet-hivatkozs"/>
          <w:lang w:val="en-GB"/>
        </w:rPr>
        <w:footnoteReference w:id="8"/>
      </w:r>
      <w:r w:rsidR="007C4745">
        <w:rPr>
          <w:lang w:val="en-GB"/>
        </w:rPr>
        <w:t xml:space="preserve"> on the task scheduling</w:t>
      </w:r>
      <w:r>
        <w:rPr>
          <w:lang w:val="en-GB"/>
        </w:rPr>
        <w:t xml:space="preserve"> was published, setting out the obligations of the Member States regarding the re-use of the entire 470-790 MHz frequency band, and defining the expectations for the future of TV broadcasting.</w:t>
      </w:r>
    </w:p>
    <w:p w14:paraId="499157CE" w14:textId="21C62EE9" w:rsidR="0003238B" w:rsidRPr="007C2EAC" w:rsidRDefault="00080C5C" w:rsidP="0003238B">
      <w:pPr>
        <w:pStyle w:val="Behzottbekezdsnmhh"/>
      </w:pPr>
      <w:r>
        <w:rPr>
          <w:lang w:val="en-GB"/>
        </w:rPr>
        <w:t>The 700 MHz frequency band is also particularly important in terms of the introduction of 5G. Based on the 5G Action Plan of the European Commission</w:t>
      </w:r>
      <w:r>
        <w:rPr>
          <w:vertAlign w:val="superscript"/>
          <w:lang w:val="en-GB"/>
        </w:rPr>
        <w:footnoteReference w:id="9"/>
      </w:r>
      <w:r>
        <w:rPr>
          <w:lang w:val="en-GB"/>
        </w:rPr>
        <w:t xml:space="preserve"> and the 5G Strategic Roadmap set out in the RSPG’s opinion</w:t>
      </w:r>
      <w:r>
        <w:rPr>
          <w:vertAlign w:val="superscript"/>
          <w:lang w:val="en-GB"/>
        </w:rPr>
        <w:footnoteReference w:id="10"/>
      </w:r>
      <w:r>
        <w:rPr>
          <w:lang w:val="en-GB"/>
        </w:rPr>
        <w:t>, the 700 MHz band is considered as one of the primary bands in the introduction of 5G, together with the 3400-3800 MHz and the 24.25-27.5</w:t>
      </w:r>
      <w:r>
        <w:rPr>
          <w:b/>
          <w:bCs/>
          <w:lang w:val="en-GB"/>
        </w:rPr>
        <w:t xml:space="preserve"> </w:t>
      </w:r>
      <w:r>
        <w:rPr>
          <w:lang w:val="en-GB"/>
        </w:rPr>
        <w:t>GHz bands (“pioneer bands”). So far, licences for the 700 MHz frequency band have been issued in 19 Member States of the European Union. Hungary was one of the first among them.</w:t>
      </w:r>
    </w:p>
    <w:p w14:paraId="7021A918" w14:textId="7ADF9C7B" w:rsidR="000E570B" w:rsidRDefault="0092764E" w:rsidP="000E570B">
      <w:pPr>
        <w:pStyle w:val="Behzottbekezdsnmhh"/>
      </w:pPr>
      <w:r w:rsidRPr="00CB66DF">
        <w:rPr>
          <w:lang w:val="en-GB"/>
        </w:rPr>
        <w:t xml:space="preserve">The physical properties of the 700 MHz frequency band allow for the cost-effective coverage of large areas, and therefore this frequency band is beneficial for the efficient implementation of </w:t>
      </w:r>
      <w:r w:rsidR="007C4745" w:rsidRPr="00CB66DF">
        <w:rPr>
          <w:lang w:val="en-GB"/>
        </w:rPr>
        <w:t xml:space="preserve">nationwide </w:t>
      </w:r>
      <w:r w:rsidRPr="00CB66DF">
        <w:rPr>
          <w:lang w:val="en-GB"/>
        </w:rPr>
        <w:t>coverage, in particular for rural, sparsely populated areas, and also provides favourable conditions for providing in-building coverage and long-distance machine-to-machine communication</w:t>
      </w:r>
      <w:r w:rsidR="00F667A3" w:rsidRPr="00CB66DF">
        <w:rPr>
          <w:lang w:val="en-GB"/>
        </w:rPr>
        <w:t>s</w:t>
      </w:r>
      <w:r w:rsidRPr="00CB66DF">
        <w:rPr>
          <w:lang w:val="en-GB"/>
        </w:rPr>
        <w:t>.</w:t>
      </w:r>
      <w:r>
        <w:rPr>
          <w:lang w:val="en-GB"/>
        </w:rPr>
        <w:t xml:space="preserve"> </w:t>
      </w:r>
    </w:p>
    <w:p w14:paraId="706628E1" w14:textId="547D4E9C" w:rsidR="00CF1845" w:rsidRPr="007C2EAC" w:rsidRDefault="00B92822" w:rsidP="00CF1845">
      <w:pPr>
        <w:pStyle w:val="Behzottbekezdsnmhh"/>
      </w:pPr>
      <w:r>
        <w:rPr>
          <w:lang w:val="en-GB"/>
        </w:rPr>
        <w:t>Pursuant to the Commission Implementing Decision, Mobile/Fixed Communication</w:t>
      </w:r>
      <w:r w:rsidR="00FE5B49">
        <w:rPr>
          <w:lang w:val="en-GB"/>
        </w:rPr>
        <w:t>s</w:t>
      </w:r>
      <w:r>
        <w:rPr>
          <w:lang w:val="en-GB"/>
        </w:rPr>
        <w:t xml:space="preserve"> Network (MFCN) wireless broadband electronic communications services and other non-MFCN applications can also be introduced in the band. As a national option, part of the 700 MHz band may also be used for supplemental downlink (SDL), i.e. downlink-only (i.e. one-way) base station transmission as part of the provision of a terrestrial wireless broadband electronic communications service. SDL aims to increase downlink capacity of the service and thereby address</w:t>
      </w:r>
      <w:r w:rsidR="001C7782">
        <w:rPr>
          <w:lang w:val="en-GB"/>
        </w:rPr>
        <w:t>es</w:t>
      </w:r>
      <w:r>
        <w:rPr>
          <w:lang w:val="en-GB"/>
        </w:rPr>
        <w:t xml:space="preserve"> the asymmetry of data traffic demand. National options for the 700 MHz band also include BB-PPDR, wireless audio PMSE </w:t>
      </w:r>
      <w:r w:rsidR="001C7782">
        <w:rPr>
          <w:lang w:val="en-GB"/>
        </w:rPr>
        <w:t xml:space="preserve">applications </w:t>
      </w:r>
      <w:r>
        <w:rPr>
          <w:lang w:val="en-GB"/>
        </w:rPr>
        <w:t>and M2M</w:t>
      </w:r>
      <w:r>
        <w:rPr>
          <w:b/>
          <w:bCs/>
          <w:lang w:val="en-GB"/>
        </w:rPr>
        <w:t xml:space="preserve">, </w:t>
      </w:r>
      <w:r>
        <w:rPr>
          <w:lang w:val="en-GB"/>
        </w:rPr>
        <w:t xml:space="preserve">which can be operated on </w:t>
      </w:r>
      <w:r w:rsidR="00C15E49">
        <w:rPr>
          <w:lang w:val="en-GB"/>
        </w:rPr>
        <w:t xml:space="preserve">dedicated </w:t>
      </w:r>
      <w:r>
        <w:rPr>
          <w:lang w:val="en-GB"/>
        </w:rPr>
        <w:t>networks or on terrestrial systems capable of providing electronic communications services.</w:t>
      </w:r>
    </w:p>
    <w:p w14:paraId="6AA96327" w14:textId="54D0DB48" w:rsidR="00735A38" w:rsidRPr="00E1244E" w:rsidRDefault="00300C77" w:rsidP="00DF2A4A">
      <w:pPr>
        <w:pStyle w:val="Behzottbekezdsnmhh"/>
      </w:pPr>
      <w:r>
        <w:rPr>
          <w:lang w:val="en-GB"/>
        </w:rPr>
        <w:t xml:space="preserve"> </w:t>
      </w:r>
    </w:p>
    <w:p w14:paraId="292DEDE1" w14:textId="3E40FA18" w:rsidR="00DF2A4A" w:rsidRDefault="00DF2A4A">
      <w:pPr>
        <w:spacing w:after="200"/>
        <w:jc w:val="left"/>
        <w:rPr>
          <w:sz w:val="20"/>
          <w:szCs w:val="20"/>
        </w:rPr>
      </w:pPr>
      <w:r>
        <w:rPr>
          <w:lang w:val="en-GB"/>
        </w:rPr>
        <w:br w:type="page"/>
      </w:r>
    </w:p>
    <w:p w14:paraId="6CCEE0C8" w14:textId="648639E0" w:rsidR="001E50C0" w:rsidRDefault="005C20A9" w:rsidP="001E50C0">
      <w:pPr>
        <w:pStyle w:val="Cmsor1szmozottnmhh"/>
        <w:ind w:left="431" w:hanging="431"/>
      </w:pPr>
      <w:bookmarkStart w:id="4" w:name="_Toc98750383"/>
      <w:r>
        <w:rPr>
          <w:bCs/>
          <w:lang w:val="en-GB"/>
        </w:rPr>
        <w:lastRenderedPageBreak/>
        <w:t>Regulation of 700 MHz band</w:t>
      </w:r>
      <w:bookmarkEnd w:id="4"/>
    </w:p>
    <w:p w14:paraId="066988C0" w14:textId="77777777" w:rsidR="001E50C0" w:rsidRDefault="001E50C0" w:rsidP="001E50C0">
      <w:pPr>
        <w:pStyle w:val="Cmsor2szmozottnmhh"/>
        <w:ind w:left="578" w:hanging="578"/>
      </w:pPr>
      <w:bookmarkStart w:id="5" w:name="_Toc473880715"/>
      <w:bookmarkStart w:id="6" w:name="_Toc98750384"/>
      <w:r>
        <w:rPr>
          <w:bCs/>
          <w:lang w:val="en-GB"/>
        </w:rPr>
        <w:t>International regulation</w:t>
      </w:r>
      <w:bookmarkEnd w:id="5"/>
      <w:bookmarkEnd w:id="6"/>
    </w:p>
    <w:p w14:paraId="19AFE8CC" w14:textId="08C94104" w:rsidR="007D4158" w:rsidRPr="009B318B" w:rsidRDefault="00AC75E9" w:rsidP="007D4158">
      <w:pPr>
        <w:pStyle w:val="Behzottbekezdsnmhh"/>
      </w:pPr>
      <w:bookmarkStart w:id="7" w:name="_Toc473880717"/>
      <w:bookmarkStart w:id="8" w:name="_Toc473880716"/>
      <w:r>
        <w:rPr>
          <w:lang w:val="en-GB"/>
        </w:rPr>
        <w:t>The 5th generation mobile technology introduced in the ITU terminology with the term IMT-2020</w:t>
      </w:r>
      <w:r>
        <w:rPr>
          <w:vertAlign w:val="superscript"/>
          <w:lang w:val="en-GB"/>
        </w:rPr>
        <w:footnoteReference w:id="11"/>
      </w:r>
      <w:r>
        <w:rPr>
          <w:lang w:val="en-GB"/>
        </w:rPr>
        <w:t xml:space="preserve"> (more commonly known as 5G or NR) opens up</w:t>
      </w:r>
      <w:r>
        <w:rPr>
          <w:b/>
          <w:bCs/>
          <w:lang w:val="en-GB"/>
        </w:rPr>
        <w:t xml:space="preserve"> </w:t>
      </w:r>
      <w:r>
        <w:rPr>
          <w:lang w:val="en-GB"/>
        </w:rPr>
        <w:t>new perspectives in mobile telecommunications, therefore providing the necessary spectrum and establishing the relevant regulations have been considered a priority at international level by the relevant international professional organisations. According to the RSPG’s</w:t>
      </w:r>
      <w:r>
        <w:rPr>
          <w:rStyle w:val="Lbjegyzet-hivatkozs"/>
          <w:lang w:val="en-GB"/>
        </w:rPr>
        <w:footnoteReference w:id="12"/>
      </w:r>
      <w:r>
        <w:rPr>
          <w:lang w:val="en-GB"/>
        </w:rPr>
        <w:t xml:space="preserve"> opinion on 5G spectrum issues</w:t>
      </w:r>
      <w:r>
        <w:rPr>
          <w:vertAlign w:val="superscript"/>
          <w:lang w:val="en-GB"/>
        </w:rPr>
        <w:footnoteReference w:id="13"/>
      </w:r>
      <w:r>
        <w:rPr>
          <w:lang w:val="en-GB"/>
        </w:rPr>
        <w:t>, the 700 MHz band is one of the so-called 5G pioneer bands. Making the 700 MHz frequency band available for mobile broadband applications and developing the current regulation required lengthy international preparations by the relevant international organisations and groups responsible for spectrum management (ITU</w:t>
      </w:r>
      <w:r>
        <w:rPr>
          <w:vertAlign w:val="superscript"/>
          <w:lang w:val="en-GB"/>
        </w:rPr>
        <w:footnoteReference w:id="14"/>
      </w:r>
      <w:r>
        <w:rPr>
          <w:lang w:val="en-GB"/>
        </w:rPr>
        <w:t>, CEPT</w:t>
      </w:r>
      <w:r>
        <w:rPr>
          <w:vertAlign w:val="superscript"/>
          <w:lang w:val="en-GB"/>
        </w:rPr>
        <w:footnoteReference w:id="15"/>
      </w:r>
      <w:r>
        <w:rPr>
          <w:lang w:val="en-GB"/>
        </w:rPr>
        <w:t>, European Commission, RSPG</w:t>
      </w:r>
      <w:r>
        <w:rPr>
          <w:vertAlign w:val="superscript"/>
          <w:lang w:val="en-GB"/>
        </w:rPr>
        <w:footnoteReference w:id="16"/>
      </w:r>
      <w:r>
        <w:rPr>
          <w:lang w:val="en-GB"/>
        </w:rPr>
        <w:t>, RSC</w:t>
      </w:r>
      <w:r>
        <w:rPr>
          <w:vertAlign w:val="superscript"/>
          <w:lang w:val="en-GB"/>
        </w:rPr>
        <w:footnoteReference w:id="17"/>
      </w:r>
      <w:r>
        <w:rPr>
          <w:lang w:val="en-GB"/>
        </w:rPr>
        <w:t>). The key elements of international regulation are summarized below.</w:t>
      </w:r>
    </w:p>
    <w:p w14:paraId="0C8292AF" w14:textId="77777777" w:rsidR="00590CCD" w:rsidRDefault="00590CCD" w:rsidP="006963E1">
      <w:pPr>
        <w:spacing w:after="0" w:line="240" w:lineRule="auto"/>
      </w:pPr>
    </w:p>
    <w:p w14:paraId="0841FC60" w14:textId="77777777" w:rsidR="001E50C0" w:rsidRDefault="001E50C0" w:rsidP="001E50C0">
      <w:pPr>
        <w:pStyle w:val="Cmsor3szmozottnmhh"/>
      </w:pPr>
      <w:bookmarkStart w:id="9" w:name="_Toc98750385"/>
      <w:r>
        <w:rPr>
          <w:bCs/>
          <w:lang w:val="en-GB"/>
        </w:rPr>
        <w:t>ITU</w:t>
      </w:r>
      <w:bookmarkEnd w:id="7"/>
      <w:bookmarkEnd w:id="9"/>
    </w:p>
    <w:p w14:paraId="2E3E7D52" w14:textId="63EED6F9" w:rsidR="007107C7" w:rsidRDefault="00944677" w:rsidP="00B7054C">
      <w:pPr>
        <w:pStyle w:val="Behzottbekezdsnmhh"/>
      </w:pPr>
      <w:r>
        <w:rPr>
          <w:lang w:val="en-GB"/>
        </w:rPr>
        <w:t xml:space="preserve">Annex 1 to Decree No. 7/2015 (XI. 13.) NMHH on the national frequency allocation and the rules of using frequency bands (hereinafter: NFFF Decree) contains the international allocation in accordance with Radio Regulations (hereinafter: RR). According to the currently effective Radio Regulations, the 694-790 MHz band is allocated to </w:t>
      </w:r>
      <w:r w:rsidR="0037206C">
        <w:rPr>
          <w:lang w:val="en-GB"/>
        </w:rPr>
        <w:t xml:space="preserve">the </w:t>
      </w:r>
      <w:r>
        <w:rPr>
          <w:lang w:val="en-GB"/>
        </w:rPr>
        <w:t xml:space="preserve">broadcasting and mobile (except aeronautical mobile) services on a primary basis. </w:t>
      </w:r>
    </w:p>
    <w:p w14:paraId="2E5A7540" w14:textId="08263A1C" w:rsidR="007107C7" w:rsidRDefault="007107C7" w:rsidP="007107C7">
      <w:pPr>
        <w:pStyle w:val="Behzottbekezdsnmhh"/>
      </w:pPr>
      <w:r>
        <w:rPr>
          <w:lang w:val="en-GB"/>
        </w:rPr>
        <w:t>The use for broadcasting purposes is regulated by the agreement and frequency plan (GE06</w:t>
      </w:r>
      <w:r>
        <w:rPr>
          <w:vertAlign w:val="superscript"/>
          <w:lang w:val="en-GB"/>
        </w:rPr>
        <w:footnoteReference w:id="18"/>
      </w:r>
      <w:r>
        <w:rPr>
          <w:lang w:val="en-GB"/>
        </w:rPr>
        <w:t>) adopted at the Regional Radiocommunication Conference in Geneva in 2006 (RRC-06</w:t>
      </w:r>
      <w:r>
        <w:rPr>
          <w:vertAlign w:val="superscript"/>
          <w:lang w:val="en-GB"/>
        </w:rPr>
        <w:footnoteReference w:id="19"/>
      </w:r>
      <w:r>
        <w:rPr>
          <w:lang w:val="en-GB"/>
        </w:rPr>
        <w:t>). In addition to the plan for the use of frequencies for broadcasting purposes, GE06 also includes the procedures necessary for the international coordination of services other than broadcasting.</w:t>
      </w:r>
    </w:p>
    <w:p w14:paraId="5F50F682" w14:textId="5CBA0657" w:rsidR="00BA3585" w:rsidRDefault="00002AA3" w:rsidP="00441882">
      <w:pPr>
        <w:pStyle w:val="Behzottbekezdsnmhh"/>
      </w:pPr>
      <w:r>
        <w:rPr>
          <w:lang w:val="en-GB"/>
        </w:rPr>
        <w:t>The use of the 694-790 MHz frequency band for mobile services (except aeronautical mobile service) in Region 1</w:t>
      </w:r>
      <w:r>
        <w:rPr>
          <w:vertAlign w:val="superscript"/>
          <w:lang w:val="en-GB"/>
        </w:rPr>
        <w:footnoteReference w:id="20"/>
      </w:r>
      <w:r>
        <w:rPr>
          <w:lang w:val="en-GB"/>
        </w:rPr>
        <w:t xml:space="preserve"> of the ITU was approved by WRC-15</w:t>
      </w:r>
      <w:r>
        <w:rPr>
          <w:rStyle w:val="Lbjegyzet-hivatkozs"/>
          <w:lang w:val="en-GB"/>
        </w:rPr>
        <w:footnoteReference w:id="21"/>
      </w:r>
      <w:r>
        <w:rPr>
          <w:lang w:val="en-GB"/>
        </w:rPr>
        <w:t xml:space="preserve">, while maintaining the primary nature of broadcasting. </w:t>
      </w:r>
    </w:p>
    <w:p w14:paraId="400DC666" w14:textId="77777777" w:rsidR="00441882" w:rsidRDefault="00441882" w:rsidP="00441882">
      <w:pPr>
        <w:pStyle w:val="Behzottbekezdsnmhh"/>
      </w:pPr>
      <w:r>
        <w:rPr>
          <w:lang w:val="en-GB"/>
        </w:rPr>
        <w:t>The conditions of use for mobile services are set out in footnotes 5.312A and 5.317A:</w:t>
      </w:r>
    </w:p>
    <w:tbl>
      <w:tblPr>
        <w:tblStyle w:val="Rcsostblzat"/>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8495"/>
      </w:tblGrid>
      <w:tr w:rsidR="00441882" w:rsidRPr="00163AC8" w14:paraId="0042D753" w14:textId="77777777" w:rsidTr="004A459F">
        <w:trPr>
          <w:cantSplit/>
          <w:trHeight w:val="57"/>
        </w:trPr>
        <w:tc>
          <w:tcPr>
            <w:tcW w:w="861" w:type="dxa"/>
          </w:tcPr>
          <w:p w14:paraId="6B81037B" w14:textId="77777777" w:rsidR="00441882" w:rsidRPr="00163AC8" w:rsidRDefault="00441882" w:rsidP="004A459F">
            <w:pPr>
              <w:widowControl w:val="0"/>
              <w:spacing w:after="60"/>
              <w:rPr>
                <w:i/>
                <w:sz w:val="20"/>
                <w:szCs w:val="20"/>
              </w:rPr>
            </w:pPr>
            <w:r>
              <w:rPr>
                <w:b/>
                <w:bCs/>
                <w:i/>
                <w:iCs/>
                <w:sz w:val="20"/>
                <w:szCs w:val="20"/>
                <w:lang w:val="en-GB"/>
              </w:rPr>
              <w:lastRenderedPageBreak/>
              <w:t>5.312A</w:t>
            </w:r>
          </w:p>
        </w:tc>
        <w:tc>
          <w:tcPr>
            <w:tcW w:w="8495" w:type="dxa"/>
          </w:tcPr>
          <w:p w14:paraId="4F6F6A03" w14:textId="6D4BEAB3" w:rsidR="00441882" w:rsidRPr="00163AC8" w:rsidRDefault="00441882" w:rsidP="00112F85">
            <w:pPr>
              <w:keepNext/>
              <w:keepLines/>
              <w:tabs>
                <w:tab w:val="left" w:pos="2065"/>
              </w:tabs>
              <w:spacing w:after="60"/>
              <w:ind w:right="34"/>
              <w:rPr>
                <w:i/>
                <w:sz w:val="20"/>
                <w:szCs w:val="20"/>
              </w:rPr>
            </w:pPr>
            <w:r>
              <w:rPr>
                <w:i/>
                <w:iCs/>
                <w:sz w:val="20"/>
                <w:szCs w:val="20"/>
                <w:lang w:val="en-GB"/>
              </w:rPr>
              <w:t xml:space="preserve">In Region 1, the use of the frequency band 694-790 MHz by the mobile, except aeronautical mobile, service is subject to the provisions of Resolution </w:t>
            </w:r>
            <w:r>
              <w:rPr>
                <w:b/>
                <w:bCs/>
                <w:i/>
                <w:iCs/>
                <w:sz w:val="20"/>
                <w:szCs w:val="20"/>
                <w:lang w:val="en-GB"/>
              </w:rPr>
              <w:t>760 (WRC-15)</w:t>
            </w:r>
            <w:r>
              <w:rPr>
                <w:i/>
                <w:iCs/>
                <w:vertAlign w:val="superscript"/>
                <w:lang w:val="en-GB"/>
              </w:rPr>
              <w:footnoteReference w:id="22"/>
            </w:r>
            <w:r w:rsidR="00112F85">
              <w:rPr>
                <w:i/>
                <w:iCs/>
                <w:sz w:val="20"/>
                <w:szCs w:val="20"/>
                <w:lang w:val="en-GB"/>
              </w:rPr>
              <w:t>.</w:t>
            </w:r>
            <w:r>
              <w:rPr>
                <w:i/>
                <w:iCs/>
                <w:sz w:val="20"/>
                <w:szCs w:val="20"/>
                <w:lang w:val="en-GB"/>
              </w:rPr>
              <w:t xml:space="preserve"> See also Resolution </w:t>
            </w:r>
            <w:r>
              <w:rPr>
                <w:b/>
                <w:bCs/>
                <w:i/>
                <w:iCs/>
                <w:sz w:val="20"/>
                <w:szCs w:val="20"/>
                <w:lang w:val="en-GB"/>
              </w:rPr>
              <w:t>224 (Rev.WRC-15)</w:t>
            </w:r>
            <w:r w:rsidR="00112F85" w:rsidRPr="00163AC8">
              <w:rPr>
                <w:i/>
                <w:vertAlign w:val="superscript"/>
              </w:rPr>
              <w:t xml:space="preserve"> </w:t>
            </w:r>
            <w:r w:rsidR="00112F85" w:rsidRPr="00163AC8">
              <w:rPr>
                <w:i/>
                <w:vertAlign w:val="superscript"/>
              </w:rPr>
              <w:footnoteReference w:id="23"/>
            </w:r>
            <w:r w:rsidR="00654B9F">
              <w:rPr>
                <w:bCs/>
                <w:i/>
                <w:iCs/>
                <w:sz w:val="20"/>
                <w:szCs w:val="20"/>
                <w:lang w:val="en-GB"/>
              </w:rPr>
              <w:t>.</w:t>
            </w:r>
            <w:r>
              <w:rPr>
                <w:b/>
                <w:bCs/>
                <w:i/>
                <w:iCs/>
                <w:sz w:val="20"/>
                <w:szCs w:val="20"/>
                <w:lang w:val="en-GB"/>
              </w:rPr>
              <w:t xml:space="preserve"> </w:t>
            </w:r>
            <w:r>
              <w:rPr>
                <w:i/>
                <w:iCs/>
                <w:sz w:val="20"/>
                <w:szCs w:val="20"/>
                <w:lang w:val="en-GB"/>
              </w:rPr>
              <w:t>(WRC</w:t>
            </w:r>
            <w:r>
              <w:rPr>
                <w:i/>
                <w:iCs/>
                <w:sz w:val="20"/>
                <w:szCs w:val="20"/>
                <w:lang w:val="en-GB"/>
              </w:rPr>
              <w:noBreakHyphen/>
              <w:t>15)</w:t>
            </w:r>
          </w:p>
        </w:tc>
      </w:tr>
      <w:tr w:rsidR="00441882" w:rsidRPr="00163AC8" w14:paraId="30B25B59" w14:textId="77777777" w:rsidTr="004A459F">
        <w:trPr>
          <w:cantSplit/>
          <w:trHeight w:val="57"/>
        </w:trPr>
        <w:tc>
          <w:tcPr>
            <w:tcW w:w="861" w:type="dxa"/>
          </w:tcPr>
          <w:p w14:paraId="1F4B43A7" w14:textId="77777777" w:rsidR="00441882" w:rsidRPr="00163AC8" w:rsidRDefault="00441882" w:rsidP="004A459F">
            <w:pPr>
              <w:widowControl w:val="0"/>
              <w:spacing w:after="60"/>
              <w:rPr>
                <w:i/>
                <w:sz w:val="20"/>
                <w:szCs w:val="20"/>
              </w:rPr>
            </w:pPr>
            <w:r>
              <w:rPr>
                <w:b/>
                <w:bCs/>
                <w:i/>
                <w:iCs/>
                <w:sz w:val="20"/>
                <w:szCs w:val="20"/>
                <w:lang w:val="en-GB"/>
              </w:rPr>
              <w:t>5.317A</w:t>
            </w:r>
          </w:p>
        </w:tc>
        <w:tc>
          <w:tcPr>
            <w:tcW w:w="8495" w:type="dxa"/>
          </w:tcPr>
          <w:p w14:paraId="256F0F80" w14:textId="3FFBDF7F" w:rsidR="00441882" w:rsidRPr="00163AC8" w:rsidRDefault="00441882" w:rsidP="00112F85">
            <w:pPr>
              <w:keepLines/>
              <w:tabs>
                <w:tab w:val="left" w:pos="2065"/>
              </w:tabs>
              <w:spacing w:after="60"/>
              <w:ind w:right="34"/>
              <w:rPr>
                <w:i/>
                <w:sz w:val="20"/>
                <w:szCs w:val="20"/>
              </w:rPr>
            </w:pPr>
            <w:r>
              <w:rPr>
                <w:i/>
                <w:iCs/>
                <w:sz w:val="20"/>
                <w:szCs w:val="20"/>
                <w:lang w:val="en-GB"/>
              </w:rPr>
              <w:t>The parts of the frequency band 698</w:t>
            </w:r>
            <w:r w:rsidR="00654B9F">
              <w:rPr>
                <w:i/>
                <w:iCs/>
                <w:sz w:val="20"/>
                <w:szCs w:val="20"/>
                <w:lang w:val="en-GB"/>
              </w:rPr>
              <w:t>-</w:t>
            </w:r>
            <w:r>
              <w:rPr>
                <w:i/>
                <w:iCs/>
                <w:sz w:val="20"/>
                <w:szCs w:val="20"/>
                <w:lang w:val="en-GB"/>
              </w:rPr>
              <w:t>960 MHz in Region 2 and the frequency bands 694</w:t>
            </w:r>
            <w:r w:rsidR="00654B9F">
              <w:rPr>
                <w:i/>
                <w:iCs/>
                <w:sz w:val="20"/>
                <w:szCs w:val="20"/>
                <w:lang w:val="en-GB"/>
              </w:rPr>
              <w:t>-</w:t>
            </w:r>
            <w:r>
              <w:rPr>
                <w:i/>
                <w:iCs/>
                <w:sz w:val="20"/>
                <w:szCs w:val="20"/>
                <w:lang w:val="en-GB"/>
              </w:rPr>
              <w:t>790 MHz in Region 1 and 790</w:t>
            </w:r>
            <w:r w:rsidR="00654B9F">
              <w:rPr>
                <w:i/>
                <w:iCs/>
                <w:sz w:val="20"/>
                <w:szCs w:val="20"/>
                <w:lang w:val="en-GB"/>
              </w:rPr>
              <w:t>-</w:t>
            </w:r>
            <w:r>
              <w:rPr>
                <w:i/>
                <w:iCs/>
                <w:sz w:val="20"/>
                <w:szCs w:val="20"/>
                <w:lang w:val="en-GB"/>
              </w:rPr>
              <w:t xml:space="preserve">960 MHz in Regions </w:t>
            </w:r>
            <w:r w:rsidR="00654B9F">
              <w:rPr>
                <w:i/>
                <w:iCs/>
                <w:sz w:val="20"/>
                <w:szCs w:val="20"/>
                <w:lang w:val="en-GB"/>
              </w:rPr>
              <w:t xml:space="preserve">1 and </w:t>
            </w:r>
            <w:r>
              <w:rPr>
                <w:i/>
                <w:iCs/>
                <w:sz w:val="20"/>
                <w:szCs w:val="20"/>
                <w:lang w:val="en-GB"/>
              </w:rPr>
              <w:t>3 which are allocated to the mobile service on a primary basis are identified for use by administrations wishing to implement International Mobile Telecommunications (IMT</w:t>
            </w:r>
            <w:r>
              <w:rPr>
                <w:vertAlign w:val="superscript"/>
                <w:lang w:val="en-GB"/>
              </w:rPr>
              <w:footnoteReference w:id="24"/>
            </w:r>
            <w:r>
              <w:rPr>
                <w:i/>
                <w:iCs/>
                <w:sz w:val="20"/>
                <w:szCs w:val="20"/>
                <w:lang w:val="en-GB"/>
              </w:rPr>
              <w:t xml:space="preserve">) – see Resolutions </w:t>
            </w:r>
            <w:r>
              <w:rPr>
                <w:b/>
                <w:bCs/>
                <w:i/>
                <w:iCs/>
                <w:sz w:val="20"/>
                <w:szCs w:val="20"/>
                <w:lang w:val="en-GB"/>
              </w:rPr>
              <w:t>224 (Rev.WRC-15)</w:t>
            </w:r>
            <w:r>
              <w:rPr>
                <w:i/>
                <w:iCs/>
                <w:sz w:val="20"/>
                <w:szCs w:val="20"/>
                <w:lang w:val="en-GB"/>
              </w:rPr>
              <w:t xml:space="preserve">, </w:t>
            </w:r>
            <w:r>
              <w:rPr>
                <w:b/>
                <w:bCs/>
                <w:i/>
                <w:iCs/>
                <w:sz w:val="20"/>
                <w:szCs w:val="20"/>
                <w:lang w:val="en-GB"/>
              </w:rPr>
              <w:t>760 (WRC-15)</w:t>
            </w:r>
            <w:r>
              <w:rPr>
                <w:i/>
                <w:iCs/>
                <w:sz w:val="20"/>
                <w:szCs w:val="20"/>
                <w:lang w:val="en-GB"/>
              </w:rPr>
              <w:t xml:space="preserve"> and </w:t>
            </w:r>
            <w:r>
              <w:rPr>
                <w:b/>
                <w:bCs/>
                <w:i/>
                <w:iCs/>
                <w:sz w:val="20"/>
                <w:szCs w:val="20"/>
                <w:lang w:val="en-GB"/>
              </w:rPr>
              <w:t>749 (Rev.WRC-15)</w:t>
            </w:r>
            <w:r>
              <w:rPr>
                <w:i/>
                <w:iCs/>
                <w:vertAlign w:val="superscript"/>
                <w:lang w:val="en-GB"/>
              </w:rPr>
              <w:footnoteReference w:id="25"/>
            </w:r>
            <w:r>
              <w:rPr>
                <w:i/>
                <w:iCs/>
                <w:sz w:val="20"/>
                <w:szCs w:val="20"/>
                <w:lang w:val="en-GB"/>
              </w:rPr>
              <w:t>, where applicable. This identification does not preclude the use of these frequency bands by any application of the services to which they are allocated and does not establish priority in the Radio Regulations. (WRC</w:t>
            </w:r>
            <w:r w:rsidR="00112F85">
              <w:rPr>
                <w:i/>
                <w:iCs/>
                <w:sz w:val="20"/>
                <w:szCs w:val="20"/>
                <w:lang w:val="en-GB"/>
              </w:rPr>
              <w:t>-</w:t>
            </w:r>
            <w:r>
              <w:rPr>
                <w:i/>
                <w:iCs/>
                <w:sz w:val="20"/>
                <w:szCs w:val="20"/>
                <w:lang w:val="en-GB"/>
              </w:rPr>
              <w:t>15)</w:t>
            </w:r>
          </w:p>
        </w:tc>
      </w:tr>
    </w:tbl>
    <w:p w14:paraId="207CFFDF" w14:textId="6AC76F54" w:rsidR="007565F7" w:rsidRDefault="007565F7" w:rsidP="007565F7">
      <w:pPr>
        <w:pStyle w:val="Behzottbekezdsnmhh"/>
      </w:pPr>
      <w:r>
        <w:rPr>
          <w:lang w:val="en-GB"/>
        </w:rPr>
        <w:t xml:space="preserve">As a result of the WRC-15 conference, the 700 MHz band was allocated to the mobile service (in addition to </w:t>
      </w:r>
      <w:r w:rsidR="000C2CED">
        <w:rPr>
          <w:lang w:val="en-GB"/>
        </w:rPr>
        <w:t xml:space="preserve">the </w:t>
      </w:r>
      <w:r>
        <w:rPr>
          <w:lang w:val="en-GB"/>
        </w:rPr>
        <w:t xml:space="preserve">broadcasting) </w:t>
      </w:r>
      <w:r w:rsidR="000C2CED">
        <w:rPr>
          <w:lang w:val="en-GB"/>
        </w:rPr>
        <w:t xml:space="preserve">on a primary basis </w:t>
      </w:r>
      <w:r>
        <w:rPr>
          <w:lang w:val="en-GB"/>
        </w:rPr>
        <w:t xml:space="preserve">in all three ITU </w:t>
      </w:r>
      <w:r w:rsidR="000C2CED">
        <w:rPr>
          <w:lang w:val="en-GB"/>
        </w:rPr>
        <w:t xml:space="preserve">Regions </w:t>
      </w:r>
      <w:r>
        <w:rPr>
          <w:lang w:val="en-GB"/>
        </w:rPr>
        <w:t xml:space="preserve">and became available for broadband mobile service applications (IMT). Harmonisation between regions (Europe, Asia and the Pacific) was an important aspect in </w:t>
      </w:r>
      <w:r w:rsidR="000C2CED">
        <w:rPr>
          <w:lang w:val="en-GB"/>
        </w:rPr>
        <w:t xml:space="preserve">developing </w:t>
      </w:r>
      <w:r>
        <w:rPr>
          <w:lang w:val="en-GB"/>
        </w:rPr>
        <w:t xml:space="preserve">frequency arrangement in order to ensure economies of scale and unimpeded global roaming. </w:t>
      </w:r>
    </w:p>
    <w:p w14:paraId="7670D5B7" w14:textId="6C0159EC" w:rsidR="00915776" w:rsidRDefault="00BE7933" w:rsidP="00915776">
      <w:pPr>
        <w:pStyle w:val="Behzottbekezdsnmhh"/>
      </w:pPr>
      <w:r>
        <w:rPr>
          <w:lang w:val="en-GB"/>
        </w:rPr>
        <w:t xml:space="preserve">The frequency bands </w:t>
      </w:r>
      <w:r w:rsidR="006D4D98">
        <w:rPr>
          <w:lang w:val="en-GB"/>
        </w:rPr>
        <w:t xml:space="preserve">identified for IMT </w:t>
      </w:r>
      <w:r>
        <w:rPr>
          <w:lang w:val="en-GB"/>
        </w:rPr>
        <w:t xml:space="preserve">and </w:t>
      </w:r>
      <w:r w:rsidR="006D4D98">
        <w:rPr>
          <w:lang w:val="en-GB"/>
        </w:rPr>
        <w:t xml:space="preserve">related </w:t>
      </w:r>
      <w:r>
        <w:rPr>
          <w:lang w:val="en-GB"/>
        </w:rPr>
        <w:t>channel arrangements are included in Recommendation ITU-R M. 1036-5</w:t>
      </w:r>
      <w:r>
        <w:rPr>
          <w:vertAlign w:val="superscript"/>
          <w:lang w:val="en-GB"/>
        </w:rPr>
        <w:footnoteReference w:id="26"/>
      </w:r>
      <w:r>
        <w:rPr>
          <w:lang w:val="en-GB"/>
        </w:rPr>
        <w:t xml:space="preserve">. The 700 MHz frequency band is also allocated to the </w:t>
      </w:r>
      <w:r w:rsidR="00C85C51">
        <w:rPr>
          <w:lang w:val="en-GB"/>
        </w:rPr>
        <w:t>a</w:t>
      </w:r>
      <w:r>
        <w:rPr>
          <w:lang w:val="en-GB"/>
        </w:rPr>
        <w:t xml:space="preserve">eronautical </w:t>
      </w:r>
      <w:r w:rsidR="00C85C51">
        <w:rPr>
          <w:lang w:val="en-GB"/>
        </w:rPr>
        <w:t>r</w:t>
      </w:r>
      <w:r>
        <w:rPr>
          <w:lang w:val="en-GB"/>
        </w:rPr>
        <w:t xml:space="preserve">adionavigation </w:t>
      </w:r>
      <w:r w:rsidR="00C85C51">
        <w:rPr>
          <w:lang w:val="en-GB"/>
        </w:rPr>
        <w:t>s</w:t>
      </w:r>
      <w:r>
        <w:rPr>
          <w:lang w:val="en-GB"/>
        </w:rPr>
        <w:t>ervice (hereinafter: ARNS</w:t>
      </w:r>
      <w:r>
        <w:rPr>
          <w:vertAlign w:val="superscript"/>
          <w:lang w:val="en-GB"/>
        </w:rPr>
        <w:footnoteReference w:id="27"/>
      </w:r>
      <w:r>
        <w:rPr>
          <w:lang w:val="en-GB"/>
        </w:rPr>
        <w:t xml:space="preserve">) on a primary basis in some countries, </w:t>
      </w:r>
      <w:r w:rsidR="00C85C51">
        <w:rPr>
          <w:lang w:val="en-GB"/>
        </w:rPr>
        <w:t xml:space="preserve">according to </w:t>
      </w:r>
      <w:r>
        <w:rPr>
          <w:lang w:val="en-GB"/>
        </w:rPr>
        <w:t xml:space="preserve">footnote 5.312 of the Radio Regulations: </w:t>
      </w:r>
    </w:p>
    <w:tbl>
      <w:tblPr>
        <w:tblStyle w:val="Rcsostblzat"/>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8221"/>
      </w:tblGrid>
      <w:tr w:rsidR="00261CF7" w:rsidRPr="007107C7" w14:paraId="0E0E41CB" w14:textId="77777777" w:rsidTr="008A5D41">
        <w:trPr>
          <w:cantSplit/>
          <w:trHeight w:val="57"/>
        </w:trPr>
        <w:tc>
          <w:tcPr>
            <w:tcW w:w="1135" w:type="dxa"/>
          </w:tcPr>
          <w:p w14:paraId="61C3C72A" w14:textId="77777777" w:rsidR="00261CF7" w:rsidRPr="007107C7" w:rsidRDefault="00261CF7" w:rsidP="007107C7">
            <w:pPr>
              <w:widowControl w:val="0"/>
              <w:spacing w:after="60"/>
              <w:rPr>
                <w:b/>
                <w:i/>
                <w:sz w:val="20"/>
                <w:szCs w:val="20"/>
              </w:rPr>
            </w:pPr>
            <w:r>
              <w:rPr>
                <w:b/>
                <w:bCs/>
                <w:i/>
                <w:iCs/>
                <w:sz w:val="20"/>
                <w:szCs w:val="20"/>
                <w:lang w:val="en-GB"/>
              </w:rPr>
              <w:t>5.312</w:t>
            </w:r>
          </w:p>
        </w:tc>
        <w:tc>
          <w:tcPr>
            <w:tcW w:w="8221" w:type="dxa"/>
          </w:tcPr>
          <w:p w14:paraId="2EBC6F80" w14:textId="77777777" w:rsidR="00261CF7" w:rsidRPr="007107C7" w:rsidRDefault="00261CF7" w:rsidP="007107C7">
            <w:pPr>
              <w:widowControl w:val="0"/>
              <w:spacing w:after="60"/>
              <w:ind w:left="-108"/>
              <w:rPr>
                <w:i/>
                <w:sz w:val="20"/>
                <w:szCs w:val="20"/>
              </w:rPr>
            </w:pPr>
            <w:r>
              <w:rPr>
                <w:i/>
                <w:iCs/>
                <w:sz w:val="20"/>
                <w:szCs w:val="20"/>
                <w:lang w:val="en-GB"/>
              </w:rPr>
              <w:t>Additional allocation: in Armenia, Azerbaijan, Belarus, the Russian Federation, Georgia, Kazakhstan, Uzbekistan, Kyrgyzstan, Tajikistan, Turkmenistan and Ukraine, the frequency band 645-862 MHz, in Bulgaria the frequency bands 646-686 MHz, 726-758 MHz, 766-814 MHz and 822-862 MHz, and in Poland the frequency band 860-862 MHz until 31 December 2017, are also allocated to the aeronautical radionavigation service on a primary basis. (WRC</w:t>
            </w:r>
            <w:r>
              <w:rPr>
                <w:i/>
                <w:iCs/>
                <w:sz w:val="20"/>
                <w:szCs w:val="20"/>
                <w:lang w:val="en-GB"/>
              </w:rPr>
              <w:noBreakHyphen/>
              <w:t>15)</w:t>
            </w:r>
          </w:p>
        </w:tc>
      </w:tr>
    </w:tbl>
    <w:p w14:paraId="6DA77277" w14:textId="3B6A96A3" w:rsidR="000E5055" w:rsidRDefault="000E5055" w:rsidP="000E5055">
      <w:pPr>
        <w:pStyle w:val="Behzottbekezdsnmhh"/>
      </w:pPr>
      <w:r>
        <w:rPr>
          <w:lang w:val="en-GB"/>
        </w:rPr>
        <w:t xml:space="preserve">The use of the 700 MHz band for IMT has raised a number of regulatory issues, including the </w:t>
      </w:r>
      <w:r w:rsidR="00AB525F">
        <w:rPr>
          <w:lang w:val="en-GB"/>
        </w:rPr>
        <w:t xml:space="preserve">specification </w:t>
      </w:r>
      <w:r>
        <w:rPr>
          <w:lang w:val="en-GB"/>
        </w:rPr>
        <w:t>of permitted emission levels of mobile user devices outside of the 700 MHz band (</w:t>
      </w:r>
      <w:r w:rsidR="00AB525F">
        <w:rPr>
          <w:lang w:val="en-GB"/>
        </w:rPr>
        <w:t xml:space="preserve">within </w:t>
      </w:r>
      <w:r>
        <w:rPr>
          <w:lang w:val="en-GB"/>
        </w:rPr>
        <w:t xml:space="preserve">the broadcasting band), issues of compatibility between mobile service and broadcasting, and the adoption of technical criteria for the shared use of </w:t>
      </w:r>
      <w:r w:rsidR="00434EC5" w:rsidRPr="00434EC5">
        <w:rPr>
          <w:lang w:val="en-GB"/>
        </w:rPr>
        <w:t xml:space="preserve">the band by </w:t>
      </w:r>
      <w:r>
        <w:rPr>
          <w:lang w:val="en-GB"/>
        </w:rPr>
        <w:t xml:space="preserve">IMT and ARNS. </w:t>
      </w:r>
    </w:p>
    <w:p w14:paraId="4BDF2728" w14:textId="0321AC2F" w:rsidR="00C55DAF" w:rsidRDefault="000E5055" w:rsidP="000E5055">
      <w:pPr>
        <w:pStyle w:val="Behzottbekezdsnmhh"/>
      </w:pPr>
      <w:r>
        <w:rPr>
          <w:lang w:val="en-GB"/>
        </w:rPr>
        <w:t xml:space="preserve">Regarding </w:t>
      </w:r>
      <w:r w:rsidR="00434EC5">
        <w:rPr>
          <w:lang w:val="en-GB"/>
        </w:rPr>
        <w:t xml:space="preserve">the protection of </w:t>
      </w:r>
      <w:r>
        <w:rPr>
          <w:lang w:val="en-GB"/>
        </w:rPr>
        <w:t xml:space="preserve">broadcasting, the WRC-15 concluded that there is no need for further regulatory requirements, and the GE06 agreement contains the necessary procedures for international coordination between IMT and broadcasting. </w:t>
      </w:r>
    </w:p>
    <w:p w14:paraId="4AEE00F9" w14:textId="3DD726B2" w:rsidR="008A5D41" w:rsidRDefault="00C55DAF" w:rsidP="00915776">
      <w:pPr>
        <w:pStyle w:val="Behzottbekezdsnmhh"/>
      </w:pPr>
      <w:r>
        <w:rPr>
          <w:lang w:val="en-GB"/>
        </w:rPr>
        <w:t xml:space="preserve">The ARNS systems in the countries listed in footnote 5.312 of the RR may significantly restrict the use of the 700 MHz frequency band for mobile services; therefore, bilateral coordination agreements had to be concluded between the countries concerned in order to allow the use of the 700 MHz frequency band for IMT in order to avoid problems arising from different radio spectrum use. Among the neighbouring countries, Ukraine operates ARNS </w:t>
      </w:r>
      <w:r w:rsidR="006D4D98">
        <w:rPr>
          <w:lang w:val="en-GB"/>
        </w:rPr>
        <w:t>equipment</w:t>
      </w:r>
      <w:r>
        <w:rPr>
          <w:lang w:val="en-GB"/>
        </w:rPr>
        <w:t xml:space="preserve">, so Hungary, like all the other countries concerned, had to conclude an agreement with Ukraine to </w:t>
      </w:r>
      <w:r w:rsidR="006D4D98">
        <w:rPr>
          <w:lang w:val="en-GB"/>
        </w:rPr>
        <w:t xml:space="preserve">ensure the </w:t>
      </w:r>
      <w:r>
        <w:rPr>
          <w:lang w:val="en-GB"/>
        </w:rPr>
        <w:t>protect</w:t>
      </w:r>
      <w:r w:rsidR="006D4D98">
        <w:rPr>
          <w:lang w:val="en-GB"/>
        </w:rPr>
        <w:t>ion of</w:t>
      </w:r>
      <w:r>
        <w:rPr>
          <w:lang w:val="en-GB"/>
        </w:rPr>
        <w:t xml:space="preserve"> ARNS. </w:t>
      </w:r>
    </w:p>
    <w:p w14:paraId="27A82953" w14:textId="135B1890" w:rsidR="00E24479" w:rsidRDefault="00782920" w:rsidP="001E50C0">
      <w:pPr>
        <w:pStyle w:val="Behzottbekezdsnmhh"/>
      </w:pPr>
      <w:r>
        <w:rPr>
          <w:lang w:val="en-GB"/>
        </w:rPr>
        <w:lastRenderedPageBreak/>
        <w:t>Pursuant to footnote RR 5.296, the 470</w:t>
      </w:r>
      <w:r>
        <w:rPr>
          <w:lang w:val="en-GB"/>
        </w:rPr>
        <w:sym w:font="Symbol" w:char="F02D"/>
      </w:r>
      <w:r>
        <w:rPr>
          <w:lang w:val="en-GB"/>
        </w:rPr>
        <w:t xml:space="preserve">698 MHz band has also been allocated, on a secondary basis, to the land mobile service in several countries for applications </w:t>
      </w:r>
      <w:r w:rsidR="001F3086">
        <w:rPr>
          <w:lang w:val="en-GB"/>
        </w:rPr>
        <w:t xml:space="preserve">ancillary to </w:t>
      </w:r>
      <w:r>
        <w:rPr>
          <w:lang w:val="en-GB"/>
        </w:rPr>
        <w:t>broadcasting and</w:t>
      </w:r>
      <w:r w:rsidR="001F3086">
        <w:rPr>
          <w:lang w:val="en-GB"/>
        </w:rPr>
        <w:t xml:space="preserve"> programme making</w:t>
      </w:r>
      <w:r>
        <w:rPr>
          <w:lang w:val="en-GB"/>
        </w:rPr>
        <w:t xml:space="preserve">. </w:t>
      </w:r>
    </w:p>
    <w:p w14:paraId="794618F6" w14:textId="48836AFD" w:rsidR="00EF48FA" w:rsidRDefault="00EF48FA" w:rsidP="00EF48FA">
      <w:pPr>
        <w:pStyle w:val="Behzottbekezdsnmhh"/>
      </w:pPr>
      <w:r>
        <w:rPr>
          <w:lang w:val="en-GB"/>
        </w:rPr>
        <w:t>In line with the mobile service allocation of the 694-790 MHz frequency band, the WRC-15 also amended footnote RR 5.296 on the secondary allocation of the 470-698 MHz band covering part of the 700 MHz band, which Hungary also joined at the conference:</w:t>
      </w:r>
    </w:p>
    <w:tbl>
      <w:tblPr>
        <w:tblStyle w:val="Rcsostblzat"/>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
        <w:gridCol w:w="8639"/>
      </w:tblGrid>
      <w:tr w:rsidR="001C65BD" w:rsidRPr="00D11323" w14:paraId="71918794" w14:textId="77777777" w:rsidTr="004A459F">
        <w:trPr>
          <w:cantSplit/>
          <w:trHeight w:val="57"/>
        </w:trPr>
        <w:tc>
          <w:tcPr>
            <w:tcW w:w="717" w:type="dxa"/>
          </w:tcPr>
          <w:p w14:paraId="11387DF8" w14:textId="77777777" w:rsidR="001C65BD" w:rsidRPr="00D11323" w:rsidRDefault="001C65BD" w:rsidP="004A459F">
            <w:pPr>
              <w:widowControl w:val="0"/>
              <w:spacing w:after="60"/>
              <w:rPr>
                <w:b/>
                <w:i/>
                <w:sz w:val="20"/>
                <w:szCs w:val="20"/>
              </w:rPr>
            </w:pPr>
            <w:r>
              <w:rPr>
                <w:b/>
                <w:bCs/>
                <w:i/>
                <w:iCs/>
                <w:sz w:val="20"/>
                <w:szCs w:val="20"/>
                <w:lang w:val="en-GB"/>
              </w:rPr>
              <w:t>5.296</w:t>
            </w:r>
          </w:p>
        </w:tc>
        <w:tc>
          <w:tcPr>
            <w:tcW w:w="8639" w:type="dxa"/>
          </w:tcPr>
          <w:p w14:paraId="3F455C73" w14:textId="77777777" w:rsidR="001C65BD" w:rsidRPr="00394C3C" w:rsidRDefault="001C65BD" w:rsidP="004A459F">
            <w:pPr>
              <w:keepLines/>
              <w:tabs>
                <w:tab w:val="left" w:pos="2065"/>
              </w:tabs>
              <w:spacing w:after="60"/>
              <w:ind w:right="34"/>
              <w:rPr>
                <w:i/>
                <w:sz w:val="20"/>
                <w:szCs w:val="20"/>
              </w:rPr>
            </w:pPr>
            <w:r>
              <w:rPr>
                <w:i/>
                <w:iCs/>
                <w:sz w:val="20"/>
                <w:szCs w:val="20"/>
                <w:lang w:val="en-GB"/>
              </w:rPr>
              <w:t>Additional allocation: in Albania, Germany, Angola, Saudi Arabia, Austria, Bahrain, Belgium, Benin, Bosnia and Herzegovina, Botswana, Bulgaria, Burkina Faso, Burundi, Cameroon, Vatican, Congo (Rep. of the), Côte d'Ivoire, Croatia, Denmark, Djibouti, Egypt, United Arab Emirates, Spain, Estonia, Finland, France, Gabon, Georgia, Ghana, Hungary, Iraq, Ireland, Iceland, Israel, Italy, Jordan, Kenya, Kuwait, Lesotho, Latvia, The Former Yugoslav Republic of Macedonia, Lebanon, Libya, Liechtenstein, Lithuania, Luxembourg, Malawi, Mali, Malta, Morocco, Mauritius, Mauritania, Moldova, Monaco, Mozambique, Namibia, Niger, Nigeria, Norway, Oman, Uganda, the Netherlands, Poland, Portugal, Qatar, the Syrian Arab Republic, Slovakia, the Czech Republic, the United Kingdom, Rwanda, San Marino, Serbia, Sudan, South Africa, Sweden, Switzerland, Swaziland, Tanzania, Chad, Togo, Tunisia, Turkey, Ukraine, Zambia and Zimbabwe, the frequency band 470-694 MHz is also allocated on a secondary basis to the land mobile service, intended for applications ancillary to broadcasting and programme-making.</w:t>
            </w:r>
            <w:r>
              <w:rPr>
                <w:sz w:val="20"/>
                <w:szCs w:val="20"/>
                <w:lang w:val="en-GB"/>
              </w:rPr>
              <w:sym w:font="Symbol" w:char="F02D"/>
            </w:r>
            <w:r>
              <w:rPr>
                <w:i/>
                <w:iCs/>
                <w:sz w:val="20"/>
                <w:szCs w:val="20"/>
                <w:lang w:val="en-GB"/>
              </w:rPr>
              <w:t xml:space="preserve"> Stations of the land mobile service in the countries listed in this footnote shall not cause harmful interference to existing or planned stations operating in accordance with the Table in countries other than those listed in this footnote. (WRC-15)</w:t>
            </w:r>
          </w:p>
          <w:p w14:paraId="62F87AF2" w14:textId="77777777" w:rsidR="00394C3C" w:rsidRPr="003C1265" w:rsidRDefault="00394C3C" w:rsidP="004A459F">
            <w:pPr>
              <w:keepLines/>
              <w:tabs>
                <w:tab w:val="left" w:pos="2065"/>
              </w:tabs>
              <w:spacing w:after="60"/>
              <w:ind w:right="34"/>
              <w:rPr>
                <w:i/>
                <w:sz w:val="20"/>
                <w:szCs w:val="20"/>
              </w:rPr>
            </w:pPr>
          </w:p>
        </w:tc>
      </w:tr>
    </w:tbl>
    <w:p w14:paraId="0963C09E" w14:textId="67ABF976" w:rsidR="002565DC" w:rsidRDefault="002565DC" w:rsidP="00394C3C">
      <w:pPr>
        <w:pStyle w:val="Behzottbekezdsnmhh"/>
      </w:pPr>
      <w:bookmarkStart w:id="10" w:name="_Toc473880718"/>
      <w:r>
        <w:rPr>
          <w:lang w:val="en-GB"/>
        </w:rPr>
        <w:t xml:space="preserve">Pursuant to RR </w:t>
      </w:r>
      <w:r w:rsidR="00E43F18">
        <w:rPr>
          <w:lang w:val="en-GB"/>
        </w:rPr>
        <w:t xml:space="preserve">Resolution </w:t>
      </w:r>
      <w:r>
        <w:rPr>
          <w:lang w:val="en-GB"/>
        </w:rPr>
        <w:t>646</w:t>
      </w:r>
      <w:r>
        <w:rPr>
          <w:rStyle w:val="Lbjegyzet-hivatkozs"/>
          <w:lang w:val="en-GB"/>
        </w:rPr>
        <w:footnoteReference w:id="28"/>
      </w:r>
      <w:r>
        <w:rPr>
          <w:lang w:val="en-GB"/>
        </w:rPr>
        <w:t xml:space="preserve">, it is possible to use </w:t>
      </w:r>
      <w:r w:rsidR="00E43F18">
        <w:rPr>
          <w:lang w:val="en-GB"/>
        </w:rPr>
        <w:t xml:space="preserve">certain </w:t>
      </w:r>
      <w:r>
        <w:rPr>
          <w:lang w:val="en-GB"/>
        </w:rPr>
        <w:t>parts of the 694-790 MHz frequency band in ITU Region 1 for public protection and disaster relief (PPDR</w:t>
      </w:r>
      <w:r>
        <w:rPr>
          <w:rStyle w:val="Lbjegyzet-hivatkozs"/>
          <w:lang w:val="en-GB"/>
        </w:rPr>
        <w:footnoteReference w:id="29"/>
      </w:r>
      <w:r>
        <w:rPr>
          <w:lang w:val="en-GB"/>
        </w:rPr>
        <w:t>) systems. The frequency bands</w:t>
      </w:r>
      <w:r w:rsidR="007B7D88">
        <w:rPr>
          <w:lang w:val="en-GB"/>
        </w:rPr>
        <w:t xml:space="preserve"> identified for PPDR</w:t>
      </w:r>
      <w:r>
        <w:rPr>
          <w:lang w:val="en-GB"/>
        </w:rPr>
        <w:t>, band and channel arrangements and channel numbers are included in ITU-R Recommendation M.2015-2</w:t>
      </w:r>
      <w:r>
        <w:rPr>
          <w:rStyle w:val="Lbjegyzet-hivatkozs"/>
          <w:lang w:val="en-GB"/>
        </w:rPr>
        <w:footnoteReference w:id="30"/>
      </w:r>
      <w:r>
        <w:rPr>
          <w:lang w:val="en-GB"/>
        </w:rPr>
        <w:t>. The possible arrangements are shown in Tables 3.1.1.a and 3.1.1.b.</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1789"/>
        <w:gridCol w:w="1515"/>
        <w:gridCol w:w="1379"/>
        <w:gridCol w:w="1515"/>
        <w:gridCol w:w="1652"/>
      </w:tblGrid>
      <w:tr w:rsidR="00A538A6" w:rsidRPr="001F7268" w14:paraId="1B6F6FB7" w14:textId="77777777" w:rsidTr="00A538A6">
        <w:trPr>
          <w:jc w:val="center"/>
        </w:trPr>
        <w:tc>
          <w:tcPr>
            <w:tcW w:w="1504" w:type="dxa"/>
            <w:vMerge w:val="restart"/>
            <w:vAlign w:val="center"/>
          </w:tcPr>
          <w:p w14:paraId="2C28FD60" w14:textId="77777777" w:rsidR="00A538A6" w:rsidRPr="00A138B7" w:rsidRDefault="00A538A6" w:rsidP="00A538A6">
            <w:pPr>
              <w:pStyle w:val="Tablehead"/>
              <w:rPr>
                <w:rFonts w:asciiTheme="majorHAnsi" w:hAnsiTheme="majorHAnsi" w:cstheme="majorHAnsi"/>
                <w:sz w:val="16"/>
                <w:szCs w:val="16"/>
              </w:rPr>
            </w:pPr>
            <w:r>
              <w:rPr>
                <w:rFonts w:asciiTheme="majorHAnsi" w:hAnsiTheme="majorHAnsi" w:cstheme="majorHAnsi"/>
                <w:bCs/>
                <w:sz w:val="16"/>
                <w:szCs w:val="16"/>
                <w:lang w:val="en-GB"/>
              </w:rPr>
              <w:t>Frequency arrangement</w:t>
            </w:r>
          </w:p>
        </w:tc>
        <w:tc>
          <w:tcPr>
            <w:tcW w:w="6198" w:type="dxa"/>
            <w:gridSpan w:val="4"/>
            <w:vAlign w:val="center"/>
          </w:tcPr>
          <w:p w14:paraId="3B8D06C5" w14:textId="77777777" w:rsidR="00A538A6" w:rsidRPr="00A138B7" w:rsidRDefault="00A538A6" w:rsidP="00A538A6">
            <w:pPr>
              <w:pStyle w:val="Tablehead"/>
              <w:rPr>
                <w:rFonts w:asciiTheme="majorHAnsi" w:hAnsiTheme="majorHAnsi" w:cstheme="majorHAnsi"/>
                <w:bCs/>
                <w:sz w:val="16"/>
                <w:szCs w:val="16"/>
              </w:rPr>
            </w:pPr>
            <w:r>
              <w:rPr>
                <w:rFonts w:asciiTheme="majorHAnsi" w:hAnsiTheme="majorHAnsi" w:cstheme="majorHAnsi"/>
                <w:bCs/>
                <w:sz w:val="16"/>
                <w:szCs w:val="16"/>
                <w:lang w:val="en-GB"/>
              </w:rPr>
              <w:t>Paired arrangement</w:t>
            </w:r>
          </w:p>
        </w:tc>
        <w:tc>
          <w:tcPr>
            <w:tcW w:w="1652" w:type="dxa"/>
            <w:vMerge w:val="restart"/>
            <w:vAlign w:val="center"/>
          </w:tcPr>
          <w:p w14:paraId="2C498491" w14:textId="3B029A74" w:rsidR="00A538A6" w:rsidRPr="00A138B7" w:rsidRDefault="00991707" w:rsidP="00A538A6">
            <w:pPr>
              <w:pStyle w:val="Tablehead"/>
              <w:rPr>
                <w:rFonts w:asciiTheme="majorHAnsi" w:hAnsiTheme="majorHAnsi" w:cstheme="majorHAnsi"/>
                <w:sz w:val="16"/>
                <w:szCs w:val="16"/>
              </w:rPr>
            </w:pPr>
            <w:r>
              <w:rPr>
                <w:rFonts w:asciiTheme="majorHAnsi" w:hAnsiTheme="majorHAnsi" w:cstheme="majorHAnsi"/>
                <w:bCs/>
                <w:sz w:val="16"/>
                <w:szCs w:val="16"/>
                <w:lang w:val="en-GB"/>
              </w:rPr>
              <w:t>ECC Decisions containing technical conditions</w:t>
            </w:r>
          </w:p>
        </w:tc>
      </w:tr>
      <w:tr w:rsidR="00A538A6" w:rsidRPr="001F7268" w14:paraId="5DF286AF" w14:textId="77777777" w:rsidTr="00A538A6">
        <w:trPr>
          <w:jc w:val="center"/>
        </w:trPr>
        <w:tc>
          <w:tcPr>
            <w:tcW w:w="1504" w:type="dxa"/>
            <w:vMerge/>
            <w:vAlign w:val="center"/>
          </w:tcPr>
          <w:p w14:paraId="1D1D8C6F" w14:textId="77777777" w:rsidR="00A538A6" w:rsidRPr="00D11323" w:rsidRDefault="00A538A6" w:rsidP="00A538A6">
            <w:pPr>
              <w:pStyle w:val="Tablehead"/>
              <w:rPr>
                <w:rFonts w:asciiTheme="majorHAnsi" w:hAnsiTheme="majorHAnsi" w:cstheme="majorHAnsi"/>
                <w:sz w:val="16"/>
                <w:szCs w:val="16"/>
              </w:rPr>
            </w:pPr>
          </w:p>
        </w:tc>
        <w:tc>
          <w:tcPr>
            <w:tcW w:w="1789" w:type="dxa"/>
            <w:vAlign w:val="center"/>
          </w:tcPr>
          <w:p w14:paraId="11A146B5" w14:textId="77777777" w:rsidR="00A538A6" w:rsidRPr="00D11323" w:rsidRDefault="00A538A6" w:rsidP="00A538A6">
            <w:pPr>
              <w:pStyle w:val="Tablehead"/>
              <w:rPr>
                <w:rFonts w:asciiTheme="majorHAnsi" w:hAnsiTheme="majorHAnsi" w:cstheme="majorHAnsi"/>
                <w:sz w:val="16"/>
                <w:szCs w:val="16"/>
              </w:rPr>
            </w:pPr>
            <w:r>
              <w:rPr>
                <w:rFonts w:asciiTheme="majorHAnsi" w:hAnsiTheme="majorHAnsi" w:cstheme="majorHAnsi"/>
                <w:bCs/>
                <w:sz w:val="16"/>
                <w:szCs w:val="16"/>
                <w:lang w:val="en-GB"/>
              </w:rPr>
              <w:t xml:space="preserve">Mobile station </w:t>
            </w:r>
            <w:r>
              <w:rPr>
                <w:rFonts w:asciiTheme="majorHAnsi" w:hAnsiTheme="majorHAnsi" w:cstheme="majorHAnsi"/>
                <w:b w:val="0"/>
                <w:sz w:val="16"/>
                <w:szCs w:val="16"/>
                <w:lang w:val="en-GB"/>
              </w:rPr>
              <w:br/>
            </w:r>
            <w:r>
              <w:rPr>
                <w:rFonts w:asciiTheme="majorHAnsi" w:hAnsiTheme="majorHAnsi" w:cstheme="majorHAnsi"/>
                <w:bCs/>
                <w:sz w:val="16"/>
                <w:szCs w:val="16"/>
                <w:lang w:val="en-GB"/>
              </w:rPr>
              <w:t>transmitter</w:t>
            </w:r>
            <w:r>
              <w:rPr>
                <w:rFonts w:asciiTheme="majorHAnsi" w:hAnsiTheme="majorHAnsi" w:cstheme="majorHAnsi"/>
                <w:b w:val="0"/>
                <w:sz w:val="16"/>
                <w:szCs w:val="16"/>
                <w:lang w:val="en-GB"/>
              </w:rPr>
              <w:br/>
            </w:r>
            <w:r>
              <w:rPr>
                <w:rFonts w:asciiTheme="majorHAnsi" w:hAnsiTheme="majorHAnsi" w:cstheme="majorHAnsi"/>
                <w:bCs/>
                <w:sz w:val="16"/>
                <w:szCs w:val="16"/>
                <w:lang w:val="en-GB"/>
              </w:rPr>
              <w:t>(MHz)</w:t>
            </w:r>
          </w:p>
        </w:tc>
        <w:tc>
          <w:tcPr>
            <w:tcW w:w="1515" w:type="dxa"/>
            <w:vAlign w:val="center"/>
          </w:tcPr>
          <w:p w14:paraId="7322530F" w14:textId="77777777" w:rsidR="00A538A6" w:rsidRPr="00D11323" w:rsidRDefault="00A538A6" w:rsidP="00A538A6">
            <w:pPr>
              <w:pStyle w:val="Tablehead"/>
              <w:rPr>
                <w:rFonts w:asciiTheme="majorHAnsi" w:hAnsiTheme="majorHAnsi" w:cstheme="majorHAnsi"/>
                <w:sz w:val="16"/>
                <w:szCs w:val="16"/>
              </w:rPr>
            </w:pPr>
            <w:r>
              <w:rPr>
                <w:rFonts w:asciiTheme="majorHAnsi" w:hAnsiTheme="majorHAnsi" w:cstheme="majorHAnsi"/>
                <w:bCs/>
                <w:sz w:val="16"/>
                <w:szCs w:val="16"/>
                <w:lang w:val="en-GB"/>
              </w:rPr>
              <w:t>Duplex gap</w:t>
            </w:r>
            <w:r>
              <w:rPr>
                <w:rFonts w:asciiTheme="majorHAnsi" w:hAnsiTheme="majorHAnsi" w:cstheme="majorHAnsi"/>
                <w:b w:val="0"/>
                <w:sz w:val="16"/>
                <w:szCs w:val="16"/>
                <w:lang w:val="en-GB"/>
              </w:rPr>
              <w:br/>
            </w:r>
            <w:r>
              <w:rPr>
                <w:rFonts w:asciiTheme="majorHAnsi" w:hAnsiTheme="majorHAnsi" w:cstheme="majorHAnsi"/>
                <w:bCs/>
                <w:sz w:val="16"/>
                <w:szCs w:val="16"/>
                <w:lang w:val="en-GB"/>
              </w:rPr>
              <w:t>(MHz)</w:t>
            </w:r>
          </w:p>
        </w:tc>
        <w:tc>
          <w:tcPr>
            <w:tcW w:w="1379" w:type="dxa"/>
            <w:vAlign w:val="center"/>
          </w:tcPr>
          <w:p w14:paraId="06D96754" w14:textId="77777777" w:rsidR="00A538A6" w:rsidRPr="00D11323" w:rsidRDefault="00A538A6" w:rsidP="00A538A6">
            <w:pPr>
              <w:pStyle w:val="Tablehead"/>
              <w:rPr>
                <w:rFonts w:asciiTheme="majorHAnsi" w:hAnsiTheme="majorHAnsi" w:cstheme="majorHAnsi"/>
                <w:sz w:val="16"/>
                <w:szCs w:val="16"/>
              </w:rPr>
            </w:pPr>
            <w:r>
              <w:rPr>
                <w:rFonts w:asciiTheme="majorHAnsi" w:hAnsiTheme="majorHAnsi" w:cstheme="majorHAnsi"/>
                <w:bCs/>
                <w:sz w:val="16"/>
                <w:szCs w:val="16"/>
                <w:lang w:val="en-GB"/>
              </w:rPr>
              <w:t>Base station transmitter</w:t>
            </w:r>
            <w:r>
              <w:rPr>
                <w:rFonts w:asciiTheme="majorHAnsi" w:hAnsiTheme="majorHAnsi" w:cstheme="majorHAnsi"/>
                <w:b w:val="0"/>
                <w:sz w:val="16"/>
                <w:szCs w:val="16"/>
                <w:lang w:val="en-GB"/>
              </w:rPr>
              <w:br/>
            </w:r>
            <w:r>
              <w:rPr>
                <w:rFonts w:asciiTheme="majorHAnsi" w:hAnsiTheme="majorHAnsi" w:cstheme="majorHAnsi"/>
                <w:bCs/>
                <w:sz w:val="16"/>
                <w:szCs w:val="16"/>
                <w:lang w:val="en-GB"/>
              </w:rPr>
              <w:t>(MHz)</w:t>
            </w:r>
          </w:p>
        </w:tc>
        <w:tc>
          <w:tcPr>
            <w:tcW w:w="1515" w:type="dxa"/>
            <w:vAlign w:val="center"/>
          </w:tcPr>
          <w:p w14:paraId="5D5DC52D" w14:textId="77777777" w:rsidR="00A538A6" w:rsidRPr="00D11323" w:rsidRDefault="00A538A6" w:rsidP="00A538A6">
            <w:pPr>
              <w:pStyle w:val="Tablehead"/>
              <w:rPr>
                <w:rFonts w:asciiTheme="majorHAnsi" w:hAnsiTheme="majorHAnsi" w:cstheme="majorHAnsi"/>
                <w:sz w:val="16"/>
                <w:szCs w:val="16"/>
              </w:rPr>
            </w:pPr>
            <w:r>
              <w:rPr>
                <w:rFonts w:asciiTheme="majorHAnsi" w:hAnsiTheme="majorHAnsi" w:cstheme="majorHAnsi"/>
                <w:bCs/>
                <w:sz w:val="16"/>
                <w:szCs w:val="16"/>
                <w:lang w:val="en-GB"/>
              </w:rPr>
              <w:t>Duplex spacing</w:t>
            </w:r>
            <w:r>
              <w:rPr>
                <w:rFonts w:asciiTheme="majorHAnsi" w:hAnsiTheme="majorHAnsi" w:cstheme="majorHAnsi"/>
                <w:b w:val="0"/>
                <w:sz w:val="16"/>
                <w:szCs w:val="16"/>
                <w:lang w:val="en-GB"/>
              </w:rPr>
              <w:br/>
            </w:r>
            <w:r>
              <w:rPr>
                <w:rFonts w:asciiTheme="majorHAnsi" w:hAnsiTheme="majorHAnsi" w:cstheme="majorHAnsi"/>
                <w:bCs/>
                <w:sz w:val="16"/>
                <w:szCs w:val="16"/>
                <w:lang w:val="en-GB"/>
              </w:rPr>
              <w:t>(MHz)</w:t>
            </w:r>
          </w:p>
        </w:tc>
        <w:tc>
          <w:tcPr>
            <w:tcW w:w="1652" w:type="dxa"/>
            <w:vMerge/>
            <w:vAlign w:val="center"/>
          </w:tcPr>
          <w:p w14:paraId="71622A02" w14:textId="77777777" w:rsidR="00A538A6" w:rsidRPr="00D11323" w:rsidRDefault="00A538A6" w:rsidP="00A538A6">
            <w:pPr>
              <w:pStyle w:val="Tablehead"/>
              <w:rPr>
                <w:rFonts w:asciiTheme="majorHAnsi" w:hAnsiTheme="majorHAnsi" w:cstheme="majorHAnsi"/>
                <w:sz w:val="16"/>
                <w:szCs w:val="16"/>
              </w:rPr>
            </w:pPr>
          </w:p>
        </w:tc>
      </w:tr>
      <w:tr w:rsidR="00A538A6" w:rsidRPr="001F7268" w14:paraId="3849CB8B" w14:textId="77777777" w:rsidTr="00723F7F">
        <w:trPr>
          <w:jc w:val="center"/>
        </w:trPr>
        <w:tc>
          <w:tcPr>
            <w:tcW w:w="1504" w:type="dxa"/>
            <w:vAlign w:val="center"/>
          </w:tcPr>
          <w:p w14:paraId="3C25E06F" w14:textId="3DAD07F5" w:rsidR="00A538A6" w:rsidRPr="00A138B7" w:rsidRDefault="00A538A6" w:rsidP="00991707">
            <w:pPr>
              <w:pStyle w:val="Tabletext"/>
              <w:jc w:val="center"/>
              <w:rPr>
                <w:rFonts w:asciiTheme="majorHAnsi" w:hAnsiTheme="majorHAnsi" w:cstheme="majorHAnsi"/>
                <w:sz w:val="16"/>
                <w:szCs w:val="16"/>
              </w:rPr>
            </w:pPr>
            <w:r>
              <w:rPr>
                <w:rFonts w:asciiTheme="majorHAnsi" w:hAnsiTheme="majorHAnsi" w:cstheme="majorHAnsi"/>
                <w:sz w:val="16"/>
                <w:szCs w:val="16"/>
                <w:lang w:val="en-GB"/>
              </w:rPr>
              <w:t>a)</w:t>
            </w:r>
          </w:p>
        </w:tc>
        <w:tc>
          <w:tcPr>
            <w:tcW w:w="1789" w:type="dxa"/>
            <w:vAlign w:val="center"/>
          </w:tcPr>
          <w:p w14:paraId="141FDBA4" w14:textId="536C928A" w:rsidR="00A538A6" w:rsidRPr="00A138B7" w:rsidRDefault="00A538A6" w:rsidP="00991707">
            <w:pPr>
              <w:pStyle w:val="Tabletext"/>
              <w:jc w:val="center"/>
              <w:rPr>
                <w:rFonts w:asciiTheme="majorHAnsi" w:hAnsiTheme="majorHAnsi" w:cstheme="majorHAnsi"/>
                <w:sz w:val="16"/>
                <w:szCs w:val="16"/>
              </w:rPr>
            </w:pPr>
            <w:r>
              <w:rPr>
                <w:rFonts w:asciiTheme="majorHAnsi" w:hAnsiTheme="majorHAnsi" w:cstheme="majorHAnsi"/>
                <w:sz w:val="16"/>
                <w:szCs w:val="16"/>
                <w:lang w:val="en-GB"/>
              </w:rPr>
              <w:t>698-703</w:t>
            </w:r>
          </w:p>
        </w:tc>
        <w:tc>
          <w:tcPr>
            <w:tcW w:w="1515" w:type="dxa"/>
            <w:vAlign w:val="center"/>
          </w:tcPr>
          <w:p w14:paraId="2539E9D6" w14:textId="32E3F476" w:rsidR="00A538A6" w:rsidRPr="00A138B7" w:rsidRDefault="00A538A6" w:rsidP="00991707">
            <w:pPr>
              <w:pStyle w:val="Tabletext"/>
              <w:jc w:val="center"/>
              <w:rPr>
                <w:rFonts w:asciiTheme="majorHAnsi" w:hAnsiTheme="majorHAnsi" w:cstheme="majorHAnsi"/>
                <w:sz w:val="16"/>
                <w:szCs w:val="16"/>
              </w:rPr>
            </w:pPr>
            <w:r>
              <w:rPr>
                <w:rFonts w:asciiTheme="majorHAnsi" w:hAnsiTheme="majorHAnsi" w:cstheme="majorHAnsi"/>
                <w:sz w:val="16"/>
                <w:szCs w:val="16"/>
                <w:lang w:val="en-GB"/>
              </w:rPr>
              <w:t>50</w:t>
            </w:r>
          </w:p>
        </w:tc>
        <w:tc>
          <w:tcPr>
            <w:tcW w:w="1379" w:type="dxa"/>
            <w:vAlign w:val="center"/>
          </w:tcPr>
          <w:p w14:paraId="39CC869E" w14:textId="10D8CA2D" w:rsidR="00A538A6" w:rsidRPr="00A138B7" w:rsidRDefault="00A538A6">
            <w:pPr>
              <w:pStyle w:val="Tabletext"/>
              <w:jc w:val="center"/>
              <w:rPr>
                <w:rFonts w:asciiTheme="majorHAnsi" w:hAnsiTheme="majorHAnsi" w:cstheme="majorHAnsi"/>
                <w:sz w:val="16"/>
                <w:szCs w:val="16"/>
              </w:rPr>
            </w:pPr>
            <w:r>
              <w:rPr>
                <w:rFonts w:asciiTheme="majorHAnsi" w:hAnsiTheme="majorHAnsi" w:cstheme="majorHAnsi"/>
                <w:sz w:val="16"/>
                <w:szCs w:val="16"/>
                <w:lang w:val="en-GB"/>
              </w:rPr>
              <w:t>753-758</w:t>
            </w:r>
          </w:p>
        </w:tc>
        <w:tc>
          <w:tcPr>
            <w:tcW w:w="1515" w:type="dxa"/>
            <w:vAlign w:val="center"/>
          </w:tcPr>
          <w:p w14:paraId="76552700" w14:textId="5A65F655" w:rsidR="00A538A6" w:rsidRPr="00A138B7" w:rsidRDefault="00A538A6">
            <w:pPr>
              <w:pStyle w:val="Tabletext"/>
              <w:jc w:val="center"/>
              <w:rPr>
                <w:rFonts w:asciiTheme="majorHAnsi" w:hAnsiTheme="majorHAnsi" w:cstheme="majorHAnsi"/>
                <w:sz w:val="16"/>
                <w:szCs w:val="16"/>
              </w:rPr>
            </w:pPr>
            <w:r>
              <w:rPr>
                <w:rFonts w:asciiTheme="majorHAnsi" w:hAnsiTheme="majorHAnsi" w:cstheme="majorHAnsi"/>
                <w:sz w:val="16"/>
                <w:szCs w:val="16"/>
                <w:lang w:val="en-GB"/>
              </w:rPr>
              <w:t>55</w:t>
            </w:r>
          </w:p>
        </w:tc>
        <w:tc>
          <w:tcPr>
            <w:tcW w:w="1652" w:type="dxa"/>
            <w:vAlign w:val="center"/>
          </w:tcPr>
          <w:p w14:paraId="3BC60F68" w14:textId="4B8E19E1" w:rsidR="00A538A6" w:rsidRPr="00A138B7" w:rsidRDefault="00991707">
            <w:pPr>
              <w:pStyle w:val="Tabletext"/>
              <w:jc w:val="center"/>
              <w:rPr>
                <w:rFonts w:asciiTheme="majorHAnsi" w:hAnsiTheme="majorHAnsi" w:cstheme="majorHAnsi"/>
                <w:sz w:val="16"/>
                <w:szCs w:val="16"/>
              </w:rPr>
            </w:pPr>
            <w:r>
              <w:rPr>
                <w:rFonts w:asciiTheme="majorHAnsi" w:hAnsiTheme="majorHAnsi" w:cstheme="majorHAnsi"/>
                <w:sz w:val="16"/>
                <w:szCs w:val="16"/>
                <w:lang w:val="en-GB"/>
              </w:rPr>
              <w:t>Annex 1 of ECC/DEC/(16)02</w:t>
            </w:r>
          </w:p>
        </w:tc>
      </w:tr>
      <w:tr w:rsidR="00A538A6" w:rsidRPr="001F7268" w14:paraId="0DA3CB2B" w14:textId="77777777" w:rsidTr="00723F7F">
        <w:trPr>
          <w:jc w:val="center"/>
        </w:trPr>
        <w:tc>
          <w:tcPr>
            <w:tcW w:w="1504" w:type="dxa"/>
            <w:vAlign w:val="center"/>
          </w:tcPr>
          <w:p w14:paraId="02126745" w14:textId="5882AC66" w:rsidR="00A538A6" w:rsidRDefault="00A538A6" w:rsidP="00991707">
            <w:pPr>
              <w:pStyle w:val="Tabletext"/>
              <w:jc w:val="center"/>
              <w:rPr>
                <w:rFonts w:asciiTheme="majorHAnsi" w:hAnsiTheme="majorHAnsi" w:cstheme="majorHAnsi"/>
                <w:sz w:val="16"/>
                <w:szCs w:val="16"/>
              </w:rPr>
            </w:pPr>
            <w:r>
              <w:rPr>
                <w:rFonts w:asciiTheme="majorHAnsi" w:hAnsiTheme="majorHAnsi" w:cstheme="majorHAnsi"/>
                <w:sz w:val="16"/>
                <w:szCs w:val="16"/>
                <w:lang w:val="en-GB"/>
              </w:rPr>
              <w:t>b)</w:t>
            </w:r>
          </w:p>
        </w:tc>
        <w:tc>
          <w:tcPr>
            <w:tcW w:w="1789" w:type="dxa"/>
            <w:vAlign w:val="center"/>
          </w:tcPr>
          <w:p w14:paraId="17107864" w14:textId="058B050D" w:rsidR="00A538A6" w:rsidRPr="00A138B7" w:rsidRDefault="00A538A6" w:rsidP="00991707">
            <w:pPr>
              <w:pStyle w:val="Tabletext"/>
              <w:jc w:val="center"/>
              <w:rPr>
                <w:rFonts w:asciiTheme="majorHAnsi" w:hAnsiTheme="majorHAnsi" w:cstheme="majorHAnsi"/>
                <w:sz w:val="16"/>
                <w:szCs w:val="16"/>
              </w:rPr>
            </w:pPr>
            <w:r>
              <w:rPr>
                <w:rFonts w:asciiTheme="majorHAnsi" w:hAnsiTheme="majorHAnsi" w:cstheme="majorHAnsi"/>
                <w:sz w:val="16"/>
                <w:szCs w:val="16"/>
                <w:lang w:val="en-GB"/>
              </w:rPr>
              <w:t>703-733</w:t>
            </w:r>
          </w:p>
        </w:tc>
        <w:tc>
          <w:tcPr>
            <w:tcW w:w="1515" w:type="dxa"/>
            <w:vAlign w:val="center"/>
          </w:tcPr>
          <w:p w14:paraId="6DE76241" w14:textId="74850157" w:rsidR="00A538A6" w:rsidRPr="00A138B7" w:rsidRDefault="00A538A6" w:rsidP="00991707">
            <w:pPr>
              <w:pStyle w:val="Tabletext"/>
              <w:jc w:val="center"/>
              <w:rPr>
                <w:rFonts w:asciiTheme="majorHAnsi" w:hAnsiTheme="majorHAnsi" w:cstheme="majorHAnsi"/>
                <w:sz w:val="16"/>
                <w:szCs w:val="16"/>
              </w:rPr>
            </w:pPr>
            <w:r>
              <w:rPr>
                <w:rFonts w:asciiTheme="majorHAnsi" w:hAnsiTheme="majorHAnsi" w:cstheme="majorHAnsi"/>
                <w:sz w:val="16"/>
                <w:szCs w:val="16"/>
                <w:lang w:val="en-GB"/>
              </w:rPr>
              <w:t>25</w:t>
            </w:r>
          </w:p>
        </w:tc>
        <w:tc>
          <w:tcPr>
            <w:tcW w:w="1379" w:type="dxa"/>
            <w:vAlign w:val="center"/>
          </w:tcPr>
          <w:p w14:paraId="60B144DB" w14:textId="54F4B719" w:rsidR="00A538A6" w:rsidRPr="00A138B7" w:rsidRDefault="00A538A6">
            <w:pPr>
              <w:pStyle w:val="Tabletext"/>
              <w:jc w:val="center"/>
              <w:rPr>
                <w:rFonts w:asciiTheme="majorHAnsi" w:hAnsiTheme="majorHAnsi" w:cstheme="majorHAnsi"/>
                <w:sz w:val="16"/>
                <w:szCs w:val="16"/>
              </w:rPr>
            </w:pPr>
            <w:r>
              <w:rPr>
                <w:rFonts w:asciiTheme="majorHAnsi" w:hAnsiTheme="majorHAnsi" w:cstheme="majorHAnsi"/>
                <w:sz w:val="16"/>
                <w:szCs w:val="16"/>
                <w:lang w:val="en-GB"/>
              </w:rPr>
              <w:t>758-788</w:t>
            </w:r>
          </w:p>
        </w:tc>
        <w:tc>
          <w:tcPr>
            <w:tcW w:w="1515" w:type="dxa"/>
            <w:vAlign w:val="center"/>
          </w:tcPr>
          <w:p w14:paraId="0BAB7F78" w14:textId="46CD5E0E" w:rsidR="00A538A6" w:rsidRPr="00A138B7" w:rsidRDefault="00A538A6">
            <w:pPr>
              <w:pStyle w:val="Tabletext"/>
              <w:jc w:val="center"/>
              <w:rPr>
                <w:rFonts w:asciiTheme="majorHAnsi" w:hAnsiTheme="majorHAnsi" w:cstheme="majorHAnsi"/>
                <w:sz w:val="16"/>
                <w:szCs w:val="16"/>
              </w:rPr>
            </w:pPr>
            <w:r>
              <w:rPr>
                <w:rFonts w:asciiTheme="majorHAnsi" w:hAnsiTheme="majorHAnsi" w:cstheme="majorHAnsi"/>
                <w:sz w:val="16"/>
                <w:szCs w:val="16"/>
                <w:lang w:val="en-GB"/>
              </w:rPr>
              <w:t>55</w:t>
            </w:r>
          </w:p>
        </w:tc>
        <w:tc>
          <w:tcPr>
            <w:tcW w:w="1652" w:type="dxa"/>
            <w:vAlign w:val="center"/>
          </w:tcPr>
          <w:p w14:paraId="4D45E660" w14:textId="4478AF2C" w:rsidR="00A538A6" w:rsidRDefault="00991707">
            <w:pPr>
              <w:pStyle w:val="Tabletext"/>
              <w:jc w:val="center"/>
              <w:rPr>
                <w:rFonts w:asciiTheme="majorHAnsi" w:hAnsiTheme="majorHAnsi" w:cstheme="majorHAnsi"/>
                <w:sz w:val="16"/>
                <w:szCs w:val="16"/>
              </w:rPr>
            </w:pPr>
            <w:r>
              <w:rPr>
                <w:rFonts w:asciiTheme="majorHAnsi" w:hAnsiTheme="majorHAnsi" w:cstheme="majorHAnsi"/>
                <w:sz w:val="16"/>
                <w:szCs w:val="16"/>
                <w:lang w:val="en-GB"/>
              </w:rPr>
              <w:t>ECC/DEC/(15)01</w:t>
            </w:r>
          </w:p>
        </w:tc>
      </w:tr>
      <w:tr w:rsidR="00A538A6" w:rsidRPr="001F7268" w14:paraId="70CC54F4" w14:textId="77777777" w:rsidTr="00723F7F">
        <w:trPr>
          <w:jc w:val="center"/>
        </w:trPr>
        <w:tc>
          <w:tcPr>
            <w:tcW w:w="1504" w:type="dxa"/>
            <w:vAlign w:val="center"/>
          </w:tcPr>
          <w:p w14:paraId="5FB5DF60" w14:textId="418A7BC5" w:rsidR="00A538A6" w:rsidRDefault="00A538A6" w:rsidP="00991707">
            <w:pPr>
              <w:pStyle w:val="Tabletext"/>
              <w:jc w:val="center"/>
              <w:rPr>
                <w:rFonts w:asciiTheme="majorHAnsi" w:hAnsiTheme="majorHAnsi" w:cstheme="majorHAnsi"/>
                <w:sz w:val="16"/>
                <w:szCs w:val="16"/>
              </w:rPr>
            </w:pPr>
            <w:r>
              <w:rPr>
                <w:rFonts w:asciiTheme="majorHAnsi" w:hAnsiTheme="majorHAnsi" w:cstheme="majorHAnsi"/>
                <w:sz w:val="16"/>
                <w:szCs w:val="16"/>
                <w:lang w:val="en-GB"/>
              </w:rPr>
              <w:t>c)</w:t>
            </w:r>
          </w:p>
        </w:tc>
        <w:tc>
          <w:tcPr>
            <w:tcW w:w="1789" w:type="dxa"/>
            <w:vAlign w:val="center"/>
          </w:tcPr>
          <w:p w14:paraId="5F474CE6" w14:textId="52D3BDE8" w:rsidR="00A538A6" w:rsidRDefault="00A538A6" w:rsidP="00991707">
            <w:pPr>
              <w:pStyle w:val="Tabletext"/>
              <w:jc w:val="center"/>
              <w:rPr>
                <w:rFonts w:asciiTheme="majorHAnsi" w:hAnsiTheme="majorHAnsi" w:cstheme="majorHAnsi"/>
                <w:sz w:val="16"/>
                <w:szCs w:val="16"/>
              </w:rPr>
            </w:pPr>
            <w:r>
              <w:rPr>
                <w:rFonts w:asciiTheme="majorHAnsi" w:hAnsiTheme="majorHAnsi" w:cstheme="majorHAnsi"/>
                <w:sz w:val="16"/>
                <w:szCs w:val="16"/>
                <w:lang w:val="en-GB"/>
              </w:rPr>
              <w:t>733-736</w:t>
            </w:r>
          </w:p>
        </w:tc>
        <w:tc>
          <w:tcPr>
            <w:tcW w:w="1515" w:type="dxa"/>
            <w:vAlign w:val="center"/>
          </w:tcPr>
          <w:p w14:paraId="4D5E0A64" w14:textId="53147A0A" w:rsidR="00A538A6" w:rsidRDefault="00A538A6" w:rsidP="00991707">
            <w:pPr>
              <w:pStyle w:val="Tabletext"/>
              <w:jc w:val="center"/>
              <w:rPr>
                <w:rFonts w:asciiTheme="majorHAnsi" w:hAnsiTheme="majorHAnsi" w:cstheme="majorHAnsi"/>
                <w:sz w:val="16"/>
                <w:szCs w:val="16"/>
              </w:rPr>
            </w:pPr>
            <w:r>
              <w:rPr>
                <w:rFonts w:asciiTheme="majorHAnsi" w:hAnsiTheme="majorHAnsi" w:cstheme="majorHAnsi"/>
                <w:sz w:val="16"/>
                <w:szCs w:val="16"/>
                <w:lang w:val="en-GB"/>
              </w:rPr>
              <w:t>52</w:t>
            </w:r>
          </w:p>
        </w:tc>
        <w:tc>
          <w:tcPr>
            <w:tcW w:w="1379" w:type="dxa"/>
            <w:vAlign w:val="center"/>
          </w:tcPr>
          <w:p w14:paraId="2BC17B51" w14:textId="010A403B" w:rsidR="00A538A6" w:rsidRDefault="00A538A6">
            <w:pPr>
              <w:pStyle w:val="Tabletext"/>
              <w:jc w:val="center"/>
              <w:rPr>
                <w:rFonts w:asciiTheme="majorHAnsi" w:hAnsiTheme="majorHAnsi" w:cstheme="majorHAnsi"/>
                <w:sz w:val="16"/>
                <w:szCs w:val="16"/>
              </w:rPr>
            </w:pPr>
            <w:r>
              <w:rPr>
                <w:rFonts w:asciiTheme="majorHAnsi" w:hAnsiTheme="majorHAnsi" w:cstheme="majorHAnsi"/>
                <w:sz w:val="16"/>
                <w:szCs w:val="16"/>
                <w:lang w:val="en-GB"/>
              </w:rPr>
              <w:t>788-791</w:t>
            </w:r>
          </w:p>
        </w:tc>
        <w:tc>
          <w:tcPr>
            <w:tcW w:w="1515" w:type="dxa"/>
            <w:vAlign w:val="center"/>
          </w:tcPr>
          <w:p w14:paraId="38A495DD" w14:textId="0680C714" w:rsidR="00A538A6" w:rsidRDefault="00A538A6">
            <w:pPr>
              <w:pStyle w:val="Tabletext"/>
              <w:jc w:val="center"/>
              <w:rPr>
                <w:rFonts w:asciiTheme="majorHAnsi" w:hAnsiTheme="majorHAnsi" w:cstheme="majorHAnsi"/>
                <w:sz w:val="16"/>
                <w:szCs w:val="16"/>
              </w:rPr>
            </w:pPr>
            <w:r>
              <w:rPr>
                <w:rFonts w:asciiTheme="majorHAnsi" w:hAnsiTheme="majorHAnsi" w:cstheme="majorHAnsi"/>
                <w:sz w:val="16"/>
                <w:szCs w:val="16"/>
                <w:lang w:val="en-GB"/>
              </w:rPr>
              <w:t>55</w:t>
            </w:r>
          </w:p>
        </w:tc>
        <w:tc>
          <w:tcPr>
            <w:tcW w:w="1652" w:type="dxa"/>
            <w:vAlign w:val="center"/>
          </w:tcPr>
          <w:p w14:paraId="1D16050C" w14:textId="2583A9CD" w:rsidR="00A538A6" w:rsidRDefault="00991707">
            <w:pPr>
              <w:pStyle w:val="Tabletext"/>
              <w:jc w:val="center"/>
              <w:rPr>
                <w:rFonts w:asciiTheme="majorHAnsi" w:hAnsiTheme="majorHAnsi" w:cstheme="majorHAnsi"/>
                <w:sz w:val="16"/>
                <w:szCs w:val="16"/>
              </w:rPr>
            </w:pPr>
            <w:r>
              <w:rPr>
                <w:rFonts w:asciiTheme="majorHAnsi" w:hAnsiTheme="majorHAnsi" w:cstheme="majorHAnsi"/>
                <w:sz w:val="16"/>
                <w:szCs w:val="16"/>
                <w:lang w:val="en-GB"/>
              </w:rPr>
              <w:t>Annex 1 of ECC/DEC/(16)02</w:t>
            </w:r>
          </w:p>
        </w:tc>
      </w:tr>
    </w:tbl>
    <w:p w14:paraId="1D3235DE" w14:textId="3A63DFDA" w:rsidR="00A538A6" w:rsidRDefault="009C7F65" w:rsidP="00723F7F">
      <w:pPr>
        <w:pStyle w:val="Kpalrs"/>
        <w:jc w:val="center"/>
      </w:pPr>
      <w:r>
        <w:rPr>
          <w:lang w:val="en-GB"/>
        </w:rPr>
        <w:t>Table 3.1.1.a: Possible PPDR band arrangements</w:t>
      </w:r>
    </w:p>
    <w:p w14:paraId="6E61E0AE" w14:textId="7E65CD6A" w:rsidR="00CA5369" w:rsidRDefault="00CA5369">
      <w:pPr>
        <w:spacing w:after="200"/>
        <w:jc w:val="left"/>
      </w:pPr>
      <w:r>
        <w:rPr>
          <w:lang w:val="en-GB"/>
        </w:rPr>
        <w:br w:type="page"/>
      </w:r>
    </w:p>
    <w:tbl>
      <w:tblPr>
        <w:tblW w:w="9639" w:type="dxa"/>
        <w:jc w:val="center"/>
        <w:tblLayout w:type="fixed"/>
        <w:tblCellMar>
          <w:left w:w="70" w:type="dxa"/>
          <w:right w:w="70" w:type="dxa"/>
        </w:tblCellMar>
        <w:tblLook w:val="04A0" w:firstRow="1" w:lastRow="0" w:firstColumn="1" w:lastColumn="0" w:noHBand="0" w:noVBand="1"/>
      </w:tblPr>
      <w:tblGrid>
        <w:gridCol w:w="970"/>
        <w:gridCol w:w="446"/>
        <w:gridCol w:w="446"/>
        <w:gridCol w:w="446"/>
        <w:gridCol w:w="445"/>
        <w:gridCol w:w="445"/>
        <w:gridCol w:w="445"/>
        <w:gridCol w:w="893"/>
        <w:gridCol w:w="499"/>
        <w:gridCol w:w="906"/>
        <w:gridCol w:w="445"/>
        <w:gridCol w:w="445"/>
        <w:gridCol w:w="445"/>
        <w:gridCol w:w="445"/>
        <w:gridCol w:w="445"/>
        <w:gridCol w:w="445"/>
        <w:gridCol w:w="1028"/>
      </w:tblGrid>
      <w:tr w:rsidR="00991707" w:rsidRPr="00C54ECE" w14:paraId="1A3E709F" w14:textId="77777777" w:rsidTr="007C2EAC">
        <w:trPr>
          <w:trHeight w:val="610"/>
          <w:jc w:val="center"/>
        </w:trPr>
        <w:tc>
          <w:tcPr>
            <w:tcW w:w="970" w:type="dxa"/>
            <w:tcBorders>
              <w:top w:val="single" w:sz="4" w:space="0" w:color="auto"/>
              <w:left w:val="single" w:sz="4" w:space="0" w:color="auto"/>
              <w:bottom w:val="single" w:sz="4" w:space="0" w:color="auto"/>
              <w:right w:val="single" w:sz="4" w:space="0" w:color="auto"/>
            </w:tcBorders>
            <w:vAlign w:val="center"/>
          </w:tcPr>
          <w:p w14:paraId="4B76E0BC" w14:textId="77777777" w:rsidR="00991707" w:rsidRPr="00391CF1" w:rsidRDefault="00991707" w:rsidP="007C2EAC">
            <w:pPr>
              <w:pStyle w:val="Tabletext"/>
              <w:jc w:val="center"/>
              <w:rPr>
                <w:rFonts w:asciiTheme="majorHAnsi" w:hAnsiTheme="majorHAnsi" w:cstheme="majorHAnsi"/>
                <w:sz w:val="16"/>
                <w:szCs w:val="16"/>
              </w:rPr>
            </w:pPr>
            <w:r>
              <w:rPr>
                <w:rFonts w:asciiTheme="majorHAnsi" w:hAnsiTheme="majorHAnsi" w:cstheme="majorHAnsi"/>
                <w:sz w:val="16"/>
                <w:szCs w:val="16"/>
                <w:lang w:val="en-GB"/>
              </w:rPr>
              <w:lastRenderedPageBreak/>
              <w:t>698-703 MHz</w:t>
            </w:r>
          </w:p>
        </w:tc>
        <w:tc>
          <w:tcPr>
            <w:tcW w:w="446" w:type="dxa"/>
            <w:tcBorders>
              <w:top w:val="single" w:sz="4" w:space="0" w:color="auto"/>
              <w:left w:val="nil"/>
              <w:bottom w:val="single" w:sz="4" w:space="0" w:color="auto"/>
              <w:right w:val="single" w:sz="4" w:space="0" w:color="auto"/>
            </w:tcBorders>
            <w:vAlign w:val="center"/>
          </w:tcPr>
          <w:p w14:paraId="2A987340" w14:textId="77777777" w:rsidR="00991707" w:rsidRPr="00391CF1" w:rsidRDefault="00991707" w:rsidP="007C2EAC">
            <w:pPr>
              <w:pStyle w:val="Tabletext"/>
              <w:jc w:val="center"/>
              <w:rPr>
                <w:rFonts w:asciiTheme="majorHAnsi" w:hAnsiTheme="majorHAnsi" w:cstheme="majorHAnsi"/>
                <w:sz w:val="16"/>
                <w:szCs w:val="16"/>
              </w:rPr>
            </w:pPr>
            <w:r>
              <w:rPr>
                <w:rFonts w:asciiTheme="majorHAnsi" w:hAnsiTheme="majorHAnsi" w:cstheme="majorHAnsi"/>
                <w:sz w:val="16"/>
                <w:szCs w:val="16"/>
                <w:lang w:val="en-GB"/>
              </w:rPr>
              <w:t>703-708</w:t>
            </w:r>
          </w:p>
        </w:tc>
        <w:tc>
          <w:tcPr>
            <w:tcW w:w="446" w:type="dxa"/>
            <w:tcBorders>
              <w:top w:val="single" w:sz="4" w:space="0" w:color="auto"/>
              <w:left w:val="nil"/>
              <w:bottom w:val="single" w:sz="4" w:space="0" w:color="auto"/>
              <w:right w:val="single" w:sz="4" w:space="0" w:color="auto"/>
            </w:tcBorders>
            <w:vAlign w:val="center"/>
          </w:tcPr>
          <w:p w14:paraId="358A27C1" w14:textId="77777777" w:rsidR="00991707" w:rsidRPr="00391CF1" w:rsidRDefault="00991707" w:rsidP="007C2EAC">
            <w:pPr>
              <w:pStyle w:val="Tabletext"/>
              <w:jc w:val="center"/>
              <w:rPr>
                <w:rFonts w:asciiTheme="majorHAnsi" w:hAnsiTheme="majorHAnsi" w:cstheme="majorHAnsi"/>
                <w:sz w:val="16"/>
                <w:szCs w:val="16"/>
              </w:rPr>
            </w:pPr>
            <w:r>
              <w:rPr>
                <w:rFonts w:asciiTheme="majorHAnsi" w:hAnsiTheme="majorHAnsi" w:cstheme="majorHAnsi"/>
                <w:sz w:val="16"/>
                <w:szCs w:val="16"/>
                <w:lang w:val="en-GB"/>
              </w:rPr>
              <w:t>708-713</w:t>
            </w:r>
          </w:p>
        </w:tc>
        <w:tc>
          <w:tcPr>
            <w:tcW w:w="446" w:type="dxa"/>
            <w:tcBorders>
              <w:top w:val="single" w:sz="4" w:space="0" w:color="auto"/>
              <w:left w:val="nil"/>
              <w:bottom w:val="single" w:sz="4" w:space="0" w:color="auto"/>
              <w:right w:val="single" w:sz="4" w:space="0" w:color="auto"/>
            </w:tcBorders>
            <w:vAlign w:val="center"/>
          </w:tcPr>
          <w:p w14:paraId="1023F839" w14:textId="77777777" w:rsidR="00991707" w:rsidRPr="00391CF1" w:rsidRDefault="00991707" w:rsidP="007C2EAC">
            <w:pPr>
              <w:pStyle w:val="Tabletext"/>
              <w:jc w:val="center"/>
              <w:rPr>
                <w:rFonts w:asciiTheme="majorHAnsi" w:hAnsiTheme="majorHAnsi" w:cstheme="majorHAnsi"/>
                <w:sz w:val="16"/>
                <w:szCs w:val="16"/>
              </w:rPr>
            </w:pPr>
            <w:r>
              <w:rPr>
                <w:rFonts w:asciiTheme="majorHAnsi" w:hAnsiTheme="majorHAnsi" w:cstheme="majorHAnsi"/>
                <w:sz w:val="16"/>
                <w:szCs w:val="16"/>
                <w:lang w:val="en-GB"/>
              </w:rPr>
              <w:t>713-718</w:t>
            </w:r>
          </w:p>
        </w:tc>
        <w:tc>
          <w:tcPr>
            <w:tcW w:w="445" w:type="dxa"/>
            <w:tcBorders>
              <w:top w:val="single" w:sz="4" w:space="0" w:color="auto"/>
              <w:left w:val="nil"/>
              <w:bottom w:val="single" w:sz="4" w:space="0" w:color="auto"/>
              <w:right w:val="single" w:sz="4" w:space="0" w:color="auto"/>
            </w:tcBorders>
            <w:vAlign w:val="center"/>
          </w:tcPr>
          <w:p w14:paraId="4EF665C4" w14:textId="77777777" w:rsidR="00991707" w:rsidRPr="00391CF1" w:rsidRDefault="00991707" w:rsidP="007C2EAC">
            <w:pPr>
              <w:pStyle w:val="Tabletext"/>
              <w:jc w:val="center"/>
              <w:rPr>
                <w:rFonts w:asciiTheme="majorHAnsi" w:hAnsiTheme="majorHAnsi" w:cstheme="majorHAnsi"/>
                <w:sz w:val="16"/>
                <w:szCs w:val="16"/>
              </w:rPr>
            </w:pPr>
            <w:r>
              <w:rPr>
                <w:rFonts w:asciiTheme="majorHAnsi" w:hAnsiTheme="majorHAnsi" w:cstheme="majorHAnsi"/>
                <w:sz w:val="16"/>
                <w:szCs w:val="16"/>
                <w:lang w:val="en-GB"/>
              </w:rPr>
              <w:t>718-723</w:t>
            </w:r>
          </w:p>
        </w:tc>
        <w:tc>
          <w:tcPr>
            <w:tcW w:w="445" w:type="dxa"/>
            <w:tcBorders>
              <w:top w:val="single" w:sz="4" w:space="0" w:color="auto"/>
              <w:left w:val="nil"/>
              <w:bottom w:val="single" w:sz="4" w:space="0" w:color="auto"/>
              <w:right w:val="single" w:sz="4" w:space="0" w:color="auto"/>
            </w:tcBorders>
            <w:vAlign w:val="center"/>
          </w:tcPr>
          <w:p w14:paraId="5DAAFFD8" w14:textId="77777777" w:rsidR="00991707" w:rsidRPr="00391CF1" w:rsidRDefault="00991707" w:rsidP="007C2EAC">
            <w:pPr>
              <w:pStyle w:val="Tabletext"/>
              <w:jc w:val="center"/>
              <w:rPr>
                <w:rFonts w:asciiTheme="majorHAnsi" w:hAnsiTheme="majorHAnsi" w:cstheme="majorHAnsi"/>
                <w:sz w:val="16"/>
                <w:szCs w:val="16"/>
              </w:rPr>
            </w:pPr>
            <w:r>
              <w:rPr>
                <w:rFonts w:asciiTheme="majorHAnsi" w:hAnsiTheme="majorHAnsi" w:cstheme="majorHAnsi"/>
                <w:sz w:val="16"/>
                <w:szCs w:val="16"/>
                <w:lang w:val="en-GB"/>
              </w:rPr>
              <w:t>723-728</w:t>
            </w:r>
          </w:p>
        </w:tc>
        <w:tc>
          <w:tcPr>
            <w:tcW w:w="445" w:type="dxa"/>
            <w:tcBorders>
              <w:top w:val="single" w:sz="4" w:space="0" w:color="auto"/>
              <w:left w:val="nil"/>
              <w:bottom w:val="single" w:sz="4" w:space="0" w:color="auto"/>
              <w:right w:val="single" w:sz="4" w:space="0" w:color="auto"/>
            </w:tcBorders>
            <w:vAlign w:val="center"/>
          </w:tcPr>
          <w:p w14:paraId="0425F40A" w14:textId="77777777" w:rsidR="00991707" w:rsidRPr="00391CF1" w:rsidRDefault="00991707" w:rsidP="007C2EAC">
            <w:pPr>
              <w:pStyle w:val="Tabletext"/>
              <w:jc w:val="center"/>
              <w:rPr>
                <w:rFonts w:asciiTheme="majorHAnsi" w:hAnsiTheme="majorHAnsi" w:cstheme="majorHAnsi"/>
                <w:sz w:val="16"/>
                <w:szCs w:val="16"/>
              </w:rPr>
            </w:pPr>
            <w:r>
              <w:rPr>
                <w:rFonts w:asciiTheme="majorHAnsi" w:hAnsiTheme="majorHAnsi" w:cstheme="majorHAnsi"/>
                <w:sz w:val="16"/>
                <w:szCs w:val="16"/>
                <w:lang w:val="en-GB"/>
              </w:rPr>
              <w:t>728-733</w:t>
            </w:r>
          </w:p>
        </w:tc>
        <w:tc>
          <w:tcPr>
            <w:tcW w:w="893" w:type="dxa"/>
            <w:tcBorders>
              <w:top w:val="single" w:sz="4" w:space="0" w:color="auto"/>
              <w:left w:val="nil"/>
              <w:bottom w:val="single" w:sz="4" w:space="0" w:color="auto"/>
              <w:right w:val="single" w:sz="4" w:space="0" w:color="auto"/>
            </w:tcBorders>
            <w:vAlign w:val="center"/>
          </w:tcPr>
          <w:p w14:paraId="3F0FCCB2" w14:textId="77777777" w:rsidR="00991707" w:rsidRPr="00391CF1" w:rsidRDefault="00991707" w:rsidP="007C2EAC">
            <w:pPr>
              <w:pStyle w:val="Tabletext"/>
              <w:jc w:val="center"/>
              <w:rPr>
                <w:rFonts w:asciiTheme="majorHAnsi" w:hAnsiTheme="majorHAnsi" w:cstheme="majorHAnsi"/>
                <w:sz w:val="16"/>
                <w:szCs w:val="16"/>
              </w:rPr>
            </w:pPr>
            <w:r>
              <w:rPr>
                <w:rFonts w:asciiTheme="majorHAnsi" w:hAnsiTheme="majorHAnsi" w:cstheme="majorHAnsi"/>
                <w:sz w:val="16"/>
                <w:szCs w:val="16"/>
                <w:lang w:val="en-GB"/>
              </w:rPr>
              <w:t>733-736 MHz</w:t>
            </w:r>
          </w:p>
        </w:tc>
        <w:tc>
          <w:tcPr>
            <w:tcW w:w="499" w:type="dxa"/>
            <w:tcBorders>
              <w:top w:val="single" w:sz="4" w:space="0" w:color="auto"/>
              <w:left w:val="nil"/>
              <w:bottom w:val="single" w:sz="4" w:space="0" w:color="auto"/>
              <w:right w:val="single" w:sz="4" w:space="0" w:color="auto"/>
            </w:tcBorders>
            <w:vAlign w:val="center"/>
          </w:tcPr>
          <w:p w14:paraId="5C2C90D2" w14:textId="77777777" w:rsidR="00991707" w:rsidRPr="00391CF1" w:rsidRDefault="00991707" w:rsidP="007C2EAC">
            <w:pPr>
              <w:pStyle w:val="Tabletext"/>
              <w:jc w:val="center"/>
              <w:rPr>
                <w:rFonts w:asciiTheme="majorHAnsi" w:hAnsiTheme="majorHAnsi" w:cstheme="majorHAnsi"/>
                <w:sz w:val="16"/>
                <w:szCs w:val="16"/>
              </w:rPr>
            </w:pPr>
            <w:r>
              <w:rPr>
                <w:rFonts w:asciiTheme="majorHAnsi" w:hAnsiTheme="majorHAnsi" w:cstheme="majorHAnsi"/>
                <w:sz w:val="16"/>
                <w:szCs w:val="16"/>
                <w:lang w:val="en-GB"/>
              </w:rPr>
              <w:t>736-753</w:t>
            </w:r>
          </w:p>
        </w:tc>
        <w:tc>
          <w:tcPr>
            <w:tcW w:w="906" w:type="dxa"/>
            <w:tcBorders>
              <w:top w:val="single" w:sz="4" w:space="0" w:color="auto"/>
              <w:left w:val="nil"/>
              <w:bottom w:val="single" w:sz="4" w:space="0" w:color="auto"/>
              <w:right w:val="single" w:sz="4" w:space="0" w:color="auto"/>
            </w:tcBorders>
            <w:vAlign w:val="center"/>
          </w:tcPr>
          <w:p w14:paraId="34BC9F0F" w14:textId="77777777" w:rsidR="00991707" w:rsidRPr="00391CF1" w:rsidRDefault="00991707" w:rsidP="007C2EAC">
            <w:pPr>
              <w:pStyle w:val="Tabletext"/>
              <w:jc w:val="center"/>
              <w:rPr>
                <w:rFonts w:asciiTheme="majorHAnsi" w:hAnsiTheme="majorHAnsi" w:cstheme="majorHAnsi"/>
                <w:sz w:val="16"/>
                <w:szCs w:val="16"/>
              </w:rPr>
            </w:pPr>
            <w:r>
              <w:rPr>
                <w:rFonts w:asciiTheme="majorHAnsi" w:hAnsiTheme="majorHAnsi" w:cstheme="majorHAnsi"/>
                <w:sz w:val="16"/>
                <w:szCs w:val="16"/>
                <w:lang w:val="en-GB"/>
              </w:rPr>
              <w:t>753-758 MHz</w:t>
            </w:r>
          </w:p>
        </w:tc>
        <w:tc>
          <w:tcPr>
            <w:tcW w:w="445" w:type="dxa"/>
            <w:tcBorders>
              <w:top w:val="single" w:sz="4" w:space="0" w:color="auto"/>
              <w:left w:val="nil"/>
              <w:bottom w:val="single" w:sz="4" w:space="0" w:color="auto"/>
              <w:right w:val="single" w:sz="4" w:space="0" w:color="auto"/>
            </w:tcBorders>
            <w:vAlign w:val="center"/>
          </w:tcPr>
          <w:p w14:paraId="432EC2F6" w14:textId="77777777" w:rsidR="00991707" w:rsidRPr="00391CF1" w:rsidRDefault="00991707" w:rsidP="007C2EAC">
            <w:pPr>
              <w:pStyle w:val="Tabletext"/>
              <w:jc w:val="center"/>
              <w:rPr>
                <w:rFonts w:asciiTheme="majorHAnsi" w:hAnsiTheme="majorHAnsi" w:cstheme="majorHAnsi"/>
                <w:sz w:val="16"/>
                <w:szCs w:val="16"/>
              </w:rPr>
            </w:pPr>
            <w:r>
              <w:rPr>
                <w:rFonts w:asciiTheme="majorHAnsi" w:hAnsiTheme="majorHAnsi" w:cstheme="majorHAnsi"/>
                <w:sz w:val="16"/>
                <w:szCs w:val="16"/>
                <w:lang w:val="en-GB"/>
              </w:rPr>
              <w:t>758-763</w:t>
            </w:r>
          </w:p>
        </w:tc>
        <w:tc>
          <w:tcPr>
            <w:tcW w:w="445" w:type="dxa"/>
            <w:tcBorders>
              <w:top w:val="single" w:sz="4" w:space="0" w:color="auto"/>
              <w:left w:val="nil"/>
              <w:bottom w:val="single" w:sz="4" w:space="0" w:color="auto"/>
              <w:right w:val="single" w:sz="4" w:space="0" w:color="auto"/>
            </w:tcBorders>
            <w:vAlign w:val="center"/>
          </w:tcPr>
          <w:p w14:paraId="73FA4044" w14:textId="77777777" w:rsidR="00991707" w:rsidRPr="00391CF1" w:rsidRDefault="00991707" w:rsidP="007C2EAC">
            <w:pPr>
              <w:pStyle w:val="Tabletext"/>
              <w:jc w:val="center"/>
              <w:rPr>
                <w:rFonts w:asciiTheme="majorHAnsi" w:hAnsiTheme="majorHAnsi" w:cstheme="majorHAnsi"/>
                <w:sz w:val="16"/>
                <w:szCs w:val="16"/>
              </w:rPr>
            </w:pPr>
            <w:r>
              <w:rPr>
                <w:rFonts w:asciiTheme="majorHAnsi" w:hAnsiTheme="majorHAnsi" w:cstheme="majorHAnsi"/>
                <w:sz w:val="16"/>
                <w:szCs w:val="16"/>
                <w:lang w:val="en-GB"/>
              </w:rPr>
              <w:t>763-768</w:t>
            </w:r>
          </w:p>
        </w:tc>
        <w:tc>
          <w:tcPr>
            <w:tcW w:w="445" w:type="dxa"/>
            <w:tcBorders>
              <w:top w:val="single" w:sz="4" w:space="0" w:color="auto"/>
              <w:left w:val="nil"/>
              <w:bottom w:val="single" w:sz="4" w:space="0" w:color="auto"/>
              <w:right w:val="single" w:sz="4" w:space="0" w:color="auto"/>
            </w:tcBorders>
            <w:vAlign w:val="center"/>
          </w:tcPr>
          <w:p w14:paraId="628055EE" w14:textId="77777777" w:rsidR="00991707" w:rsidRPr="00391CF1" w:rsidRDefault="00991707" w:rsidP="007C2EAC">
            <w:pPr>
              <w:pStyle w:val="Tabletext"/>
              <w:jc w:val="center"/>
              <w:rPr>
                <w:rFonts w:asciiTheme="majorHAnsi" w:hAnsiTheme="majorHAnsi" w:cstheme="majorHAnsi"/>
                <w:sz w:val="16"/>
                <w:szCs w:val="16"/>
              </w:rPr>
            </w:pPr>
            <w:r>
              <w:rPr>
                <w:rFonts w:asciiTheme="majorHAnsi" w:hAnsiTheme="majorHAnsi" w:cstheme="majorHAnsi"/>
                <w:sz w:val="16"/>
                <w:szCs w:val="16"/>
                <w:lang w:val="en-GB"/>
              </w:rPr>
              <w:t>768-773</w:t>
            </w:r>
          </w:p>
        </w:tc>
        <w:tc>
          <w:tcPr>
            <w:tcW w:w="445" w:type="dxa"/>
            <w:tcBorders>
              <w:top w:val="single" w:sz="4" w:space="0" w:color="auto"/>
              <w:left w:val="nil"/>
              <w:bottom w:val="single" w:sz="4" w:space="0" w:color="auto"/>
              <w:right w:val="single" w:sz="4" w:space="0" w:color="auto"/>
            </w:tcBorders>
            <w:vAlign w:val="center"/>
          </w:tcPr>
          <w:p w14:paraId="706D7495" w14:textId="77777777" w:rsidR="00991707" w:rsidRPr="00391CF1" w:rsidRDefault="00991707" w:rsidP="007C2EAC">
            <w:pPr>
              <w:pStyle w:val="Tabletext"/>
              <w:jc w:val="center"/>
              <w:rPr>
                <w:rFonts w:asciiTheme="majorHAnsi" w:hAnsiTheme="majorHAnsi" w:cstheme="majorHAnsi"/>
                <w:sz w:val="16"/>
                <w:szCs w:val="16"/>
              </w:rPr>
            </w:pPr>
            <w:r>
              <w:rPr>
                <w:rFonts w:asciiTheme="majorHAnsi" w:hAnsiTheme="majorHAnsi" w:cstheme="majorHAnsi"/>
                <w:sz w:val="16"/>
                <w:szCs w:val="16"/>
                <w:lang w:val="en-GB"/>
              </w:rPr>
              <w:t>773-778</w:t>
            </w:r>
          </w:p>
        </w:tc>
        <w:tc>
          <w:tcPr>
            <w:tcW w:w="445" w:type="dxa"/>
            <w:tcBorders>
              <w:top w:val="single" w:sz="4" w:space="0" w:color="auto"/>
              <w:left w:val="nil"/>
              <w:bottom w:val="single" w:sz="4" w:space="0" w:color="auto"/>
              <w:right w:val="single" w:sz="4" w:space="0" w:color="auto"/>
            </w:tcBorders>
            <w:vAlign w:val="center"/>
          </w:tcPr>
          <w:p w14:paraId="321E7243" w14:textId="77777777" w:rsidR="00991707" w:rsidRPr="00391CF1" w:rsidRDefault="00991707" w:rsidP="007C2EAC">
            <w:pPr>
              <w:pStyle w:val="Tabletext"/>
              <w:jc w:val="center"/>
              <w:rPr>
                <w:rFonts w:asciiTheme="majorHAnsi" w:hAnsiTheme="majorHAnsi" w:cstheme="majorHAnsi"/>
                <w:sz w:val="16"/>
                <w:szCs w:val="16"/>
              </w:rPr>
            </w:pPr>
            <w:r>
              <w:rPr>
                <w:rFonts w:asciiTheme="majorHAnsi" w:hAnsiTheme="majorHAnsi" w:cstheme="majorHAnsi"/>
                <w:sz w:val="16"/>
                <w:szCs w:val="16"/>
                <w:lang w:val="en-GB"/>
              </w:rPr>
              <w:t>778-783</w:t>
            </w:r>
          </w:p>
        </w:tc>
        <w:tc>
          <w:tcPr>
            <w:tcW w:w="445" w:type="dxa"/>
            <w:tcBorders>
              <w:top w:val="single" w:sz="4" w:space="0" w:color="auto"/>
              <w:left w:val="nil"/>
              <w:bottom w:val="single" w:sz="4" w:space="0" w:color="auto"/>
              <w:right w:val="single" w:sz="4" w:space="0" w:color="auto"/>
            </w:tcBorders>
            <w:vAlign w:val="center"/>
          </w:tcPr>
          <w:p w14:paraId="5512512D" w14:textId="77777777" w:rsidR="00991707" w:rsidRPr="00391CF1" w:rsidRDefault="00991707" w:rsidP="007C2EAC">
            <w:pPr>
              <w:pStyle w:val="Tabletext"/>
              <w:jc w:val="center"/>
              <w:rPr>
                <w:rFonts w:asciiTheme="majorHAnsi" w:hAnsiTheme="majorHAnsi" w:cstheme="majorHAnsi"/>
                <w:sz w:val="16"/>
                <w:szCs w:val="16"/>
              </w:rPr>
            </w:pPr>
            <w:r>
              <w:rPr>
                <w:rFonts w:asciiTheme="majorHAnsi" w:hAnsiTheme="majorHAnsi" w:cstheme="majorHAnsi"/>
                <w:sz w:val="16"/>
                <w:szCs w:val="16"/>
                <w:lang w:val="en-GB"/>
              </w:rPr>
              <w:t>783-788</w:t>
            </w:r>
          </w:p>
        </w:tc>
        <w:tc>
          <w:tcPr>
            <w:tcW w:w="1028" w:type="dxa"/>
            <w:tcBorders>
              <w:top w:val="single" w:sz="4" w:space="0" w:color="auto"/>
              <w:left w:val="nil"/>
              <w:bottom w:val="single" w:sz="4" w:space="0" w:color="auto"/>
              <w:right w:val="single" w:sz="4" w:space="0" w:color="auto"/>
            </w:tcBorders>
            <w:vAlign w:val="center"/>
          </w:tcPr>
          <w:p w14:paraId="3AC10736" w14:textId="77777777" w:rsidR="00991707" w:rsidRPr="00391CF1" w:rsidRDefault="00991707" w:rsidP="007C2EAC">
            <w:pPr>
              <w:pStyle w:val="Tabletext"/>
              <w:jc w:val="center"/>
              <w:rPr>
                <w:rFonts w:asciiTheme="majorHAnsi" w:hAnsiTheme="majorHAnsi" w:cstheme="majorHAnsi"/>
                <w:sz w:val="16"/>
                <w:szCs w:val="16"/>
              </w:rPr>
            </w:pPr>
            <w:r>
              <w:rPr>
                <w:rFonts w:asciiTheme="majorHAnsi" w:hAnsiTheme="majorHAnsi" w:cstheme="majorHAnsi"/>
                <w:sz w:val="16"/>
                <w:szCs w:val="16"/>
                <w:lang w:val="en-GB"/>
              </w:rPr>
              <w:t>788-791 MHz</w:t>
            </w:r>
          </w:p>
        </w:tc>
      </w:tr>
      <w:tr w:rsidR="00991707" w:rsidRPr="00C54ECE" w14:paraId="222C7208" w14:textId="77777777" w:rsidTr="007C2EAC">
        <w:trPr>
          <w:trHeight w:val="724"/>
          <w:jc w:val="center"/>
        </w:trPr>
        <w:tc>
          <w:tcPr>
            <w:tcW w:w="970" w:type="dxa"/>
            <w:tcBorders>
              <w:top w:val="nil"/>
              <w:left w:val="single" w:sz="4" w:space="0" w:color="auto"/>
              <w:bottom w:val="single" w:sz="4" w:space="0" w:color="auto"/>
              <w:right w:val="single" w:sz="4" w:space="0" w:color="auto"/>
            </w:tcBorders>
            <w:shd w:val="clear" w:color="auto" w:fill="auto"/>
            <w:vAlign w:val="center"/>
          </w:tcPr>
          <w:p w14:paraId="68733A9B" w14:textId="77777777" w:rsidR="00991707" w:rsidRPr="00391CF1" w:rsidRDefault="00991707" w:rsidP="007C2EAC">
            <w:pPr>
              <w:pStyle w:val="Tabletext"/>
              <w:jc w:val="center"/>
              <w:rPr>
                <w:rFonts w:asciiTheme="majorHAnsi" w:hAnsiTheme="majorHAnsi" w:cstheme="majorHAnsi"/>
                <w:sz w:val="16"/>
                <w:szCs w:val="16"/>
              </w:rPr>
            </w:pPr>
            <w:r>
              <w:rPr>
                <w:rFonts w:asciiTheme="majorHAnsi" w:hAnsiTheme="majorHAnsi" w:cstheme="majorHAnsi"/>
                <w:sz w:val="16"/>
                <w:szCs w:val="16"/>
                <w:lang w:val="en-GB"/>
              </w:rPr>
              <w:t>PPDR a)</w:t>
            </w:r>
          </w:p>
          <w:p w14:paraId="279C4B04" w14:textId="77777777" w:rsidR="00991707" w:rsidRPr="00391CF1" w:rsidRDefault="00991707" w:rsidP="007C2EAC">
            <w:pPr>
              <w:pStyle w:val="Tabletext"/>
              <w:jc w:val="center"/>
              <w:rPr>
                <w:rFonts w:asciiTheme="majorHAnsi" w:hAnsiTheme="majorHAnsi" w:cstheme="majorHAnsi"/>
                <w:sz w:val="16"/>
                <w:szCs w:val="16"/>
              </w:rPr>
            </w:pPr>
            <w:r>
              <w:rPr>
                <w:rFonts w:asciiTheme="majorHAnsi" w:hAnsiTheme="majorHAnsi" w:cstheme="majorHAnsi"/>
                <w:sz w:val="16"/>
                <w:szCs w:val="16"/>
                <w:lang w:val="en-GB"/>
              </w:rPr>
              <w:t>uplink</w:t>
            </w:r>
          </w:p>
        </w:tc>
        <w:tc>
          <w:tcPr>
            <w:tcW w:w="2673" w:type="dxa"/>
            <w:gridSpan w:val="6"/>
            <w:tcBorders>
              <w:top w:val="single" w:sz="4" w:space="0" w:color="auto"/>
              <w:left w:val="nil"/>
              <w:bottom w:val="single" w:sz="4" w:space="0" w:color="auto"/>
              <w:right w:val="single" w:sz="4" w:space="0" w:color="auto"/>
            </w:tcBorders>
            <w:shd w:val="clear" w:color="auto" w:fill="auto"/>
            <w:vAlign w:val="center"/>
          </w:tcPr>
          <w:p w14:paraId="31F691D9" w14:textId="77777777" w:rsidR="00991707" w:rsidRPr="00391CF1" w:rsidRDefault="00991707" w:rsidP="007C2EAC">
            <w:pPr>
              <w:pStyle w:val="Tabletext"/>
              <w:jc w:val="center"/>
              <w:rPr>
                <w:rFonts w:asciiTheme="majorHAnsi" w:hAnsiTheme="majorHAnsi" w:cstheme="majorHAnsi"/>
                <w:sz w:val="16"/>
                <w:szCs w:val="16"/>
              </w:rPr>
            </w:pPr>
            <w:r>
              <w:rPr>
                <w:rFonts w:asciiTheme="majorHAnsi" w:hAnsiTheme="majorHAnsi" w:cstheme="majorHAnsi"/>
                <w:sz w:val="16"/>
                <w:szCs w:val="16"/>
                <w:lang w:val="en-GB"/>
              </w:rPr>
              <w:t>PPDR b)</w:t>
            </w:r>
          </w:p>
          <w:p w14:paraId="5B4610EA" w14:textId="77777777" w:rsidR="00991707" w:rsidRPr="00391CF1" w:rsidRDefault="00991707" w:rsidP="007C2EAC">
            <w:pPr>
              <w:pStyle w:val="Tabletext"/>
              <w:jc w:val="center"/>
              <w:rPr>
                <w:rFonts w:asciiTheme="majorHAnsi" w:hAnsiTheme="majorHAnsi" w:cstheme="majorHAnsi"/>
                <w:sz w:val="16"/>
                <w:szCs w:val="16"/>
              </w:rPr>
            </w:pPr>
            <w:r>
              <w:rPr>
                <w:rFonts w:asciiTheme="majorHAnsi" w:hAnsiTheme="majorHAnsi" w:cstheme="majorHAnsi"/>
                <w:sz w:val="16"/>
                <w:szCs w:val="16"/>
                <w:lang w:val="en-GB"/>
              </w:rPr>
              <w:t>uplink (MFCN)</w:t>
            </w:r>
          </w:p>
        </w:tc>
        <w:tc>
          <w:tcPr>
            <w:tcW w:w="893" w:type="dxa"/>
            <w:tcBorders>
              <w:top w:val="nil"/>
              <w:left w:val="nil"/>
              <w:bottom w:val="single" w:sz="4" w:space="0" w:color="auto"/>
              <w:right w:val="single" w:sz="4" w:space="0" w:color="auto"/>
            </w:tcBorders>
            <w:shd w:val="clear" w:color="auto" w:fill="auto"/>
            <w:vAlign w:val="center"/>
          </w:tcPr>
          <w:p w14:paraId="2A03CE1B" w14:textId="77777777" w:rsidR="00991707" w:rsidRPr="00391CF1" w:rsidRDefault="00991707" w:rsidP="007C2EAC">
            <w:pPr>
              <w:pStyle w:val="Tabletext"/>
              <w:jc w:val="center"/>
              <w:rPr>
                <w:rFonts w:asciiTheme="majorHAnsi" w:hAnsiTheme="majorHAnsi" w:cstheme="majorHAnsi"/>
                <w:sz w:val="16"/>
                <w:szCs w:val="16"/>
              </w:rPr>
            </w:pPr>
            <w:r>
              <w:rPr>
                <w:rFonts w:asciiTheme="majorHAnsi" w:hAnsiTheme="majorHAnsi" w:cstheme="majorHAnsi"/>
                <w:sz w:val="16"/>
                <w:szCs w:val="16"/>
                <w:lang w:val="en-GB"/>
              </w:rPr>
              <w:t>PPDR c)</w:t>
            </w:r>
          </w:p>
          <w:p w14:paraId="6F06A744" w14:textId="77777777" w:rsidR="00991707" w:rsidRPr="00391CF1" w:rsidRDefault="00991707" w:rsidP="007C2EAC">
            <w:pPr>
              <w:pStyle w:val="Tabletext"/>
              <w:jc w:val="center"/>
              <w:rPr>
                <w:rFonts w:asciiTheme="majorHAnsi" w:hAnsiTheme="majorHAnsi" w:cstheme="majorHAnsi"/>
                <w:sz w:val="16"/>
                <w:szCs w:val="16"/>
              </w:rPr>
            </w:pPr>
            <w:r>
              <w:rPr>
                <w:rFonts w:asciiTheme="majorHAnsi" w:hAnsiTheme="majorHAnsi" w:cstheme="majorHAnsi"/>
                <w:sz w:val="16"/>
                <w:szCs w:val="16"/>
                <w:lang w:val="en-GB"/>
              </w:rPr>
              <w:t>uplink</w:t>
            </w:r>
          </w:p>
        </w:tc>
        <w:tc>
          <w:tcPr>
            <w:tcW w:w="499" w:type="dxa"/>
            <w:tcBorders>
              <w:top w:val="single" w:sz="4" w:space="0" w:color="auto"/>
              <w:left w:val="nil"/>
              <w:bottom w:val="single" w:sz="4" w:space="0" w:color="auto"/>
              <w:right w:val="single" w:sz="4" w:space="0" w:color="auto"/>
            </w:tcBorders>
            <w:shd w:val="thinReverseDiagStripe" w:color="auto" w:fill="auto"/>
            <w:vAlign w:val="center"/>
          </w:tcPr>
          <w:p w14:paraId="6D4BC427" w14:textId="77777777" w:rsidR="00991707" w:rsidRPr="007157A4" w:rsidRDefault="00991707" w:rsidP="007C2EAC">
            <w:pPr>
              <w:pStyle w:val="Tabletext"/>
              <w:jc w:val="center"/>
              <w:rPr>
                <w:sz w:val="16"/>
                <w:szCs w:val="16"/>
              </w:rPr>
            </w:pPr>
          </w:p>
        </w:tc>
        <w:tc>
          <w:tcPr>
            <w:tcW w:w="906" w:type="dxa"/>
            <w:tcBorders>
              <w:top w:val="single" w:sz="4" w:space="0" w:color="auto"/>
              <w:left w:val="nil"/>
              <w:bottom w:val="single" w:sz="4" w:space="0" w:color="auto"/>
              <w:right w:val="single" w:sz="4" w:space="0" w:color="auto"/>
            </w:tcBorders>
            <w:shd w:val="clear" w:color="auto" w:fill="auto"/>
            <w:vAlign w:val="center"/>
          </w:tcPr>
          <w:p w14:paraId="0EB0EE1A" w14:textId="77777777" w:rsidR="00991707" w:rsidRPr="00391CF1" w:rsidRDefault="00991707" w:rsidP="007C2EAC">
            <w:pPr>
              <w:pStyle w:val="Tabletext"/>
              <w:jc w:val="center"/>
              <w:rPr>
                <w:rFonts w:asciiTheme="majorHAnsi" w:hAnsiTheme="majorHAnsi" w:cstheme="majorHAnsi"/>
                <w:sz w:val="16"/>
                <w:szCs w:val="16"/>
              </w:rPr>
            </w:pPr>
            <w:r>
              <w:rPr>
                <w:rFonts w:asciiTheme="majorHAnsi" w:hAnsiTheme="majorHAnsi" w:cstheme="majorHAnsi"/>
                <w:sz w:val="16"/>
                <w:szCs w:val="16"/>
                <w:lang w:val="en-GB"/>
              </w:rPr>
              <w:t>PPDR a)</w:t>
            </w:r>
          </w:p>
          <w:p w14:paraId="34AB1E82" w14:textId="77777777" w:rsidR="00991707" w:rsidRPr="00391CF1" w:rsidRDefault="00991707" w:rsidP="007C2EAC">
            <w:pPr>
              <w:pStyle w:val="Tabletext"/>
              <w:jc w:val="center"/>
              <w:rPr>
                <w:rFonts w:asciiTheme="majorHAnsi" w:hAnsiTheme="majorHAnsi" w:cstheme="majorHAnsi"/>
                <w:sz w:val="16"/>
                <w:szCs w:val="16"/>
              </w:rPr>
            </w:pPr>
            <w:r>
              <w:rPr>
                <w:rFonts w:asciiTheme="majorHAnsi" w:hAnsiTheme="majorHAnsi" w:cstheme="majorHAnsi"/>
                <w:sz w:val="16"/>
                <w:szCs w:val="16"/>
                <w:lang w:val="en-GB"/>
              </w:rPr>
              <w:t>downlink</w:t>
            </w:r>
          </w:p>
        </w:tc>
        <w:tc>
          <w:tcPr>
            <w:tcW w:w="2670" w:type="dxa"/>
            <w:gridSpan w:val="6"/>
            <w:tcBorders>
              <w:top w:val="single" w:sz="4" w:space="0" w:color="auto"/>
              <w:left w:val="nil"/>
              <w:bottom w:val="single" w:sz="4" w:space="0" w:color="auto"/>
              <w:right w:val="single" w:sz="4" w:space="0" w:color="auto"/>
            </w:tcBorders>
            <w:shd w:val="clear" w:color="auto" w:fill="auto"/>
            <w:vAlign w:val="center"/>
          </w:tcPr>
          <w:p w14:paraId="23BE2A82" w14:textId="77777777" w:rsidR="00991707" w:rsidRPr="00391CF1" w:rsidRDefault="00991707" w:rsidP="007C2EAC">
            <w:pPr>
              <w:pStyle w:val="Tabletext"/>
              <w:jc w:val="center"/>
              <w:rPr>
                <w:rFonts w:asciiTheme="majorHAnsi" w:hAnsiTheme="majorHAnsi" w:cstheme="majorHAnsi"/>
                <w:sz w:val="16"/>
                <w:szCs w:val="16"/>
              </w:rPr>
            </w:pPr>
            <w:r>
              <w:rPr>
                <w:rFonts w:asciiTheme="majorHAnsi" w:hAnsiTheme="majorHAnsi" w:cstheme="majorHAnsi"/>
                <w:sz w:val="16"/>
                <w:szCs w:val="16"/>
                <w:lang w:val="en-GB"/>
              </w:rPr>
              <w:t>PPDR b)</w:t>
            </w:r>
          </w:p>
          <w:p w14:paraId="5171896E" w14:textId="77777777" w:rsidR="00991707" w:rsidRPr="00391CF1" w:rsidRDefault="00991707" w:rsidP="007C2EAC">
            <w:pPr>
              <w:pStyle w:val="Tabletext"/>
              <w:jc w:val="center"/>
              <w:rPr>
                <w:rFonts w:asciiTheme="majorHAnsi" w:hAnsiTheme="majorHAnsi" w:cstheme="majorHAnsi"/>
                <w:sz w:val="16"/>
                <w:szCs w:val="16"/>
              </w:rPr>
            </w:pPr>
            <w:r>
              <w:rPr>
                <w:rFonts w:asciiTheme="majorHAnsi" w:hAnsiTheme="majorHAnsi" w:cstheme="majorHAnsi"/>
                <w:sz w:val="16"/>
                <w:szCs w:val="16"/>
                <w:lang w:val="en-GB"/>
              </w:rPr>
              <w:t>downlink (MFCN)</w:t>
            </w:r>
          </w:p>
        </w:tc>
        <w:tc>
          <w:tcPr>
            <w:tcW w:w="1028" w:type="dxa"/>
            <w:tcBorders>
              <w:top w:val="single" w:sz="4" w:space="0" w:color="auto"/>
              <w:left w:val="nil"/>
              <w:bottom w:val="single" w:sz="4" w:space="0" w:color="auto"/>
              <w:right w:val="single" w:sz="4" w:space="0" w:color="auto"/>
            </w:tcBorders>
            <w:shd w:val="clear" w:color="auto" w:fill="auto"/>
            <w:vAlign w:val="center"/>
          </w:tcPr>
          <w:p w14:paraId="0BB21063" w14:textId="77777777" w:rsidR="00991707" w:rsidRPr="00391CF1" w:rsidRDefault="00991707" w:rsidP="007C2EAC">
            <w:pPr>
              <w:pStyle w:val="Tabletext"/>
              <w:jc w:val="center"/>
              <w:rPr>
                <w:rFonts w:asciiTheme="majorHAnsi" w:hAnsiTheme="majorHAnsi" w:cstheme="majorHAnsi"/>
                <w:sz w:val="16"/>
                <w:szCs w:val="16"/>
              </w:rPr>
            </w:pPr>
            <w:r>
              <w:rPr>
                <w:rFonts w:asciiTheme="majorHAnsi" w:hAnsiTheme="majorHAnsi" w:cstheme="majorHAnsi"/>
                <w:sz w:val="16"/>
                <w:szCs w:val="16"/>
                <w:lang w:val="en-GB"/>
              </w:rPr>
              <w:t>PPDR c)</w:t>
            </w:r>
          </w:p>
          <w:p w14:paraId="492B6E1F" w14:textId="77777777" w:rsidR="00991707" w:rsidRPr="00391CF1" w:rsidRDefault="00991707" w:rsidP="007C2EAC">
            <w:pPr>
              <w:pStyle w:val="Tabletext"/>
              <w:jc w:val="center"/>
              <w:rPr>
                <w:rFonts w:asciiTheme="majorHAnsi" w:hAnsiTheme="majorHAnsi" w:cstheme="majorHAnsi"/>
                <w:sz w:val="16"/>
                <w:szCs w:val="16"/>
              </w:rPr>
            </w:pPr>
            <w:r>
              <w:rPr>
                <w:rFonts w:asciiTheme="majorHAnsi" w:hAnsiTheme="majorHAnsi" w:cstheme="majorHAnsi"/>
                <w:sz w:val="16"/>
                <w:szCs w:val="16"/>
                <w:lang w:val="en-GB"/>
              </w:rPr>
              <w:t>downlink</w:t>
            </w:r>
          </w:p>
        </w:tc>
      </w:tr>
      <w:tr w:rsidR="00991707" w:rsidRPr="00C54ECE" w14:paraId="58D69682" w14:textId="77777777" w:rsidTr="007C2EAC">
        <w:trPr>
          <w:trHeight w:val="381"/>
          <w:jc w:val="center"/>
        </w:trPr>
        <w:tc>
          <w:tcPr>
            <w:tcW w:w="970" w:type="dxa"/>
            <w:tcBorders>
              <w:top w:val="nil"/>
              <w:left w:val="single" w:sz="4" w:space="0" w:color="auto"/>
              <w:bottom w:val="single" w:sz="4" w:space="0" w:color="auto"/>
              <w:right w:val="single" w:sz="4" w:space="0" w:color="auto"/>
            </w:tcBorders>
            <w:vAlign w:val="center"/>
          </w:tcPr>
          <w:p w14:paraId="1E1F5D6C" w14:textId="77777777" w:rsidR="00991707" w:rsidRPr="00391CF1" w:rsidRDefault="00991707" w:rsidP="007C2EAC">
            <w:pPr>
              <w:pStyle w:val="Tabletext"/>
              <w:jc w:val="center"/>
              <w:rPr>
                <w:rFonts w:asciiTheme="majorHAnsi" w:hAnsiTheme="majorHAnsi" w:cstheme="majorHAnsi"/>
                <w:sz w:val="16"/>
                <w:szCs w:val="16"/>
              </w:rPr>
            </w:pPr>
            <w:r>
              <w:rPr>
                <w:rFonts w:asciiTheme="majorHAnsi" w:hAnsiTheme="majorHAnsi" w:cstheme="majorHAnsi"/>
                <w:sz w:val="16"/>
                <w:szCs w:val="16"/>
                <w:lang w:val="en-GB"/>
              </w:rPr>
              <w:t>5 MHz</w:t>
            </w:r>
          </w:p>
        </w:tc>
        <w:tc>
          <w:tcPr>
            <w:tcW w:w="2673" w:type="dxa"/>
            <w:gridSpan w:val="6"/>
            <w:tcBorders>
              <w:top w:val="single" w:sz="4" w:space="0" w:color="auto"/>
              <w:left w:val="nil"/>
              <w:bottom w:val="single" w:sz="4" w:space="0" w:color="auto"/>
              <w:right w:val="single" w:sz="4" w:space="0" w:color="auto"/>
            </w:tcBorders>
            <w:vAlign w:val="center"/>
          </w:tcPr>
          <w:p w14:paraId="344FBAC6" w14:textId="3C0E4C4C" w:rsidR="00991707" w:rsidRPr="00391CF1" w:rsidRDefault="00991707" w:rsidP="007C2EAC">
            <w:pPr>
              <w:pStyle w:val="Tabletext"/>
              <w:jc w:val="center"/>
              <w:rPr>
                <w:rFonts w:asciiTheme="majorHAnsi" w:hAnsiTheme="majorHAnsi" w:cstheme="majorHAnsi"/>
                <w:sz w:val="16"/>
                <w:szCs w:val="16"/>
              </w:rPr>
            </w:pPr>
            <w:r>
              <w:rPr>
                <w:rFonts w:asciiTheme="majorHAnsi" w:hAnsiTheme="majorHAnsi" w:cstheme="majorHAnsi"/>
                <w:sz w:val="16"/>
                <w:szCs w:val="16"/>
                <w:lang w:val="en-GB"/>
              </w:rPr>
              <w:t>30 MHz (6x 5 MHz blocks)</w:t>
            </w:r>
          </w:p>
        </w:tc>
        <w:tc>
          <w:tcPr>
            <w:tcW w:w="893" w:type="dxa"/>
            <w:tcBorders>
              <w:top w:val="nil"/>
              <w:left w:val="nil"/>
              <w:bottom w:val="single" w:sz="4" w:space="0" w:color="auto"/>
              <w:right w:val="single" w:sz="4" w:space="0" w:color="auto"/>
            </w:tcBorders>
            <w:vAlign w:val="center"/>
          </w:tcPr>
          <w:p w14:paraId="71BCFCCB" w14:textId="77777777" w:rsidR="00991707" w:rsidRPr="00391CF1" w:rsidRDefault="00991707" w:rsidP="007C2EAC">
            <w:pPr>
              <w:pStyle w:val="Tabletext"/>
              <w:jc w:val="center"/>
              <w:rPr>
                <w:rFonts w:asciiTheme="majorHAnsi" w:hAnsiTheme="majorHAnsi" w:cstheme="majorHAnsi"/>
                <w:sz w:val="16"/>
                <w:szCs w:val="16"/>
              </w:rPr>
            </w:pPr>
            <w:r>
              <w:rPr>
                <w:rFonts w:asciiTheme="majorHAnsi" w:hAnsiTheme="majorHAnsi" w:cstheme="majorHAnsi"/>
                <w:sz w:val="16"/>
                <w:szCs w:val="16"/>
                <w:lang w:val="en-GB"/>
              </w:rPr>
              <w:t>3 MHz</w:t>
            </w:r>
          </w:p>
        </w:tc>
        <w:tc>
          <w:tcPr>
            <w:tcW w:w="499" w:type="dxa"/>
            <w:tcBorders>
              <w:top w:val="single" w:sz="4" w:space="0" w:color="auto"/>
              <w:left w:val="nil"/>
              <w:bottom w:val="single" w:sz="4" w:space="0" w:color="auto"/>
              <w:right w:val="single" w:sz="4" w:space="0" w:color="auto"/>
            </w:tcBorders>
            <w:vAlign w:val="center"/>
          </w:tcPr>
          <w:p w14:paraId="7A3AE0CB" w14:textId="77777777" w:rsidR="00991707" w:rsidRPr="00723F7F" w:rsidRDefault="00991707" w:rsidP="007C2EAC">
            <w:pPr>
              <w:pStyle w:val="Tabletext"/>
              <w:jc w:val="center"/>
              <w:rPr>
                <w:sz w:val="16"/>
                <w:szCs w:val="16"/>
              </w:rPr>
            </w:pPr>
          </w:p>
        </w:tc>
        <w:tc>
          <w:tcPr>
            <w:tcW w:w="906" w:type="dxa"/>
            <w:tcBorders>
              <w:top w:val="single" w:sz="4" w:space="0" w:color="auto"/>
              <w:left w:val="nil"/>
              <w:bottom w:val="single" w:sz="4" w:space="0" w:color="auto"/>
              <w:right w:val="single" w:sz="4" w:space="0" w:color="auto"/>
            </w:tcBorders>
            <w:vAlign w:val="center"/>
          </w:tcPr>
          <w:p w14:paraId="3FCEBF10" w14:textId="77777777" w:rsidR="00991707" w:rsidRPr="00391CF1" w:rsidRDefault="00991707" w:rsidP="007C2EAC">
            <w:pPr>
              <w:pStyle w:val="Tabletext"/>
              <w:jc w:val="center"/>
              <w:rPr>
                <w:rFonts w:asciiTheme="majorHAnsi" w:hAnsiTheme="majorHAnsi" w:cstheme="majorHAnsi"/>
                <w:sz w:val="16"/>
                <w:szCs w:val="16"/>
              </w:rPr>
            </w:pPr>
            <w:r>
              <w:rPr>
                <w:rFonts w:asciiTheme="majorHAnsi" w:hAnsiTheme="majorHAnsi" w:cstheme="majorHAnsi"/>
                <w:sz w:val="16"/>
                <w:szCs w:val="16"/>
                <w:lang w:val="en-GB"/>
              </w:rPr>
              <w:t>5 MHz</w:t>
            </w:r>
          </w:p>
        </w:tc>
        <w:tc>
          <w:tcPr>
            <w:tcW w:w="2670" w:type="dxa"/>
            <w:gridSpan w:val="6"/>
            <w:tcBorders>
              <w:top w:val="single" w:sz="4" w:space="0" w:color="auto"/>
              <w:left w:val="nil"/>
              <w:bottom w:val="single" w:sz="4" w:space="0" w:color="auto"/>
              <w:right w:val="single" w:sz="4" w:space="0" w:color="auto"/>
            </w:tcBorders>
            <w:vAlign w:val="center"/>
          </w:tcPr>
          <w:p w14:paraId="79849144" w14:textId="6A38C575" w:rsidR="00991707" w:rsidRPr="00391CF1" w:rsidRDefault="00991707" w:rsidP="00991707">
            <w:pPr>
              <w:pStyle w:val="Tabletext"/>
              <w:jc w:val="center"/>
              <w:rPr>
                <w:rFonts w:asciiTheme="majorHAnsi" w:hAnsiTheme="majorHAnsi" w:cstheme="majorHAnsi"/>
                <w:sz w:val="16"/>
                <w:szCs w:val="16"/>
              </w:rPr>
            </w:pPr>
            <w:r>
              <w:rPr>
                <w:rFonts w:asciiTheme="majorHAnsi" w:hAnsiTheme="majorHAnsi" w:cstheme="majorHAnsi"/>
                <w:sz w:val="16"/>
                <w:szCs w:val="16"/>
                <w:lang w:val="en-GB"/>
              </w:rPr>
              <w:t>30 MHz (6x 5 MHz blocks)</w:t>
            </w:r>
          </w:p>
        </w:tc>
        <w:tc>
          <w:tcPr>
            <w:tcW w:w="1028" w:type="dxa"/>
            <w:tcBorders>
              <w:top w:val="single" w:sz="4" w:space="0" w:color="auto"/>
              <w:left w:val="nil"/>
              <w:bottom w:val="single" w:sz="4" w:space="0" w:color="auto"/>
              <w:right w:val="single" w:sz="4" w:space="0" w:color="auto"/>
            </w:tcBorders>
            <w:vAlign w:val="center"/>
          </w:tcPr>
          <w:p w14:paraId="6DC5D057" w14:textId="77777777" w:rsidR="00991707" w:rsidRPr="00391CF1" w:rsidRDefault="00991707" w:rsidP="007C2EAC">
            <w:pPr>
              <w:pStyle w:val="Tabletext"/>
              <w:jc w:val="center"/>
              <w:rPr>
                <w:rFonts w:asciiTheme="majorHAnsi" w:hAnsiTheme="majorHAnsi" w:cstheme="majorHAnsi"/>
                <w:sz w:val="16"/>
                <w:szCs w:val="16"/>
              </w:rPr>
            </w:pPr>
            <w:r>
              <w:rPr>
                <w:rFonts w:asciiTheme="majorHAnsi" w:hAnsiTheme="majorHAnsi" w:cstheme="majorHAnsi"/>
                <w:sz w:val="16"/>
                <w:szCs w:val="16"/>
                <w:lang w:val="en-GB"/>
              </w:rPr>
              <w:t>3 MHz</w:t>
            </w:r>
          </w:p>
        </w:tc>
      </w:tr>
    </w:tbl>
    <w:p w14:paraId="03F9C4F6" w14:textId="6551CDD5" w:rsidR="00991707" w:rsidRDefault="009C7F65" w:rsidP="00723F7F">
      <w:pPr>
        <w:pStyle w:val="Kpalrs"/>
        <w:jc w:val="center"/>
      </w:pPr>
      <w:r>
        <w:rPr>
          <w:lang w:val="en-GB"/>
        </w:rPr>
        <w:t>Table 3.1.1.b: Detailed PPDR channel arrangements</w:t>
      </w:r>
    </w:p>
    <w:p w14:paraId="63CA02F6" w14:textId="743FA61A" w:rsidR="00991707" w:rsidRPr="00991707" w:rsidRDefault="00991707" w:rsidP="00723F7F">
      <w:pPr>
        <w:pStyle w:val="Kpalrs"/>
        <w:jc w:val="center"/>
      </w:pPr>
    </w:p>
    <w:p w14:paraId="770B27A8" w14:textId="2E6D6460" w:rsidR="00394C3C" w:rsidRDefault="00394C3C" w:rsidP="00394C3C">
      <w:pPr>
        <w:pStyle w:val="Behzottbekezdsnmhh"/>
      </w:pPr>
      <w:r w:rsidRPr="00CB66DF">
        <w:rPr>
          <w:lang w:val="en-GB"/>
        </w:rPr>
        <w:t xml:space="preserve">For ITU Region 1, a decision reflecting the position of the European Union was taken at the WRC-15 conference on the remaining 470-694 MHz frequency band for broadcasting. Accordingly, no changes to the Radio Regulations affecting this frequency band are expected before the WRC-23 conference, so the </w:t>
      </w:r>
      <w:r w:rsidR="00D26E9F" w:rsidRPr="00CB66DF">
        <w:rPr>
          <w:lang w:val="en-GB"/>
        </w:rPr>
        <w:t xml:space="preserve">frequency band below </w:t>
      </w:r>
      <w:r w:rsidRPr="00CB66DF">
        <w:rPr>
          <w:lang w:val="en-GB"/>
        </w:rPr>
        <w:t>694 MHz will continue to be allocated primarily for broadcasting. WRC-15 decided to postpone the review of the use of the 470-694 MHz frequency band for IMT until the World Radiocommunication Conference in 2023 (WRC-23).</w:t>
      </w:r>
    </w:p>
    <w:p w14:paraId="4EEDC0E1" w14:textId="77777777" w:rsidR="00185310" w:rsidRDefault="00185310" w:rsidP="00394C3C">
      <w:pPr>
        <w:pStyle w:val="Behzottbekezdsnmhh"/>
      </w:pPr>
    </w:p>
    <w:p w14:paraId="01FD51A5" w14:textId="77777777" w:rsidR="001E50C0" w:rsidRDefault="001E50C0" w:rsidP="001E50C0">
      <w:pPr>
        <w:pStyle w:val="Cmsor3szmozottnmhh"/>
      </w:pPr>
      <w:bookmarkStart w:id="11" w:name="_Toc98750386"/>
      <w:r>
        <w:rPr>
          <w:bCs/>
          <w:lang w:val="en-GB"/>
        </w:rPr>
        <w:t>CEPT</w:t>
      </w:r>
      <w:bookmarkEnd w:id="10"/>
      <w:bookmarkEnd w:id="11"/>
    </w:p>
    <w:p w14:paraId="228DC3E6" w14:textId="54C53629" w:rsidR="00883FBF" w:rsidRDefault="00E92416" w:rsidP="00A65A32">
      <w:pPr>
        <w:pStyle w:val="Behzottbekezdsnmhh"/>
      </w:pPr>
      <w:r>
        <w:rPr>
          <w:lang w:val="en-GB"/>
        </w:rPr>
        <w:t>Two reports have been developed within CEPT on the basis of the studies carried out in the context of the European Commission’s mandate</w:t>
      </w:r>
      <w:r>
        <w:rPr>
          <w:vertAlign w:val="superscript"/>
          <w:lang w:val="en-GB"/>
        </w:rPr>
        <w:footnoteReference w:id="31"/>
      </w:r>
      <w:r>
        <w:rPr>
          <w:lang w:val="en-GB"/>
        </w:rPr>
        <w:t>:</w:t>
      </w:r>
    </w:p>
    <w:p w14:paraId="33A11B95" w14:textId="2CBBAB45" w:rsidR="00B63FBC" w:rsidRDefault="00A65A32" w:rsidP="00723F7F">
      <w:pPr>
        <w:pStyle w:val="Behzottbekezdsnmhh"/>
        <w:numPr>
          <w:ilvl w:val="0"/>
          <w:numId w:val="24"/>
        </w:numPr>
      </w:pPr>
      <w:r>
        <w:rPr>
          <w:lang w:val="en-GB"/>
        </w:rPr>
        <w:t>CEPT Report 53</w:t>
      </w:r>
      <w:r>
        <w:rPr>
          <w:vertAlign w:val="superscript"/>
          <w:lang w:val="en-GB"/>
        </w:rPr>
        <w:footnoteReference w:id="32"/>
      </w:r>
      <w:r>
        <w:rPr>
          <w:lang w:val="en-GB"/>
        </w:rPr>
        <w:t xml:space="preserve"> (Report A): CEPT Report A to the European Commission in response to the mandate “To develop harmonised technical conditions for the 694-790 MHz frequency band in the EU for the provision of wireless broadband and other uses in support of EU spectrum policy objectives” (28 November 2014) </w:t>
      </w:r>
    </w:p>
    <w:p w14:paraId="46ABF27A" w14:textId="36A650E1" w:rsidR="00B63FBC" w:rsidRDefault="00FA33C1" w:rsidP="00723F7F">
      <w:pPr>
        <w:pStyle w:val="Behzottbekezdsnmhh"/>
        <w:numPr>
          <w:ilvl w:val="0"/>
          <w:numId w:val="24"/>
        </w:numPr>
      </w:pPr>
      <w:r>
        <w:rPr>
          <w:lang w:val="en-GB"/>
        </w:rPr>
        <w:t>CEPT Report 60</w:t>
      </w:r>
      <w:r>
        <w:rPr>
          <w:vertAlign w:val="superscript"/>
          <w:lang w:val="en-GB"/>
        </w:rPr>
        <w:footnoteReference w:id="33"/>
      </w:r>
      <w:r>
        <w:rPr>
          <w:lang w:val="en-GB"/>
        </w:rPr>
        <w:t xml:space="preserve"> – (Report B): CEPT Report B to the European Commission in response to the mandate “To develop harmonised technical conditions for the 694-790 MHz frequency band in the EU for the provision of wireless broadband and other uses in support of EU spectrum policy objectives” (1 March 2016) </w:t>
      </w:r>
    </w:p>
    <w:p w14:paraId="4D8219DF" w14:textId="2969E7D8" w:rsidR="00A65A32" w:rsidRDefault="00166901" w:rsidP="00A65A32">
      <w:pPr>
        <w:pStyle w:val="Behzottbekezdsnmhh"/>
      </w:pPr>
      <w:r>
        <w:rPr>
          <w:lang w:val="en-GB"/>
        </w:rPr>
        <w:t xml:space="preserve">These CEPT reports provide the basis for harmonised technical conditions for the use of the 700 MHz frequency band by wireless broadband electronic communications services and also study the technical conditions for the use of PMSE devices in the 700 MHz </w:t>
      </w:r>
      <w:r w:rsidR="001D115B" w:rsidRPr="001D115B">
        <w:rPr>
          <w:lang w:val="en-GB"/>
        </w:rPr>
        <w:t xml:space="preserve">frequency </w:t>
      </w:r>
      <w:r>
        <w:rPr>
          <w:lang w:val="en-GB"/>
        </w:rPr>
        <w:t>band and below 694 MHz.</w:t>
      </w:r>
    </w:p>
    <w:p w14:paraId="13275AE7" w14:textId="11BEE767" w:rsidR="00915776" w:rsidRPr="00915776" w:rsidRDefault="00A65A32" w:rsidP="00A65A32">
      <w:pPr>
        <w:pStyle w:val="Behzottbekezdsnmhh"/>
      </w:pPr>
      <w:r>
        <w:rPr>
          <w:lang w:val="en-GB"/>
        </w:rPr>
        <w:t>Additional CEPT documents on the use of the 700 MHz frequency band for MFCN have been adopted with the approval of ECC</w:t>
      </w:r>
      <w:r>
        <w:rPr>
          <w:vertAlign w:val="superscript"/>
          <w:lang w:val="en-GB"/>
        </w:rPr>
        <w:footnoteReference w:id="34"/>
      </w:r>
      <w:r>
        <w:rPr>
          <w:lang w:val="en-GB"/>
        </w:rPr>
        <w:t>:</w:t>
      </w:r>
    </w:p>
    <w:p w14:paraId="67D7100E" w14:textId="35B09536" w:rsidR="00915776" w:rsidRPr="001F173A" w:rsidRDefault="00915776" w:rsidP="001E2064">
      <w:pPr>
        <w:pStyle w:val="Listaszerbekezds"/>
        <w:numPr>
          <w:ilvl w:val="0"/>
          <w:numId w:val="8"/>
        </w:numPr>
        <w:ind w:left="714" w:hanging="357"/>
        <w:contextualSpacing w:val="0"/>
        <w:rPr>
          <w:sz w:val="20"/>
          <w:szCs w:val="20"/>
        </w:rPr>
      </w:pPr>
      <w:bookmarkStart w:id="12" w:name="_Toc442791682"/>
      <w:bookmarkStart w:id="13" w:name="_Toc441837710"/>
      <w:r>
        <w:rPr>
          <w:sz w:val="20"/>
          <w:szCs w:val="20"/>
          <w:lang w:val="en-GB"/>
        </w:rPr>
        <w:t>Decision ECC/DEC/15(01)</w:t>
      </w:r>
      <w:r>
        <w:rPr>
          <w:sz w:val="20"/>
          <w:szCs w:val="20"/>
          <w:vertAlign w:val="superscript"/>
          <w:lang w:val="en-GB"/>
        </w:rPr>
        <w:footnoteReference w:id="35"/>
      </w:r>
      <w:r>
        <w:rPr>
          <w:sz w:val="20"/>
          <w:szCs w:val="20"/>
          <w:lang w:val="en-GB"/>
        </w:rPr>
        <w:t xml:space="preserve"> contains the harmonised technical conditions for the use of the 700 MHz band for MFCN purposes, such as the recommended channel arrangement of the 700 </w:t>
      </w:r>
      <w:r>
        <w:rPr>
          <w:sz w:val="20"/>
          <w:szCs w:val="20"/>
          <w:lang w:val="en-GB"/>
        </w:rPr>
        <w:lastRenderedPageBreak/>
        <w:t xml:space="preserve">MHz band and the maximum </w:t>
      </w:r>
      <w:r w:rsidR="001D115B">
        <w:rPr>
          <w:sz w:val="20"/>
          <w:szCs w:val="20"/>
          <w:lang w:val="en-GB"/>
        </w:rPr>
        <w:t xml:space="preserve">radiated </w:t>
      </w:r>
      <w:r>
        <w:rPr>
          <w:sz w:val="20"/>
          <w:szCs w:val="20"/>
          <w:lang w:val="en-GB"/>
        </w:rPr>
        <w:t>power levels to ensure the coexistence of different radio services;</w:t>
      </w:r>
      <w:bookmarkEnd w:id="12"/>
    </w:p>
    <w:p w14:paraId="408FD582" w14:textId="77777777" w:rsidR="00915776" w:rsidRDefault="00EE2091" w:rsidP="001E2064">
      <w:pPr>
        <w:pStyle w:val="Listaszerbekezds"/>
        <w:numPr>
          <w:ilvl w:val="0"/>
          <w:numId w:val="8"/>
        </w:numPr>
        <w:ind w:left="714" w:hanging="357"/>
        <w:contextualSpacing w:val="0"/>
        <w:rPr>
          <w:sz w:val="20"/>
          <w:szCs w:val="20"/>
        </w:rPr>
      </w:pPr>
      <w:bookmarkStart w:id="14" w:name="_Toc442791683"/>
      <w:r>
        <w:rPr>
          <w:sz w:val="20"/>
          <w:szCs w:val="20"/>
          <w:lang w:val="en-GB"/>
        </w:rPr>
        <w:t>ECC Report 199</w:t>
      </w:r>
      <w:r>
        <w:rPr>
          <w:sz w:val="20"/>
          <w:szCs w:val="20"/>
          <w:vertAlign w:val="superscript"/>
          <w:lang w:val="en-GB"/>
        </w:rPr>
        <w:footnoteReference w:id="36"/>
      </w:r>
      <w:r>
        <w:rPr>
          <w:sz w:val="20"/>
          <w:szCs w:val="20"/>
          <w:lang w:val="en-GB"/>
        </w:rPr>
        <w:t xml:space="preserve"> contains a study of the spectrum need for broadband PPDR (BB-PPDR) systems, taking into account the different user requirements. Accordingly, the minimum spectrum need for nationwide BB-PPDR networks (BB-PPDR WAN</w:t>
      </w:r>
      <w:r>
        <w:rPr>
          <w:sz w:val="20"/>
          <w:szCs w:val="20"/>
          <w:vertAlign w:val="superscript"/>
          <w:lang w:val="en-GB"/>
        </w:rPr>
        <w:footnoteReference w:id="37"/>
      </w:r>
      <w:r>
        <w:rPr>
          <w:sz w:val="20"/>
          <w:szCs w:val="20"/>
          <w:lang w:val="en-GB"/>
        </w:rPr>
        <w:t xml:space="preserve">) is 2x10 MHz, which can be met in part or in full in the 700 MHz band, depending on national decisions; </w:t>
      </w:r>
      <w:bookmarkEnd w:id="13"/>
      <w:bookmarkEnd w:id="14"/>
    </w:p>
    <w:p w14:paraId="68FEAFB2" w14:textId="52590664" w:rsidR="00F5233D" w:rsidRPr="00F5233D" w:rsidRDefault="00F5233D" w:rsidP="001E2064">
      <w:pPr>
        <w:pStyle w:val="Listaszerbekezds"/>
        <w:numPr>
          <w:ilvl w:val="0"/>
          <w:numId w:val="8"/>
        </w:numPr>
        <w:contextualSpacing w:val="0"/>
        <w:rPr>
          <w:sz w:val="20"/>
          <w:szCs w:val="20"/>
        </w:rPr>
      </w:pPr>
      <w:r>
        <w:rPr>
          <w:sz w:val="20"/>
          <w:szCs w:val="20"/>
          <w:lang w:val="en-GB"/>
        </w:rPr>
        <w:t>ECC Report 218</w:t>
      </w:r>
      <w:r>
        <w:rPr>
          <w:sz w:val="20"/>
          <w:szCs w:val="20"/>
          <w:vertAlign w:val="superscript"/>
          <w:lang w:val="en-GB"/>
        </w:rPr>
        <w:footnoteReference w:id="38"/>
      </w:r>
      <w:r>
        <w:rPr>
          <w:sz w:val="20"/>
          <w:szCs w:val="20"/>
          <w:lang w:val="en-GB"/>
        </w:rPr>
        <w:t xml:space="preserve"> contains the frequency band options that can be </w:t>
      </w:r>
      <w:r w:rsidR="00554DE0">
        <w:rPr>
          <w:sz w:val="20"/>
          <w:szCs w:val="20"/>
          <w:lang w:val="en-GB"/>
        </w:rPr>
        <w:t xml:space="preserve">designated </w:t>
      </w:r>
      <w:r>
        <w:rPr>
          <w:sz w:val="20"/>
          <w:szCs w:val="20"/>
          <w:lang w:val="en-GB"/>
        </w:rPr>
        <w:t>to BB-PPDR and the harmonised technical conditions for the 700 MHz and 400 MHz bands;</w:t>
      </w:r>
    </w:p>
    <w:p w14:paraId="0DA726D8" w14:textId="77777777" w:rsidR="00657448" w:rsidRPr="008E6B8C" w:rsidRDefault="00657448" w:rsidP="001E2064">
      <w:pPr>
        <w:pStyle w:val="Listaszerbekezds"/>
        <w:numPr>
          <w:ilvl w:val="0"/>
          <w:numId w:val="8"/>
        </w:numPr>
        <w:contextualSpacing w:val="0"/>
        <w:rPr>
          <w:sz w:val="20"/>
          <w:szCs w:val="20"/>
        </w:rPr>
      </w:pPr>
      <w:r>
        <w:rPr>
          <w:sz w:val="20"/>
          <w:szCs w:val="20"/>
          <w:lang w:val="en-GB"/>
        </w:rPr>
        <w:t>ECC Report 239</w:t>
      </w:r>
      <w:r>
        <w:rPr>
          <w:sz w:val="20"/>
          <w:szCs w:val="20"/>
          <w:vertAlign w:val="superscript"/>
          <w:lang w:val="en-GB"/>
        </w:rPr>
        <w:footnoteReference w:id="39"/>
      </w:r>
      <w:r>
        <w:rPr>
          <w:sz w:val="20"/>
          <w:szCs w:val="20"/>
          <w:lang w:val="en-GB"/>
        </w:rPr>
        <w:t xml:space="preserve"> contains compatibility studies for broadband PPDR (BB-PPDR) in the 700 MHz band; </w:t>
      </w:r>
    </w:p>
    <w:p w14:paraId="6089E483" w14:textId="3C5718FF" w:rsidR="002F01C8" w:rsidRPr="001C5208" w:rsidRDefault="002F01C8" w:rsidP="001E2064">
      <w:pPr>
        <w:pStyle w:val="Listaszerbekezds"/>
        <w:numPr>
          <w:ilvl w:val="0"/>
          <w:numId w:val="8"/>
        </w:numPr>
        <w:ind w:left="714" w:hanging="357"/>
        <w:contextualSpacing w:val="0"/>
        <w:rPr>
          <w:sz w:val="20"/>
          <w:szCs w:val="20"/>
        </w:rPr>
      </w:pPr>
      <w:r>
        <w:rPr>
          <w:sz w:val="20"/>
          <w:szCs w:val="20"/>
          <w:lang w:val="en-GB"/>
        </w:rPr>
        <w:t>Decision ECC/</w:t>
      </w:r>
      <w:r w:rsidR="00554DE0">
        <w:rPr>
          <w:sz w:val="20"/>
          <w:szCs w:val="20"/>
          <w:lang w:val="en-GB"/>
        </w:rPr>
        <w:t>D</w:t>
      </w:r>
      <w:r>
        <w:rPr>
          <w:sz w:val="20"/>
          <w:szCs w:val="20"/>
          <w:lang w:val="en-GB"/>
        </w:rPr>
        <w:t>EC/16(02)</w:t>
      </w:r>
      <w:r>
        <w:rPr>
          <w:sz w:val="20"/>
          <w:szCs w:val="20"/>
          <w:vertAlign w:val="superscript"/>
          <w:lang w:val="en-GB"/>
        </w:rPr>
        <w:footnoteReference w:id="40"/>
      </w:r>
      <w:r>
        <w:rPr>
          <w:sz w:val="20"/>
          <w:szCs w:val="20"/>
          <w:lang w:val="en-GB"/>
        </w:rPr>
        <w:t xml:space="preserve"> contains the harmonised technical conditions and frequency bands (in the 700 MHz and 450 MHz bands) for the use of BB-PPDR; </w:t>
      </w:r>
    </w:p>
    <w:p w14:paraId="251070B3" w14:textId="77777777" w:rsidR="00B81BDE" w:rsidRDefault="006E5791" w:rsidP="001E2064">
      <w:pPr>
        <w:pStyle w:val="Listaszerbekezds"/>
        <w:numPr>
          <w:ilvl w:val="0"/>
          <w:numId w:val="8"/>
        </w:numPr>
        <w:contextualSpacing w:val="0"/>
        <w:rPr>
          <w:sz w:val="20"/>
          <w:szCs w:val="20"/>
        </w:rPr>
      </w:pPr>
      <w:r>
        <w:rPr>
          <w:sz w:val="20"/>
          <w:szCs w:val="20"/>
          <w:lang w:val="en-GB"/>
        </w:rPr>
        <w:t>ECC Report 242</w:t>
      </w:r>
      <w:r>
        <w:rPr>
          <w:sz w:val="20"/>
          <w:szCs w:val="20"/>
          <w:vertAlign w:val="superscript"/>
          <w:lang w:val="en-GB"/>
        </w:rPr>
        <w:footnoteReference w:id="41"/>
      </w:r>
      <w:r>
        <w:rPr>
          <w:sz w:val="20"/>
          <w:szCs w:val="20"/>
          <w:lang w:val="en-GB"/>
        </w:rPr>
        <w:t xml:space="preserve"> contains compatibility studies and technical conditions for band sharing for M2M applications in the 733-736 MHz/788-791 MHz band;</w:t>
      </w:r>
    </w:p>
    <w:p w14:paraId="02C04737" w14:textId="7466D356" w:rsidR="00B81BDE" w:rsidRPr="00E004EB" w:rsidRDefault="00B81BDE" w:rsidP="00B81BDE">
      <w:pPr>
        <w:pStyle w:val="Listaszerbekezds"/>
        <w:numPr>
          <w:ilvl w:val="0"/>
          <w:numId w:val="8"/>
        </w:numPr>
        <w:ind w:left="714" w:hanging="357"/>
        <w:contextualSpacing w:val="0"/>
        <w:rPr>
          <w:sz w:val="20"/>
          <w:szCs w:val="20"/>
        </w:rPr>
      </w:pPr>
      <w:r>
        <w:rPr>
          <w:sz w:val="20"/>
          <w:szCs w:val="20"/>
          <w:lang w:val="en-GB"/>
        </w:rPr>
        <w:t>ECC Report 266</w:t>
      </w:r>
      <w:r>
        <w:rPr>
          <w:sz w:val="20"/>
          <w:szCs w:val="20"/>
          <w:vertAlign w:val="superscript"/>
          <w:lang w:val="en-GB"/>
        </w:rPr>
        <w:footnoteReference w:id="42"/>
      </w:r>
      <w:r>
        <w:rPr>
          <w:sz w:val="20"/>
          <w:szCs w:val="20"/>
          <w:lang w:val="en-GB"/>
        </w:rPr>
        <w:t xml:space="preserve"> studies the feasibility of M2M applications based on narrowband and </w:t>
      </w:r>
      <w:r w:rsidR="009A6AFC">
        <w:rPr>
          <w:sz w:val="20"/>
          <w:szCs w:val="20"/>
          <w:lang w:val="en-GB"/>
        </w:rPr>
        <w:t xml:space="preserve">wideband </w:t>
      </w:r>
      <w:r>
        <w:rPr>
          <w:sz w:val="20"/>
          <w:szCs w:val="20"/>
          <w:lang w:val="en-GB"/>
        </w:rPr>
        <w:t>cellular systems in the harmonised MFCN bands, including the 700 MHz band, under the technical regulatory conditions adopted for MFCN in these bands. In the 700 MHz band, LTE MTC and eMTC, as well as NB-IoT can be introduced within MFCN systems;</w:t>
      </w:r>
    </w:p>
    <w:p w14:paraId="2578C7B3" w14:textId="77777777" w:rsidR="001C5208" w:rsidRPr="001C5208" w:rsidRDefault="001C5208" w:rsidP="001E2064">
      <w:pPr>
        <w:pStyle w:val="Listaszerbekezds"/>
        <w:numPr>
          <w:ilvl w:val="0"/>
          <w:numId w:val="8"/>
        </w:numPr>
        <w:contextualSpacing w:val="0"/>
        <w:rPr>
          <w:sz w:val="20"/>
          <w:szCs w:val="20"/>
        </w:rPr>
      </w:pPr>
      <w:r>
        <w:rPr>
          <w:sz w:val="20"/>
          <w:szCs w:val="20"/>
          <w:lang w:val="en-GB"/>
        </w:rPr>
        <w:t>ECC Report 221</w:t>
      </w:r>
      <w:r>
        <w:rPr>
          <w:sz w:val="20"/>
          <w:szCs w:val="20"/>
          <w:vertAlign w:val="superscript"/>
          <w:lang w:val="en-GB"/>
        </w:rPr>
        <w:footnoteReference w:id="43"/>
      </w:r>
      <w:r>
        <w:rPr>
          <w:sz w:val="20"/>
          <w:szCs w:val="20"/>
          <w:lang w:val="en-GB"/>
        </w:rPr>
        <w:t xml:space="preserve"> contains compatibility studies between PMSE and MFCN operating in adjacent bands;</w:t>
      </w:r>
    </w:p>
    <w:p w14:paraId="2591D2C8" w14:textId="77777777" w:rsidR="006A0915" w:rsidRPr="00A663FF" w:rsidRDefault="00EE2091" w:rsidP="001E2064">
      <w:pPr>
        <w:pStyle w:val="Behzottbekezdsnmhh"/>
        <w:numPr>
          <w:ilvl w:val="0"/>
          <w:numId w:val="8"/>
        </w:numPr>
      </w:pPr>
      <w:r>
        <w:rPr>
          <w:lang w:val="en-GB"/>
        </w:rPr>
        <w:t>Recommendation ECC/REC/(15)01</w:t>
      </w:r>
      <w:r>
        <w:rPr>
          <w:vertAlign w:val="superscript"/>
          <w:lang w:val="en-GB"/>
        </w:rPr>
        <w:footnoteReference w:id="44"/>
      </w:r>
      <w:r>
        <w:rPr>
          <w:lang w:val="en-GB"/>
        </w:rPr>
        <w:t xml:space="preserve"> contains coordination requirements for MFCN systems operating in the 700 MHz band (and in the 1452-1492 MHz and 3400-3800 MHz bands);</w:t>
      </w:r>
    </w:p>
    <w:p w14:paraId="66500856" w14:textId="77777777" w:rsidR="00B81BDE" w:rsidRDefault="00EE2091" w:rsidP="001E2064">
      <w:pPr>
        <w:pStyle w:val="Listaszerbekezds"/>
        <w:numPr>
          <w:ilvl w:val="0"/>
          <w:numId w:val="8"/>
        </w:numPr>
        <w:ind w:left="714" w:hanging="357"/>
        <w:contextualSpacing w:val="0"/>
        <w:rPr>
          <w:sz w:val="20"/>
          <w:szCs w:val="20"/>
        </w:rPr>
      </w:pPr>
      <w:r>
        <w:rPr>
          <w:sz w:val="20"/>
          <w:szCs w:val="20"/>
          <w:lang w:val="en-GB"/>
        </w:rPr>
        <w:t>Recommendation ECC/REC/(16)03</w:t>
      </w:r>
      <w:r>
        <w:rPr>
          <w:sz w:val="20"/>
          <w:szCs w:val="20"/>
          <w:vertAlign w:val="superscript"/>
          <w:lang w:val="en-GB"/>
        </w:rPr>
        <w:footnoteReference w:id="45"/>
      </w:r>
      <w:r>
        <w:rPr>
          <w:sz w:val="20"/>
          <w:szCs w:val="20"/>
          <w:lang w:val="en-GB"/>
        </w:rPr>
        <w:t xml:space="preserve"> contains coordination requirements for PPDR systems.</w:t>
      </w:r>
    </w:p>
    <w:p w14:paraId="275CC899" w14:textId="27C68F3E" w:rsidR="00F36014" w:rsidRDefault="00F36014" w:rsidP="00F36014">
      <w:pPr>
        <w:pStyle w:val="Behzottbekezdsnmhh"/>
      </w:pPr>
      <w:r>
        <w:rPr>
          <w:lang w:val="en-GB"/>
        </w:rPr>
        <w:t xml:space="preserve">The CEPT regulation adopted for the 700 MHz band provides for flexible harmonisation, allowing in the 694-790 MHz band, in addition to a harmonised MFCN FDD frequency arrangement, and adapted </w:t>
      </w:r>
      <w:r>
        <w:rPr>
          <w:lang w:val="en-GB"/>
        </w:rPr>
        <w:lastRenderedPageBreak/>
        <w:t>to national needs, some segments of the guard band and/or duplex gap for supplemental downlink MFCN use (MFCN SDL), as well as for PMSE, PPDR or M2M applications.</w:t>
      </w:r>
    </w:p>
    <w:p w14:paraId="2D886B00" w14:textId="5D918ED9" w:rsidR="00F36014" w:rsidRDefault="00F36014" w:rsidP="00F36014">
      <w:pPr>
        <w:pStyle w:val="Behzottbekezdsnmhh"/>
      </w:pPr>
      <w:r>
        <w:rPr>
          <w:lang w:val="en-GB"/>
        </w:rPr>
        <w:t>The harmonised frequency arrangement for MFCN</w:t>
      </w:r>
      <w:r>
        <w:rPr>
          <w:b/>
          <w:bCs/>
          <w:lang w:val="en-GB"/>
        </w:rPr>
        <w:t xml:space="preserve"> </w:t>
      </w:r>
      <w:r>
        <w:rPr>
          <w:lang w:val="en-GB"/>
        </w:rPr>
        <w:t xml:space="preserve">and the harmonised technical conditions for MFCN use are contained in Decision ECC/DEC/15(01). </w:t>
      </w:r>
    </w:p>
    <w:p w14:paraId="657DBB89" w14:textId="077200E3" w:rsidR="00F36014" w:rsidRDefault="00F36014" w:rsidP="00F36014">
      <w:pPr>
        <w:pStyle w:val="Behzottbekezdsnmhh"/>
      </w:pPr>
    </w:p>
    <w:tbl>
      <w:tblPr>
        <w:tblW w:w="9773" w:type="dxa"/>
        <w:tblInd w:w="55" w:type="dxa"/>
        <w:tblLayout w:type="fixed"/>
        <w:tblCellMar>
          <w:left w:w="70" w:type="dxa"/>
          <w:right w:w="70" w:type="dxa"/>
        </w:tblCellMar>
        <w:tblLook w:val="0000" w:firstRow="0" w:lastRow="0" w:firstColumn="0" w:lastColumn="0" w:noHBand="0" w:noVBand="0"/>
      </w:tblPr>
      <w:tblGrid>
        <w:gridCol w:w="514"/>
        <w:gridCol w:w="514"/>
        <w:gridCol w:w="514"/>
        <w:gridCol w:w="514"/>
        <w:gridCol w:w="514"/>
        <w:gridCol w:w="514"/>
        <w:gridCol w:w="516"/>
        <w:gridCol w:w="514"/>
        <w:gridCol w:w="514"/>
        <w:gridCol w:w="514"/>
        <w:gridCol w:w="514"/>
        <w:gridCol w:w="515"/>
        <w:gridCol w:w="514"/>
        <w:gridCol w:w="514"/>
        <w:gridCol w:w="514"/>
        <w:gridCol w:w="514"/>
        <w:gridCol w:w="514"/>
        <w:gridCol w:w="516"/>
        <w:gridCol w:w="516"/>
      </w:tblGrid>
      <w:tr w:rsidR="00093654" w:rsidRPr="00093654" w14:paraId="030BEC7A" w14:textId="77777777" w:rsidTr="00397EB3">
        <w:trPr>
          <w:trHeight w:val="610"/>
        </w:trPr>
        <w:tc>
          <w:tcPr>
            <w:tcW w:w="514" w:type="dxa"/>
            <w:tcBorders>
              <w:top w:val="single" w:sz="4" w:space="0" w:color="auto"/>
              <w:left w:val="single" w:sz="4" w:space="0" w:color="auto"/>
              <w:bottom w:val="single" w:sz="4" w:space="0" w:color="auto"/>
              <w:right w:val="single" w:sz="4" w:space="0" w:color="auto"/>
            </w:tcBorders>
            <w:vAlign w:val="bottom"/>
          </w:tcPr>
          <w:p w14:paraId="3E5AAF87" w14:textId="77777777" w:rsidR="00093654" w:rsidRPr="00093654" w:rsidRDefault="00093654" w:rsidP="00093654">
            <w:pPr>
              <w:spacing w:after="0" w:line="240" w:lineRule="auto"/>
              <w:jc w:val="left"/>
              <w:rPr>
                <w:rFonts w:ascii="Calibri" w:eastAsia="Times New Roman" w:hAnsi="Calibri" w:cs="Times New Roman"/>
                <w:color w:val="000000"/>
                <w:sz w:val="18"/>
                <w:szCs w:val="24"/>
                <w:lang w:val="en-GB"/>
              </w:rPr>
            </w:pPr>
            <w:r w:rsidRPr="00093654">
              <w:rPr>
                <w:rFonts w:ascii="Calibri" w:eastAsia="Times New Roman" w:hAnsi="Calibri" w:cs="Times New Roman"/>
                <w:color w:val="000000"/>
                <w:sz w:val="18"/>
                <w:szCs w:val="24"/>
                <w:lang w:val="en-GB"/>
              </w:rPr>
              <w:t>694-703</w:t>
            </w:r>
          </w:p>
        </w:tc>
        <w:tc>
          <w:tcPr>
            <w:tcW w:w="514" w:type="dxa"/>
            <w:tcBorders>
              <w:top w:val="single" w:sz="4" w:space="0" w:color="auto"/>
              <w:left w:val="nil"/>
              <w:bottom w:val="single" w:sz="4" w:space="0" w:color="auto"/>
              <w:right w:val="single" w:sz="4" w:space="0" w:color="auto"/>
            </w:tcBorders>
            <w:vAlign w:val="bottom"/>
          </w:tcPr>
          <w:p w14:paraId="380C95C0" w14:textId="77777777" w:rsidR="00093654" w:rsidRPr="00093654" w:rsidRDefault="00093654" w:rsidP="00093654">
            <w:pPr>
              <w:spacing w:after="0" w:line="240" w:lineRule="auto"/>
              <w:jc w:val="left"/>
              <w:rPr>
                <w:rFonts w:ascii="Calibri" w:eastAsia="Times New Roman" w:hAnsi="Calibri" w:cs="Times New Roman"/>
                <w:color w:val="000000"/>
                <w:sz w:val="18"/>
                <w:szCs w:val="24"/>
                <w:lang w:val="en-GB"/>
              </w:rPr>
            </w:pPr>
            <w:r w:rsidRPr="00093654">
              <w:rPr>
                <w:rFonts w:ascii="Calibri" w:eastAsia="Times New Roman" w:hAnsi="Calibri" w:cs="Times New Roman"/>
                <w:color w:val="000000"/>
                <w:sz w:val="18"/>
                <w:szCs w:val="24"/>
                <w:lang w:val="en-GB"/>
              </w:rPr>
              <w:t>703-708</w:t>
            </w:r>
          </w:p>
        </w:tc>
        <w:tc>
          <w:tcPr>
            <w:tcW w:w="514" w:type="dxa"/>
            <w:tcBorders>
              <w:top w:val="single" w:sz="4" w:space="0" w:color="auto"/>
              <w:left w:val="nil"/>
              <w:bottom w:val="single" w:sz="4" w:space="0" w:color="auto"/>
              <w:right w:val="single" w:sz="4" w:space="0" w:color="auto"/>
            </w:tcBorders>
            <w:vAlign w:val="bottom"/>
          </w:tcPr>
          <w:p w14:paraId="55D9BA12" w14:textId="77777777" w:rsidR="00093654" w:rsidRPr="00093654" w:rsidRDefault="00093654" w:rsidP="00093654">
            <w:pPr>
              <w:spacing w:after="0" w:line="240" w:lineRule="auto"/>
              <w:jc w:val="left"/>
              <w:rPr>
                <w:rFonts w:ascii="Calibri" w:eastAsia="Times New Roman" w:hAnsi="Calibri" w:cs="Times New Roman"/>
                <w:color w:val="000000"/>
                <w:sz w:val="18"/>
                <w:szCs w:val="24"/>
                <w:lang w:val="en-GB"/>
              </w:rPr>
            </w:pPr>
            <w:r w:rsidRPr="00093654">
              <w:rPr>
                <w:rFonts w:ascii="Calibri" w:eastAsia="Times New Roman" w:hAnsi="Calibri" w:cs="Times New Roman"/>
                <w:color w:val="000000"/>
                <w:sz w:val="18"/>
                <w:szCs w:val="24"/>
                <w:lang w:val="en-GB"/>
              </w:rPr>
              <w:t>708-713</w:t>
            </w:r>
          </w:p>
        </w:tc>
        <w:tc>
          <w:tcPr>
            <w:tcW w:w="514" w:type="dxa"/>
            <w:tcBorders>
              <w:top w:val="single" w:sz="4" w:space="0" w:color="auto"/>
              <w:left w:val="nil"/>
              <w:bottom w:val="single" w:sz="4" w:space="0" w:color="auto"/>
              <w:right w:val="single" w:sz="4" w:space="0" w:color="auto"/>
            </w:tcBorders>
            <w:vAlign w:val="bottom"/>
          </w:tcPr>
          <w:p w14:paraId="1CC41DC8" w14:textId="77777777" w:rsidR="00093654" w:rsidRPr="00093654" w:rsidRDefault="00093654" w:rsidP="00093654">
            <w:pPr>
              <w:spacing w:after="0" w:line="240" w:lineRule="auto"/>
              <w:jc w:val="left"/>
              <w:rPr>
                <w:rFonts w:ascii="Calibri" w:eastAsia="Times New Roman" w:hAnsi="Calibri" w:cs="Times New Roman"/>
                <w:color w:val="000000"/>
                <w:sz w:val="18"/>
                <w:szCs w:val="24"/>
                <w:lang w:val="en-GB"/>
              </w:rPr>
            </w:pPr>
            <w:r w:rsidRPr="00093654">
              <w:rPr>
                <w:rFonts w:ascii="Calibri" w:eastAsia="Times New Roman" w:hAnsi="Calibri" w:cs="Times New Roman"/>
                <w:color w:val="000000"/>
                <w:sz w:val="18"/>
                <w:szCs w:val="24"/>
                <w:lang w:val="en-GB"/>
              </w:rPr>
              <w:t>713-718</w:t>
            </w:r>
          </w:p>
        </w:tc>
        <w:tc>
          <w:tcPr>
            <w:tcW w:w="514" w:type="dxa"/>
            <w:tcBorders>
              <w:top w:val="single" w:sz="4" w:space="0" w:color="auto"/>
              <w:left w:val="nil"/>
              <w:bottom w:val="single" w:sz="4" w:space="0" w:color="auto"/>
              <w:right w:val="single" w:sz="4" w:space="0" w:color="auto"/>
            </w:tcBorders>
            <w:vAlign w:val="bottom"/>
          </w:tcPr>
          <w:p w14:paraId="2AB741F2" w14:textId="77777777" w:rsidR="00093654" w:rsidRPr="00093654" w:rsidRDefault="00093654" w:rsidP="00093654">
            <w:pPr>
              <w:spacing w:after="0" w:line="240" w:lineRule="auto"/>
              <w:jc w:val="left"/>
              <w:rPr>
                <w:rFonts w:ascii="Calibri" w:eastAsia="Times New Roman" w:hAnsi="Calibri" w:cs="Times New Roman"/>
                <w:color w:val="000000"/>
                <w:sz w:val="18"/>
                <w:szCs w:val="24"/>
                <w:lang w:val="en-GB"/>
              </w:rPr>
            </w:pPr>
            <w:r w:rsidRPr="00093654">
              <w:rPr>
                <w:rFonts w:ascii="Calibri" w:eastAsia="Times New Roman" w:hAnsi="Calibri" w:cs="Times New Roman"/>
                <w:color w:val="000000"/>
                <w:sz w:val="18"/>
                <w:szCs w:val="24"/>
                <w:lang w:val="en-GB"/>
              </w:rPr>
              <w:t>718-723</w:t>
            </w:r>
          </w:p>
        </w:tc>
        <w:tc>
          <w:tcPr>
            <w:tcW w:w="514" w:type="dxa"/>
            <w:tcBorders>
              <w:top w:val="single" w:sz="4" w:space="0" w:color="auto"/>
              <w:left w:val="nil"/>
              <w:bottom w:val="single" w:sz="4" w:space="0" w:color="auto"/>
              <w:right w:val="single" w:sz="4" w:space="0" w:color="auto"/>
            </w:tcBorders>
            <w:vAlign w:val="bottom"/>
          </w:tcPr>
          <w:p w14:paraId="5369B4E8" w14:textId="77777777" w:rsidR="00093654" w:rsidRPr="00093654" w:rsidRDefault="00093654" w:rsidP="00093654">
            <w:pPr>
              <w:spacing w:after="0" w:line="240" w:lineRule="auto"/>
              <w:jc w:val="left"/>
              <w:rPr>
                <w:rFonts w:ascii="Calibri" w:eastAsia="Times New Roman" w:hAnsi="Calibri" w:cs="Times New Roman"/>
                <w:color w:val="000000"/>
                <w:sz w:val="18"/>
                <w:szCs w:val="24"/>
                <w:lang w:val="en-GB"/>
              </w:rPr>
            </w:pPr>
            <w:r w:rsidRPr="00093654">
              <w:rPr>
                <w:rFonts w:ascii="Calibri" w:eastAsia="Times New Roman" w:hAnsi="Calibri" w:cs="Times New Roman"/>
                <w:color w:val="000000"/>
                <w:sz w:val="18"/>
                <w:szCs w:val="24"/>
                <w:lang w:val="en-GB"/>
              </w:rPr>
              <w:t>723-728</w:t>
            </w:r>
          </w:p>
        </w:tc>
        <w:tc>
          <w:tcPr>
            <w:tcW w:w="516" w:type="dxa"/>
            <w:tcBorders>
              <w:top w:val="single" w:sz="4" w:space="0" w:color="auto"/>
              <w:left w:val="nil"/>
              <w:bottom w:val="single" w:sz="4" w:space="0" w:color="auto"/>
              <w:right w:val="single" w:sz="4" w:space="0" w:color="auto"/>
            </w:tcBorders>
            <w:vAlign w:val="bottom"/>
          </w:tcPr>
          <w:p w14:paraId="194E19E0" w14:textId="77777777" w:rsidR="00093654" w:rsidRPr="00093654" w:rsidRDefault="00093654" w:rsidP="00093654">
            <w:pPr>
              <w:spacing w:after="0" w:line="240" w:lineRule="auto"/>
              <w:jc w:val="left"/>
              <w:rPr>
                <w:rFonts w:ascii="Calibri" w:eastAsia="Times New Roman" w:hAnsi="Calibri" w:cs="Times New Roman"/>
                <w:color w:val="000000"/>
                <w:sz w:val="18"/>
                <w:szCs w:val="24"/>
                <w:lang w:val="en-GB"/>
              </w:rPr>
            </w:pPr>
            <w:r w:rsidRPr="00093654">
              <w:rPr>
                <w:rFonts w:ascii="Calibri" w:eastAsia="Times New Roman" w:hAnsi="Calibri" w:cs="Times New Roman"/>
                <w:color w:val="000000"/>
                <w:sz w:val="18"/>
                <w:szCs w:val="24"/>
                <w:lang w:val="en-GB"/>
              </w:rPr>
              <w:t>728-733</w:t>
            </w:r>
          </w:p>
        </w:tc>
        <w:tc>
          <w:tcPr>
            <w:tcW w:w="514" w:type="dxa"/>
            <w:tcBorders>
              <w:top w:val="single" w:sz="4" w:space="0" w:color="auto"/>
              <w:left w:val="nil"/>
              <w:bottom w:val="single" w:sz="4" w:space="0" w:color="auto"/>
              <w:right w:val="single" w:sz="4" w:space="0" w:color="auto"/>
            </w:tcBorders>
            <w:vAlign w:val="bottom"/>
          </w:tcPr>
          <w:p w14:paraId="644367EF" w14:textId="77777777" w:rsidR="00093654" w:rsidRPr="00093654" w:rsidRDefault="00093654" w:rsidP="00093654">
            <w:pPr>
              <w:spacing w:after="0" w:line="240" w:lineRule="auto"/>
              <w:jc w:val="left"/>
              <w:rPr>
                <w:rFonts w:ascii="Calibri" w:eastAsia="Times New Roman" w:hAnsi="Calibri" w:cs="Times New Roman"/>
                <w:color w:val="000000"/>
                <w:sz w:val="18"/>
                <w:szCs w:val="24"/>
                <w:lang w:val="en-GB"/>
              </w:rPr>
            </w:pPr>
            <w:r w:rsidRPr="00093654">
              <w:rPr>
                <w:rFonts w:ascii="Calibri" w:eastAsia="Times New Roman" w:hAnsi="Calibri" w:cs="Times New Roman"/>
                <w:color w:val="000000"/>
                <w:sz w:val="18"/>
                <w:szCs w:val="24"/>
                <w:lang w:val="en-GB"/>
              </w:rPr>
              <w:t>733-738</w:t>
            </w:r>
          </w:p>
        </w:tc>
        <w:tc>
          <w:tcPr>
            <w:tcW w:w="514" w:type="dxa"/>
            <w:tcBorders>
              <w:top w:val="single" w:sz="4" w:space="0" w:color="auto"/>
              <w:left w:val="nil"/>
              <w:bottom w:val="single" w:sz="4" w:space="0" w:color="auto"/>
              <w:right w:val="single" w:sz="4" w:space="0" w:color="auto"/>
            </w:tcBorders>
            <w:vAlign w:val="bottom"/>
          </w:tcPr>
          <w:p w14:paraId="08F7398F" w14:textId="77777777" w:rsidR="00093654" w:rsidRPr="00093654" w:rsidRDefault="00093654" w:rsidP="00093654">
            <w:pPr>
              <w:spacing w:after="0" w:line="240" w:lineRule="auto"/>
              <w:jc w:val="left"/>
              <w:rPr>
                <w:rFonts w:ascii="Calibri" w:eastAsia="Times New Roman" w:hAnsi="Calibri" w:cs="Times New Roman"/>
                <w:color w:val="000000"/>
                <w:sz w:val="18"/>
                <w:szCs w:val="24"/>
                <w:lang w:val="en-GB"/>
              </w:rPr>
            </w:pPr>
            <w:r w:rsidRPr="00093654">
              <w:rPr>
                <w:rFonts w:ascii="Calibri" w:eastAsia="Times New Roman" w:hAnsi="Calibri" w:cs="Times New Roman"/>
                <w:color w:val="000000"/>
                <w:sz w:val="18"/>
                <w:szCs w:val="24"/>
                <w:lang w:val="en-GB"/>
              </w:rPr>
              <w:t>738-743</w:t>
            </w:r>
          </w:p>
        </w:tc>
        <w:tc>
          <w:tcPr>
            <w:tcW w:w="514" w:type="dxa"/>
            <w:tcBorders>
              <w:top w:val="single" w:sz="4" w:space="0" w:color="auto"/>
              <w:left w:val="nil"/>
              <w:bottom w:val="single" w:sz="4" w:space="0" w:color="auto"/>
              <w:right w:val="single" w:sz="4" w:space="0" w:color="auto"/>
            </w:tcBorders>
            <w:vAlign w:val="bottom"/>
          </w:tcPr>
          <w:p w14:paraId="0F67CE7C" w14:textId="77777777" w:rsidR="00093654" w:rsidRPr="00093654" w:rsidRDefault="00093654" w:rsidP="00093654">
            <w:pPr>
              <w:spacing w:after="0" w:line="240" w:lineRule="auto"/>
              <w:jc w:val="left"/>
              <w:rPr>
                <w:rFonts w:ascii="Calibri" w:eastAsia="Times New Roman" w:hAnsi="Calibri" w:cs="Times New Roman"/>
                <w:color w:val="000000"/>
                <w:sz w:val="18"/>
                <w:szCs w:val="24"/>
                <w:lang w:val="en-GB"/>
              </w:rPr>
            </w:pPr>
            <w:r w:rsidRPr="00093654">
              <w:rPr>
                <w:rFonts w:ascii="Calibri" w:eastAsia="Times New Roman" w:hAnsi="Calibri" w:cs="Times New Roman"/>
                <w:color w:val="000000"/>
                <w:sz w:val="18"/>
                <w:szCs w:val="24"/>
                <w:lang w:val="en-GB"/>
              </w:rPr>
              <w:t>743-748</w:t>
            </w:r>
          </w:p>
        </w:tc>
        <w:tc>
          <w:tcPr>
            <w:tcW w:w="514" w:type="dxa"/>
            <w:tcBorders>
              <w:top w:val="single" w:sz="4" w:space="0" w:color="auto"/>
              <w:left w:val="nil"/>
              <w:bottom w:val="single" w:sz="4" w:space="0" w:color="auto"/>
              <w:right w:val="single" w:sz="4" w:space="0" w:color="auto"/>
            </w:tcBorders>
            <w:vAlign w:val="bottom"/>
          </w:tcPr>
          <w:p w14:paraId="1C6932FB" w14:textId="77777777" w:rsidR="00093654" w:rsidRPr="00093654" w:rsidRDefault="00093654" w:rsidP="00093654">
            <w:pPr>
              <w:spacing w:after="0" w:line="240" w:lineRule="auto"/>
              <w:jc w:val="left"/>
              <w:rPr>
                <w:rFonts w:ascii="Calibri" w:eastAsia="Times New Roman" w:hAnsi="Calibri" w:cs="Times New Roman"/>
                <w:color w:val="000000"/>
                <w:sz w:val="18"/>
                <w:szCs w:val="24"/>
                <w:lang w:val="en-GB"/>
              </w:rPr>
            </w:pPr>
            <w:r w:rsidRPr="00093654">
              <w:rPr>
                <w:rFonts w:ascii="Calibri" w:eastAsia="Times New Roman" w:hAnsi="Calibri" w:cs="Times New Roman"/>
                <w:color w:val="000000"/>
                <w:sz w:val="18"/>
                <w:szCs w:val="24"/>
                <w:lang w:val="en-GB"/>
              </w:rPr>
              <w:t>748-753</w:t>
            </w:r>
          </w:p>
        </w:tc>
        <w:tc>
          <w:tcPr>
            <w:tcW w:w="515" w:type="dxa"/>
            <w:tcBorders>
              <w:top w:val="single" w:sz="4" w:space="0" w:color="auto"/>
              <w:left w:val="nil"/>
              <w:bottom w:val="single" w:sz="4" w:space="0" w:color="auto"/>
              <w:right w:val="single" w:sz="4" w:space="0" w:color="auto"/>
            </w:tcBorders>
            <w:vAlign w:val="bottom"/>
          </w:tcPr>
          <w:p w14:paraId="0AD5890D" w14:textId="77777777" w:rsidR="00093654" w:rsidRPr="00093654" w:rsidRDefault="00093654" w:rsidP="00093654">
            <w:pPr>
              <w:spacing w:after="0" w:line="240" w:lineRule="auto"/>
              <w:jc w:val="left"/>
              <w:rPr>
                <w:rFonts w:ascii="Calibri" w:eastAsia="Times New Roman" w:hAnsi="Calibri" w:cs="Times New Roman"/>
                <w:color w:val="000000"/>
                <w:sz w:val="18"/>
                <w:szCs w:val="24"/>
                <w:lang w:val="en-GB"/>
              </w:rPr>
            </w:pPr>
            <w:r w:rsidRPr="00093654">
              <w:rPr>
                <w:rFonts w:ascii="Calibri" w:eastAsia="Times New Roman" w:hAnsi="Calibri" w:cs="Times New Roman"/>
                <w:color w:val="000000"/>
                <w:sz w:val="18"/>
                <w:szCs w:val="24"/>
                <w:lang w:val="en-GB"/>
              </w:rPr>
              <w:t>753-758</w:t>
            </w:r>
          </w:p>
        </w:tc>
        <w:tc>
          <w:tcPr>
            <w:tcW w:w="514" w:type="dxa"/>
            <w:tcBorders>
              <w:top w:val="single" w:sz="4" w:space="0" w:color="auto"/>
              <w:left w:val="nil"/>
              <w:bottom w:val="single" w:sz="4" w:space="0" w:color="auto"/>
              <w:right w:val="single" w:sz="4" w:space="0" w:color="auto"/>
            </w:tcBorders>
            <w:vAlign w:val="bottom"/>
          </w:tcPr>
          <w:p w14:paraId="3CF75E3C" w14:textId="77777777" w:rsidR="00093654" w:rsidRPr="00093654" w:rsidRDefault="00093654" w:rsidP="00093654">
            <w:pPr>
              <w:spacing w:after="0" w:line="240" w:lineRule="auto"/>
              <w:jc w:val="left"/>
              <w:rPr>
                <w:rFonts w:ascii="Calibri" w:eastAsia="Times New Roman" w:hAnsi="Calibri" w:cs="Times New Roman"/>
                <w:color w:val="000000"/>
                <w:sz w:val="18"/>
                <w:szCs w:val="24"/>
                <w:lang w:val="en-GB"/>
              </w:rPr>
            </w:pPr>
            <w:r w:rsidRPr="00093654">
              <w:rPr>
                <w:rFonts w:ascii="Calibri" w:eastAsia="Times New Roman" w:hAnsi="Calibri" w:cs="Times New Roman"/>
                <w:color w:val="000000"/>
                <w:sz w:val="18"/>
                <w:szCs w:val="24"/>
                <w:lang w:val="en-GB"/>
              </w:rPr>
              <w:t>758-763</w:t>
            </w:r>
          </w:p>
        </w:tc>
        <w:tc>
          <w:tcPr>
            <w:tcW w:w="514" w:type="dxa"/>
            <w:tcBorders>
              <w:top w:val="single" w:sz="4" w:space="0" w:color="auto"/>
              <w:left w:val="nil"/>
              <w:bottom w:val="single" w:sz="4" w:space="0" w:color="auto"/>
              <w:right w:val="single" w:sz="4" w:space="0" w:color="auto"/>
            </w:tcBorders>
            <w:vAlign w:val="bottom"/>
          </w:tcPr>
          <w:p w14:paraId="78E70B92" w14:textId="77777777" w:rsidR="00093654" w:rsidRPr="00093654" w:rsidRDefault="00093654" w:rsidP="00093654">
            <w:pPr>
              <w:spacing w:after="0" w:line="240" w:lineRule="auto"/>
              <w:jc w:val="left"/>
              <w:rPr>
                <w:rFonts w:ascii="Calibri" w:eastAsia="Times New Roman" w:hAnsi="Calibri" w:cs="Times New Roman"/>
                <w:color w:val="000000"/>
                <w:sz w:val="18"/>
                <w:szCs w:val="24"/>
                <w:lang w:val="en-GB"/>
              </w:rPr>
            </w:pPr>
            <w:r w:rsidRPr="00093654">
              <w:rPr>
                <w:rFonts w:ascii="Calibri" w:eastAsia="Times New Roman" w:hAnsi="Calibri" w:cs="Times New Roman"/>
                <w:color w:val="000000"/>
                <w:sz w:val="18"/>
                <w:szCs w:val="24"/>
                <w:lang w:val="en-GB"/>
              </w:rPr>
              <w:t>763-768</w:t>
            </w:r>
          </w:p>
        </w:tc>
        <w:tc>
          <w:tcPr>
            <w:tcW w:w="514" w:type="dxa"/>
            <w:tcBorders>
              <w:top w:val="single" w:sz="4" w:space="0" w:color="auto"/>
              <w:left w:val="nil"/>
              <w:bottom w:val="single" w:sz="4" w:space="0" w:color="auto"/>
              <w:right w:val="single" w:sz="4" w:space="0" w:color="auto"/>
            </w:tcBorders>
            <w:vAlign w:val="bottom"/>
          </w:tcPr>
          <w:p w14:paraId="52B3CFD5" w14:textId="77777777" w:rsidR="00093654" w:rsidRPr="00093654" w:rsidRDefault="00093654" w:rsidP="00093654">
            <w:pPr>
              <w:spacing w:after="0" w:line="240" w:lineRule="auto"/>
              <w:jc w:val="left"/>
              <w:rPr>
                <w:rFonts w:ascii="Calibri" w:eastAsia="Times New Roman" w:hAnsi="Calibri" w:cs="Times New Roman"/>
                <w:color w:val="000000"/>
                <w:sz w:val="18"/>
                <w:szCs w:val="24"/>
                <w:lang w:val="en-GB"/>
              </w:rPr>
            </w:pPr>
            <w:r w:rsidRPr="00093654">
              <w:rPr>
                <w:rFonts w:ascii="Calibri" w:eastAsia="Times New Roman" w:hAnsi="Calibri" w:cs="Times New Roman"/>
                <w:color w:val="000000"/>
                <w:sz w:val="18"/>
                <w:szCs w:val="24"/>
                <w:lang w:val="en-GB"/>
              </w:rPr>
              <w:t>768-773</w:t>
            </w:r>
          </w:p>
        </w:tc>
        <w:tc>
          <w:tcPr>
            <w:tcW w:w="514" w:type="dxa"/>
            <w:tcBorders>
              <w:top w:val="single" w:sz="4" w:space="0" w:color="auto"/>
              <w:left w:val="nil"/>
              <w:bottom w:val="single" w:sz="4" w:space="0" w:color="auto"/>
              <w:right w:val="single" w:sz="4" w:space="0" w:color="auto"/>
            </w:tcBorders>
            <w:vAlign w:val="bottom"/>
          </w:tcPr>
          <w:p w14:paraId="5738F884" w14:textId="77777777" w:rsidR="00093654" w:rsidRPr="00093654" w:rsidRDefault="00093654" w:rsidP="00093654">
            <w:pPr>
              <w:spacing w:after="0" w:line="240" w:lineRule="auto"/>
              <w:jc w:val="left"/>
              <w:rPr>
                <w:rFonts w:ascii="Calibri" w:eastAsia="Times New Roman" w:hAnsi="Calibri" w:cs="Times New Roman"/>
                <w:color w:val="000000"/>
                <w:sz w:val="18"/>
                <w:szCs w:val="24"/>
                <w:lang w:val="en-GB"/>
              </w:rPr>
            </w:pPr>
            <w:r w:rsidRPr="00093654">
              <w:rPr>
                <w:rFonts w:ascii="Calibri" w:eastAsia="Times New Roman" w:hAnsi="Calibri" w:cs="Times New Roman"/>
                <w:color w:val="000000"/>
                <w:sz w:val="18"/>
                <w:szCs w:val="24"/>
                <w:lang w:val="en-GB"/>
              </w:rPr>
              <w:t>773-778</w:t>
            </w:r>
          </w:p>
        </w:tc>
        <w:tc>
          <w:tcPr>
            <w:tcW w:w="514" w:type="dxa"/>
            <w:tcBorders>
              <w:top w:val="single" w:sz="4" w:space="0" w:color="auto"/>
              <w:left w:val="nil"/>
              <w:bottom w:val="single" w:sz="4" w:space="0" w:color="auto"/>
              <w:right w:val="single" w:sz="4" w:space="0" w:color="auto"/>
            </w:tcBorders>
            <w:vAlign w:val="bottom"/>
          </w:tcPr>
          <w:p w14:paraId="3FA2CD80" w14:textId="77777777" w:rsidR="00093654" w:rsidRPr="00093654" w:rsidRDefault="00093654" w:rsidP="00093654">
            <w:pPr>
              <w:spacing w:after="0" w:line="240" w:lineRule="auto"/>
              <w:jc w:val="left"/>
              <w:rPr>
                <w:rFonts w:ascii="Calibri" w:eastAsia="Times New Roman" w:hAnsi="Calibri" w:cs="Times New Roman"/>
                <w:color w:val="000000"/>
                <w:sz w:val="18"/>
                <w:szCs w:val="24"/>
                <w:lang w:val="en-GB"/>
              </w:rPr>
            </w:pPr>
            <w:r w:rsidRPr="00093654">
              <w:rPr>
                <w:rFonts w:ascii="Calibri" w:eastAsia="Times New Roman" w:hAnsi="Calibri" w:cs="Times New Roman"/>
                <w:color w:val="000000"/>
                <w:sz w:val="18"/>
                <w:szCs w:val="24"/>
                <w:lang w:val="en-GB"/>
              </w:rPr>
              <w:t>778-783</w:t>
            </w:r>
          </w:p>
        </w:tc>
        <w:tc>
          <w:tcPr>
            <w:tcW w:w="516" w:type="dxa"/>
            <w:tcBorders>
              <w:top w:val="single" w:sz="4" w:space="0" w:color="auto"/>
              <w:left w:val="nil"/>
              <w:bottom w:val="single" w:sz="4" w:space="0" w:color="auto"/>
              <w:right w:val="single" w:sz="4" w:space="0" w:color="auto"/>
            </w:tcBorders>
            <w:vAlign w:val="bottom"/>
          </w:tcPr>
          <w:p w14:paraId="63B27067" w14:textId="77777777" w:rsidR="00093654" w:rsidRPr="00093654" w:rsidRDefault="00093654" w:rsidP="00093654">
            <w:pPr>
              <w:spacing w:after="0" w:line="240" w:lineRule="auto"/>
              <w:jc w:val="left"/>
              <w:rPr>
                <w:rFonts w:ascii="Calibri" w:eastAsia="Times New Roman" w:hAnsi="Calibri" w:cs="Times New Roman"/>
                <w:color w:val="000000"/>
                <w:sz w:val="18"/>
                <w:szCs w:val="24"/>
                <w:lang w:val="en-GB"/>
              </w:rPr>
            </w:pPr>
            <w:r w:rsidRPr="00093654">
              <w:rPr>
                <w:rFonts w:ascii="Calibri" w:eastAsia="Times New Roman" w:hAnsi="Calibri" w:cs="Times New Roman"/>
                <w:color w:val="000000"/>
                <w:sz w:val="18"/>
                <w:szCs w:val="24"/>
                <w:lang w:val="en-GB"/>
              </w:rPr>
              <w:t>783-788</w:t>
            </w:r>
          </w:p>
        </w:tc>
        <w:tc>
          <w:tcPr>
            <w:tcW w:w="516" w:type="dxa"/>
            <w:tcBorders>
              <w:top w:val="single" w:sz="4" w:space="0" w:color="auto"/>
              <w:left w:val="nil"/>
              <w:bottom w:val="single" w:sz="4" w:space="0" w:color="auto"/>
              <w:right w:val="single" w:sz="4" w:space="0" w:color="auto"/>
            </w:tcBorders>
          </w:tcPr>
          <w:p w14:paraId="4F8F1581" w14:textId="77777777" w:rsidR="00093654" w:rsidRPr="00093654" w:rsidRDefault="00093654" w:rsidP="00093654">
            <w:pPr>
              <w:spacing w:after="0" w:line="240" w:lineRule="auto"/>
              <w:jc w:val="left"/>
              <w:rPr>
                <w:rFonts w:ascii="Calibri" w:eastAsia="Times New Roman" w:hAnsi="Calibri" w:cs="Times New Roman"/>
                <w:color w:val="000000"/>
                <w:sz w:val="18"/>
                <w:szCs w:val="24"/>
                <w:lang w:val="en-GB"/>
              </w:rPr>
            </w:pPr>
          </w:p>
          <w:p w14:paraId="3F38D9E5" w14:textId="77777777" w:rsidR="00093654" w:rsidRPr="00093654" w:rsidRDefault="00093654" w:rsidP="00093654">
            <w:pPr>
              <w:spacing w:after="0" w:line="240" w:lineRule="auto"/>
              <w:jc w:val="left"/>
              <w:rPr>
                <w:rFonts w:ascii="Calibri" w:eastAsia="Times New Roman" w:hAnsi="Calibri" w:cs="Times New Roman"/>
                <w:color w:val="000000"/>
                <w:sz w:val="18"/>
                <w:szCs w:val="24"/>
                <w:lang w:val="en-GB"/>
              </w:rPr>
            </w:pPr>
            <w:r w:rsidRPr="00093654">
              <w:rPr>
                <w:rFonts w:ascii="Calibri" w:eastAsia="Times New Roman" w:hAnsi="Calibri" w:cs="Times New Roman"/>
                <w:color w:val="000000"/>
                <w:sz w:val="18"/>
                <w:szCs w:val="24"/>
                <w:lang w:val="en-GB"/>
              </w:rPr>
              <w:t>788-791</w:t>
            </w:r>
          </w:p>
        </w:tc>
      </w:tr>
      <w:tr w:rsidR="009407FC" w:rsidRPr="00093654" w14:paraId="1FE74DE3" w14:textId="77777777" w:rsidTr="00397EB3">
        <w:trPr>
          <w:trHeight w:val="270"/>
        </w:trPr>
        <w:tc>
          <w:tcPr>
            <w:tcW w:w="514"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7B7BC654" w14:textId="77777777" w:rsidR="009407FC" w:rsidRPr="00093654" w:rsidRDefault="009407FC" w:rsidP="00093654">
            <w:pPr>
              <w:spacing w:after="0" w:line="240" w:lineRule="auto"/>
              <w:jc w:val="center"/>
              <w:rPr>
                <w:rFonts w:ascii="Calibri" w:eastAsia="Times New Roman" w:hAnsi="Calibri" w:cs="Times New Roman"/>
                <w:color w:val="000000"/>
                <w:sz w:val="14"/>
                <w:szCs w:val="24"/>
                <w:lang w:val="en-GB"/>
              </w:rPr>
            </w:pPr>
            <w:r w:rsidRPr="00093654">
              <w:rPr>
                <w:rFonts w:ascii="Calibri" w:eastAsia="Times New Roman" w:hAnsi="Calibri" w:cs="Times New Roman"/>
                <w:color w:val="000000"/>
                <w:sz w:val="14"/>
                <w:szCs w:val="24"/>
                <w:lang w:val="en-GB"/>
              </w:rPr>
              <w:t xml:space="preserve">Guard band </w:t>
            </w:r>
          </w:p>
          <w:p w14:paraId="567485B1" w14:textId="77777777" w:rsidR="009407FC" w:rsidRPr="00093654" w:rsidRDefault="009407FC" w:rsidP="00093654">
            <w:pPr>
              <w:spacing w:after="0" w:line="240" w:lineRule="auto"/>
              <w:jc w:val="center"/>
              <w:rPr>
                <w:rFonts w:ascii="Calibri" w:eastAsia="Times New Roman" w:hAnsi="Calibri" w:cs="Times New Roman"/>
                <w:color w:val="000000"/>
                <w:sz w:val="14"/>
                <w:szCs w:val="24"/>
                <w:lang w:val="en-GB"/>
              </w:rPr>
            </w:pPr>
          </w:p>
        </w:tc>
        <w:tc>
          <w:tcPr>
            <w:tcW w:w="3086" w:type="dxa"/>
            <w:gridSpan w:val="6"/>
            <w:vMerge w:val="restart"/>
            <w:tcBorders>
              <w:top w:val="single" w:sz="4" w:space="0" w:color="auto"/>
              <w:left w:val="nil"/>
              <w:bottom w:val="single" w:sz="4" w:space="0" w:color="auto"/>
              <w:right w:val="single" w:sz="4" w:space="0" w:color="auto"/>
            </w:tcBorders>
            <w:shd w:val="clear" w:color="auto" w:fill="FFFF00"/>
            <w:noWrap/>
            <w:vAlign w:val="center"/>
          </w:tcPr>
          <w:p w14:paraId="4F39CDE9" w14:textId="77777777" w:rsidR="009407FC" w:rsidRPr="00397EB3" w:rsidRDefault="009407FC" w:rsidP="00093654">
            <w:pPr>
              <w:spacing w:after="0" w:line="240" w:lineRule="auto"/>
              <w:jc w:val="center"/>
              <w:rPr>
                <w:rFonts w:ascii="Calibri" w:eastAsia="Times New Roman" w:hAnsi="Calibri" w:cs="Times New Roman"/>
                <w:color w:val="000000"/>
                <w:sz w:val="20"/>
                <w:szCs w:val="24"/>
                <w:lang w:val="en-GB"/>
              </w:rPr>
            </w:pPr>
            <w:r w:rsidRPr="00397EB3">
              <w:rPr>
                <w:rFonts w:ascii="Calibri" w:eastAsia="Times New Roman" w:hAnsi="Calibri" w:cs="Times New Roman"/>
                <w:color w:val="000000"/>
                <w:sz w:val="20"/>
                <w:szCs w:val="24"/>
                <w:lang w:val="en-GB"/>
              </w:rPr>
              <w:t>Uplink</w:t>
            </w:r>
          </w:p>
          <w:p w14:paraId="779D5216" w14:textId="77777777" w:rsidR="009407FC" w:rsidRPr="00397EB3" w:rsidRDefault="009407FC" w:rsidP="00093654">
            <w:pPr>
              <w:spacing w:after="0" w:line="240" w:lineRule="auto"/>
              <w:jc w:val="left"/>
              <w:rPr>
                <w:rFonts w:ascii="Calibri" w:eastAsia="Times New Roman" w:hAnsi="Calibri" w:cs="Times New Roman"/>
                <w:color w:val="000000"/>
                <w:sz w:val="20"/>
                <w:szCs w:val="24"/>
                <w:lang w:val="en-GB"/>
              </w:rPr>
            </w:pPr>
          </w:p>
        </w:tc>
        <w:tc>
          <w:tcPr>
            <w:tcW w:w="2571" w:type="dxa"/>
            <w:gridSpan w:val="5"/>
            <w:tcBorders>
              <w:top w:val="nil"/>
              <w:left w:val="nil"/>
              <w:bottom w:val="single" w:sz="4" w:space="0" w:color="auto"/>
              <w:right w:val="single" w:sz="4" w:space="0" w:color="auto"/>
            </w:tcBorders>
            <w:shd w:val="clear" w:color="auto" w:fill="008000"/>
            <w:vAlign w:val="center"/>
          </w:tcPr>
          <w:p w14:paraId="0C7956A8" w14:textId="13D8C5E7" w:rsidR="009407FC" w:rsidRPr="00093654" w:rsidRDefault="009407FC" w:rsidP="00397EB3">
            <w:pPr>
              <w:spacing w:after="0" w:line="240" w:lineRule="auto"/>
              <w:jc w:val="center"/>
              <w:rPr>
                <w:rFonts w:ascii="Calibri" w:eastAsia="Times New Roman" w:hAnsi="Calibri" w:cs="Times New Roman"/>
                <w:color w:val="000000"/>
                <w:sz w:val="20"/>
                <w:szCs w:val="24"/>
                <w:lang w:val="en-GB"/>
              </w:rPr>
            </w:pPr>
            <w:r>
              <w:rPr>
                <w:rFonts w:ascii="Calibri" w:eastAsia="Times New Roman" w:hAnsi="Calibri" w:cs="Times New Roman"/>
                <w:color w:val="000000"/>
                <w:sz w:val="20"/>
                <w:szCs w:val="24"/>
                <w:lang w:val="en-GB"/>
              </w:rPr>
              <w:t>Duplex g</w:t>
            </w:r>
            <w:r w:rsidRPr="00093654">
              <w:rPr>
                <w:rFonts w:ascii="Calibri" w:eastAsia="Times New Roman" w:hAnsi="Calibri" w:cs="Times New Roman"/>
                <w:color w:val="000000"/>
                <w:sz w:val="20"/>
                <w:szCs w:val="24"/>
                <w:lang w:val="en-GB"/>
              </w:rPr>
              <w:t>ap</w:t>
            </w:r>
          </w:p>
        </w:tc>
        <w:tc>
          <w:tcPr>
            <w:tcW w:w="3086" w:type="dxa"/>
            <w:gridSpan w:val="6"/>
            <w:vMerge w:val="restart"/>
            <w:tcBorders>
              <w:top w:val="single" w:sz="4" w:space="0" w:color="auto"/>
              <w:left w:val="nil"/>
              <w:right w:val="single" w:sz="4" w:space="0" w:color="auto"/>
            </w:tcBorders>
            <w:shd w:val="clear" w:color="auto" w:fill="00CCFF"/>
            <w:noWrap/>
            <w:vAlign w:val="center"/>
          </w:tcPr>
          <w:p w14:paraId="25FE294C" w14:textId="77777777" w:rsidR="009407FC" w:rsidRPr="00093654" w:rsidRDefault="009407FC" w:rsidP="00093654">
            <w:pPr>
              <w:spacing w:after="0" w:line="240" w:lineRule="auto"/>
              <w:jc w:val="center"/>
              <w:rPr>
                <w:rFonts w:ascii="Calibri" w:eastAsia="Times New Roman" w:hAnsi="Calibri" w:cs="Times New Roman"/>
                <w:color w:val="000000"/>
                <w:sz w:val="20"/>
                <w:szCs w:val="24"/>
                <w:lang w:val="en-GB"/>
              </w:rPr>
            </w:pPr>
            <w:r w:rsidRPr="00093654">
              <w:rPr>
                <w:rFonts w:ascii="Calibri" w:eastAsia="Times New Roman" w:hAnsi="Calibri" w:cs="Times New Roman"/>
                <w:color w:val="000000"/>
                <w:sz w:val="20"/>
                <w:szCs w:val="24"/>
                <w:lang w:val="en-GB"/>
              </w:rPr>
              <w:t>Downlink</w:t>
            </w:r>
          </w:p>
          <w:p w14:paraId="22832047" w14:textId="77777777" w:rsidR="009407FC" w:rsidRPr="00093654" w:rsidRDefault="009407FC" w:rsidP="00093654">
            <w:pPr>
              <w:spacing w:after="0" w:line="240" w:lineRule="auto"/>
              <w:jc w:val="center"/>
              <w:rPr>
                <w:rFonts w:ascii="Calibri" w:eastAsia="Times New Roman" w:hAnsi="Calibri" w:cs="Times New Roman"/>
                <w:color w:val="000000"/>
                <w:sz w:val="20"/>
                <w:szCs w:val="24"/>
                <w:lang w:val="en-GB"/>
              </w:rPr>
            </w:pPr>
          </w:p>
        </w:tc>
        <w:tc>
          <w:tcPr>
            <w:tcW w:w="516" w:type="dxa"/>
            <w:vMerge w:val="restart"/>
            <w:tcBorders>
              <w:top w:val="single" w:sz="4" w:space="0" w:color="auto"/>
              <w:left w:val="nil"/>
              <w:bottom w:val="single" w:sz="4" w:space="0" w:color="auto"/>
              <w:right w:val="single" w:sz="4" w:space="0" w:color="auto"/>
            </w:tcBorders>
            <w:shd w:val="clear" w:color="auto" w:fill="D9D9D9" w:themeFill="background1" w:themeFillShade="D9"/>
          </w:tcPr>
          <w:p w14:paraId="1B7A0B34" w14:textId="77777777" w:rsidR="009407FC" w:rsidRPr="00093654" w:rsidRDefault="009407FC" w:rsidP="00093654">
            <w:pPr>
              <w:spacing w:after="0" w:line="240" w:lineRule="auto"/>
              <w:jc w:val="center"/>
              <w:rPr>
                <w:rFonts w:ascii="Calibri" w:eastAsia="Times New Roman" w:hAnsi="Calibri" w:cs="Times New Roman"/>
                <w:color w:val="000000"/>
                <w:sz w:val="14"/>
                <w:szCs w:val="24"/>
                <w:lang w:val="en-GB"/>
              </w:rPr>
            </w:pPr>
          </w:p>
          <w:p w14:paraId="340C8157" w14:textId="77777777" w:rsidR="009407FC" w:rsidRPr="00093654" w:rsidRDefault="009407FC" w:rsidP="00093654">
            <w:pPr>
              <w:spacing w:after="0" w:line="240" w:lineRule="auto"/>
              <w:jc w:val="center"/>
              <w:rPr>
                <w:rFonts w:ascii="Calibri" w:eastAsia="Times New Roman" w:hAnsi="Calibri" w:cs="Times New Roman"/>
                <w:color w:val="000000"/>
                <w:sz w:val="14"/>
                <w:szCs w:val="24"/>
                <w:lang w:val="en-GB"/>
              </w:rPr>
            </w:pPr>
            <w:r w:rsidRPr="00093654">
              <w:rPr>
                <w:rFonts w:ascii="Calibri" w:eastAsia="Times New Roman" w:hAnsi="Calibri" w:cs="Times New Roman"/>
                <w:color w:val="000000"/>
                <w:sz w:val="14"/>
                <w:szCs w:val="24"/>
                <w:lang w:val="en-GB"/>
              </w:rPr>
              <w:t>Guard band</w:t>
            </w:r>
          </w:p>
          <w:p w14:paraId="5ECAA9F7" w14:textId="77777777" w:rsidR="009407FC" w:rsidRPr="00093654" w:rsidRDefault="009407FC" w:rsidP="00093654">
            <w:pPr>
              <w:spacing w:after="0" w:line="240" w:lineRule="auto"/>
              <w:jc w:val="center"/>
              <w:rPr>
                <w:rFonts w:ascii="Calibri" w:eastAsia="Times New Roman" w:hAnsi="Calibri" w:cs="Times New Roman"/>
                <w:color w:val="000000"/>
                <w:sz w:val="20"/>
                <w:szCs w:val="24"/>
                <w:lang w:val="en-GB"/>
              </w:rPr>
            </w:pPr>
          </w:p>
        </w:tc>
      </w:tr>
      <w:tr w:rsidR="00093654" w:rsidRPr="00093654" w14:paraId="7E97B791" w14:textId="77777777" w:rsidTr="00397EB3">
        <w:trPr>
          <w:trHeight w:val="270"/>
        </w:trPr>
        <w:tc>
          <w:tcPr>
            <w:tcW w:w="514" w:type="dxa"/>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14681DA3" w14:textId="77777777" w:rsidR="00093654" w:rsidRPr="00093654" w:rsidRDefault="00093654" w:rsidP="00093654">
            <w:pPr>
              <w:spacing w:after="0" w:line="240" w:lineRule="auto"/>
              <w:jc w:val="center"/>
              <w:rPr>
                <w:rFonts w:ascii="Calibri" w:eastAsia="Times New Roman" w:hAnsi="Calibri" w:cs="Times New Roman"/>
                <w:color w:val="000000"/>
                <w:sz w:val="14"/>
                <w:szCs w:val="24"/>
                <w:lang w:val="en-GB"/>
              </w:rPr>
            </w:pPr>
          </w:p>
        </w:tc>
        <w:tc>
          <w:tcPr>
            <w:tcW w:w="3086" w:type="dxa"/>
            <w:gridSpan w:val="6"/>
            <w:vMerge/>
            <w:tcBorders>
              <w:left w:val="nil"/>
              <w:bottom w:val="single" w:sz="4" w:space="0" w:color="auto"/>
              <w:right w:val="single" w:sz="4" w:space="0" w:color="auto"/>
            </w:tcBorders>
            <w:shd w:val="clear" w:color="auto" w:fill="FFFF00"/>
            <w:noWrap/>
            <w:vAlign w:val="center"/>
          </w:tcPr>
          <w:p w14:paraId="7945BB25" w14:textId="77777777" w:rsidR="00093654" w:rsidRPr="00093654" w:rsidRDefault="00093654" w:rsidP="00093654">
            <w:pPr>
              <w:spacing w:after="0" w:line="240" w:lineRule="auto"/>
              <w:jc w:val="center"/>
              <w:rPr>
                <w:rFonts w:ascii="Calibri" w:eastAsia="Times New Roman" w:hAnsi="Calibri" w:cs="Times New Roman"/>
                <w:color w:val="000000"/>
                <w:sz w:val="20"/>
                <w:szCs w:val="24"/>
                <w:lang w:val="en-GB"/>
              </w:rPr>
            </w:pPr>
          </w:p>
        </w:tc>
        <w:tc>
          <w:tcPr>
            <w:tcW w:w="514" w:type="dxa"/>
            <w:tcBorders>
              <w:top w:val="nil"/>
              <w:left w:val="nil"/>
              <w:bottom w:val="single" w:sz="4" w:space="0" w:color="auto"/>
              <w:right w:val="single" w:sz="4" w:space="0" w:color="auto"/>
            </w:tcBorders>
            <w:shd w:val="clear" w:color="auto" w:fill="215868" w:themeFill="accent5" w:themeFillShade="80"/>
            <w:vAlign w:val="center"/>
          </w:tcPr>
          <w:p w14:paraId="03297ED8" w14:textId="21C3F1DC" w:rsidR="00093654" w:rsidRPr="00397EB3" w:rsidRDefault="009407FC" w:rsidP="00397EB3">
            <w:pPr>
              <w:spacing w:after="0" w:line="240" w:lineRule="auto"/>
              <w:jc w:val="left"/>
              <w:rPr>
                <w:rFonts w:ascii="Calibri" w:eastAsia="Times New Roman" w:hAnsi="Calibri" w:cs="Times New Roman"/>
                <w:color w:val="000000"/>
                <w:sz w:val="12"/>
                <w:szCs w:val="12"/>
                <w:lang w:val="en-GB"/>
              </w:rPr>
            </w:pPr>
            <w:r w:rsidRPr="00397EB3">
              <w:rPr>
                <w:rFonts w:ascii="Calibri" w:eastAsia="Times New Roman" w:hAnsi="Calibri" w:cs="Times New Roman"/>
                <w:color w:val="000000"/>
                <w:sz w:val="12"/>
                <w:szCs w:val="12"/>
                <w:lang w:val="en-GB"/>
              </w:rPr>
              <w:t>Duplex g</w:t>
            </w:r>
            <w:r w:rsidR="00093654" w:rsidRPr="00397EB3">
              <w:rPr>
                <w:rFonts w:ascii="Calibri" w:eastAsia="Times New Roman" w:hAnsi="Calibri" w:cs="Times New Roman"/>
                <w:color w:val="000000"/>
                <w:sz w:val="12"/>
                <w:szCs w:val="12"/>
                <w:lang w:val="en-GB"/>
              </w:rPr>
              <w:t>ap</w:t>
            </w:r>
          </w:p>
        </w:tc>
        <w:tc>
          <w:tcPr>
            <w:tcW w:w="2057" w:type="dxa"/>
            <w:gridSpan w:val="4"/>
            <w:tcBorders>
              <w:top w:val="single" w:sz="4" w:space="0" w:color="auto"/>
              <w:left w:val="nil"/>
              <w:bottom w:val="single" w:sz="4" w:space="0" w:color="auto"/>
              <w:right w:val="single" w:sz="4" w:space="0" w:color="auto"/>
            </w:tcBorders>
            <w:shd w:val="clear" w:color="auto" w:fill="0066CC"/>
            <w:noWrap/>
            <w:vAlign w:val="center"/>
          </w:tcPr>
          <w:p w14:paraId="0AD87C34" w14:textId="77777777" w:rsidR="00093654" w:rsidRPr="00093654" w:rsidRDefault="00093654" w:rsidP="00093654">
            <w:pPr>
              <w:spacing w:after="0" w:line="240" w:lineRule="auto"/>
              <w:jc w:val="center"/>
              <w:rPr>
                <w:rFonts w:ascii="Calibri" w:eastAsia="Times New Roman" w:hAnsi="Calibri" w:cs="Times New Roman"/>
                <w:color w:val="000000"/>
                <w:sz w:val="20"/>
                <w:szCs w:val="24"/>
                <w:lang w:val="en-GB"/>
              </w:rPr>
            </w:pPr>
            <w:r w:rsidRPr="00093654">
              <w:rPr>
                <w:rFonts w:ascii="Calibri" w:eastAsia="Times New Roman" w:hAnsi="Calibri" w:cs="Times New Roman"/>
                <w:color w:val="000000"/>
                <w:sz w:val="20"/>
                <w:szCs w:val="24"/>
                <w:lang w:val="en-GB"/>
              </w:rPr>
              <w:t>SDL</w:t>
            </w:r>
          </w:p>
          <w:p w14:paraId="69F3D672" w14:textId="77777777" w:rsidR="00093654" w:rsidRPr="00093654" w:rsidRDefault="00093654" w:rsidP="00093654">
            <w:pPr>
              <w:spacing w:after="0" w:line="240" w:lineRule="auto"/>
              <w:jc w:val="center"/>
              <w:rPr>
                <w:rFonts w:ascii="Calibri" w:eastAsia="Times New Roman" w:hAnsi="Calibri" w:cs="Times New Roman"/>
                <w:color w:val="000000"/>
                <w:sz w:val="20"/>
                <w:szCs w:val="24"/>
                <w:lang w:val="en-GB"/>
              </w:rPr>
            </w:pPr>
          </w:p>
        </w:tc>
        <w:tc>
          <w:tcPr>
            <w:tcW w:w="3086" w:type="dxa"/>
            <w:gridSpan w:val="6"/>
            <w:vMerge/>
            <w:tcBorders>
              <w:left w:val="nil"/>
              <w:bottom w:val="single" w:sz="4" w:space="0" w:color="auto"/>
              <w:right w:val="single" w:sz="4" w:space="0" w:color="auto"/>
            </w:tcBorders>
            <w:shd w:val="clear" w:color="auto" w:fill="00CCFF"/>
            <w:noWrap/>
            <w:vAlign w:val="center"/>
          </w:tcPr>
          <w:p w14:paraId="4A76B32D" w14:textId="77777777" w:rsidR="00093654" w:rsidRPr="00093654" w:rsidRDefault="00093654" w:rsidP="00093654">
            <w:pPr>
              <w:spacing w:after="0" w:line="240" w:lineRule="auto"/>
              <w:jc w:val="center"/>
              <w:rPr>
                <w:rFonts w:ascii="Calibri" w:eastAsia="Times New Roman" w:hAnsi="Calibri" w:cs="Times New Roman"/>
                <w:color w:val="000000"/>
                <w:sz w:val="20"/>
                <w:szCs w:val="24"/>
                <w:lang w:val="en-GB"/>
              </w:rPr>
            </w:pPr>
          </w:p>
        </w:tc>
        <w:tc>
          <w:tcPr>
            <w:tcW w:w="516" w:type="dxa"/>
            <w:vMerge/>
            <w:tcBorders>
              <w:left w:val="nil"/>
              <w:bottom w:val="single" w:sz="4" w:space="0" w:color="auto"/>
              <w:right w:val="single" w:sz="4" w:space="0" w:color="auto"/>
            </w:tcBorders>
            <w:shd w:val="clear" w:color="auto" w:fill="D9D9D9" w:themeFill="background1" w:themeFillShade="D9"/>
          </w:tcPr>
          <w:p w14:paraId="46C49512" w14:textId="77777777" w:rsidR="00093654" w:rsidRPr="00093654" w:rsidRDefault="00093654" w:rsidP="00093654">
            <w:pPr>
              <w:spacing w:after="0" w:line="240" w:lineRule="auto"/>
              <w:jc w:val="center"/>
              <w:rPr>
                <w:rFonts w:ascii="Calibri" w:eastAsia="Times New Roman" w:hAnsi="Calibri" w:cs="Times New Roman"/>
                <w:color w:val="000000"/>
                <w:sz w:val="14"/>
                <w:szCs w:val="24"/>
                <w:lang w:val="en-GB"/>
              </w:rPr>
            </w:pPr>
          </w:p>
        </w:tc>
      </w:tr>
      <w:tr w:rsidR="00093654" w:rsidRPr="00093654" w14:paraId="46B590A4" w14:textId="77777777" w:rsidTr="002D0079">
        <w:trPr>
          <w:trHeight w:val="381"/>
        </w:trPr>
        <w:tc>
          <w:tcPr>
            <w:tcW w:w="514" w:type="dxa"/>
            <w:tcBorders>
              <w:top w:val="nil"/>
              <w:left w:val="single" w:sz="4" w:space="0" w:color="auto"/>
              <w:bottom w:val="single" w:sz="4" w:space="0" w:color="auto"/>
              <w:right w:val="single" w:sz="4" w:space="0" w:color="auto"/>
            </w:tcBorders>
            <w:noWrap/>
            <w:tcMar>
              <w:left w:w="0" w:type="dxa"/>
              <w:right w:w="0" w:type="dxa"/>
            </w:tcMar>
            <w:vAlign w:val="bottom"/>
          </w:tcPr>
          <w:p w14:paraId="07A3B930" w14:textId="77777777" w:rsidR="00093654" w:rsidRPr="00093654" w:rsidRDefault="00093654" w:rsidP="00093654">
            <w:pPr>
              <w:spacing w:after="0" w:line="240" w:lineRule="auto"/>
              <w:jc w:val="center"/>
              <w:rPr>
                <w:rFonts w:ascii="Calibri" w:eastAsia="Times New Roman" w:hAnsi="Calibri" w:cs="Times New Roman"/>
                <w:color w:val="000000"/>
                <w:sz w:val="20"/>
                <w:szCs w:val="24"/>
                <w:lang w:val="en-GB"/>
              </w:rPr>
            </w:pPr>
            <w:r w:rsidRPr="00093654">
              <w:rPr>
                <w:rFonts w:ascii="Calibri" w:eastAsia="Times New Roman" w:hAnsi="Calibri" w:cs="Times New Roman"/>
                <w:color w:val="000000"/>
                <w:sz w:val="20"/>
                <w:szCs w:val="24"/>
                <w:lang w:val="en-GB"/>
              </w:rPr>
              <w:t>9 MHz</w:t>
            </w:r>
          </w:p>
        </w:tc>
        <w:tc>
          <w:tcPr>
            <w:tcW w:w="3086" w:type="dxa"/>
            <w:gridSpan w:val="6"/>
            <w:tcBorders>
              <w:top w:val="single" w:sz="4" w:space="0" w:color="auto"/>
              <w:left w:val="nil"/>
              <w:bottom w:val="single" w:sz="4" w:space="0" w:color="auto"/>
              <w:right w:val="single" w:sz="4" w:space="0" w:color="auto"/>
            </w:tcBorders>
            <w:noWrap/>
            <w:tcMar>
              <w:left w:w="0" w:type="dxa"/>
              <w:right w:w="0" w:type="dxa"/>
            </w:tcMar>
            <w:vAlign w:val="bottom"/>
          </w:tcPr>
          <w:p w14:paraId="2F041100" w14:textId="77777777" w:rsidR="00093654" w:rsidRPr="00093654" w:rsidRDefault="00093654" w:rsidP="00093654">
            <w:pPr>
              <w:spacing w:after="0" w:line="240" w:lineRule="auto"/>
              <w:jc w:val="center"/>
              <w:rPr>
                <w:rFonts w:ascii="Calibri" w:eastAsia="Times New Roman" w:hAnsi="Calibri" w:cs="Times New Roman"/>
                <w:color w:val="000000"/>
                <w:sz w:val="20"/>
                <w:szCs w:val="24"/>
                <w:lang w:val="en-GB"/>
              </w:rPr>
            </w:pPr>
            <w:r w:rsidRPr="00093654">
              <w:rPr>
                <w:rFonts w:ascii="Calibri" w:eastAsia="Times New Roman" w:hAnsi="Calibri" w:cs="Times New Roman"/>
                <w:color w:val="000000"/>
                <w:sz w:val="20"/>
                <w:szCs w:val="24"/>
                <w:lang w:val="en-GB"/>
              </w:rPr>
              <w:t>30 MHz (6 blocks of 5 MHz)</w:t>
            </w:r>
          </w:p>
        </w:tc>
        <w:tc>
          <w:tcPr>
            <w:tcW w:w="514" w:type="dxa"/>
            <w:tcBorders>
              <w:top w:val="nil"/>
              <w:left w:val="nil"/>
              <w:bottom w:val="single" w:sz="4" w:space="0" w:color="auto"/>
              <w:right w:val="single" w:sz="4" w:space="0" w:color="auto"/>
            </w:tcBorders>
            <w:noWrap/>
            <w:tcMar>
              <w:left w:w="0" w:type="dxa"/>
              <w:right w:w="0" w:type="dxa"/>
            </w:tcMar>
            <w:vAlign w:val="bottom"/>
          </w:tcPr>
          <w:p w14:paraId="4A0CE712" w14:textId="77777777" w:rsidR="00093654" w:rsidRPr="00B47F70" w:rsidRDefault="00093654" w:rsidP="00093654">
            <w:pPr>
              <w:spacing w:after="0" w:line="240" w:lineRule="auto"/>
              <w:jc w:val="center"/>
              <w:rPr>
                <w:rFonts w:ascii="Calibri" w:eastAsia="Times New Roman" w:hAnsi="Calibri" w:cs="Times New Roman"/>
                <w:color w:val="000000"/>
                <w:sz w:val="18"/>
                <w:szCs w:val="18"/>
                <w:lang w:val="en-GB"/>
              </w:rPr>
            </w:pPr>
            <w:r w:rsidRPr="00B47F70">
              <w:rPr>
                <w:rFonts w:ascii="Calibri" w:eastAsia="Times New Roman" w:hAnsi="Calibri" w:cs="Times New Roman"/>
                <w:color w:val="000000"/>
                <w:sz w:val="18"/>
                <w:szCs w:val="18"/>
                <w:lang w:val="en-GB"/>
              </w:rPr>
              <w:t>5 MHz</w:t>
            </w:r>
          </w:p>
        </w:tc>
        <w:tc>
          <w:tcPr>
            <w:tcW w:w="2057" w:type="dxa"/>
            <w:gridSpan w:val="4"/>
            <w:tcBorders>
              <w:top w:val="single" w:sz="4" w:space="0" w:color="auto"/>
              <w:left w:val="nil"/>
              <w:bottom w:val="single" w:sz="4" w:space="0" w:color="auto"/>
              <w:right w:val="single" w:sz="4" w:space="0" w:color="auto"/>
            </w:tcBorders>
            <w:noWrap/>
            <w:tcMar>
              <w:left w:w="0" w:type="dxa"/>
              <w:right w:w="0" w:type="dxa"/>
            </w:tcMar>
            <w:vAlign w:val="bottom"/>
          </w:tcPr>
          <w:p w14:paraId="6C096E9C" w14:textId="334C1B05" w:rsidR="00093654" w:rsidRPr="00093654" w:rsidRDefault="00093654" w:rsidP="007D312C">
            <w:pPr>
              <w:spacing w:after="0" w:line="240" w:lineRule="auto"/>
              <w:jc w:val="center"/>
              <w:rPr>
                <w:rFonts w:ascii="Calibri" w:eastAsia="Times New Roman" w:hAnsi="Calibri" w:cs="Times New Roman"/>
                <w:color w:val="000000"/>
                <w:sz w:val="20"/>
                <w:szCs w:val="24"/>
                <w:lang w:val="en-GB"/>
              </w:rPr>
            </w:pPr>
            <w:r w:rsidRPr="00093654">
              <w:rPr>
                <w:rFonts w:ascii="Calibri" w:eastAsia="Times New Roman" w:hAnsi="Calibri" w:cs="Times New Roman"/>
                <w:color w:val="000000"/>
                <w:sz w:val="20"/>
                <w:szCs w:val="24"/>
                <w:lang w:val="en-GB"/>
              </w:rPr>
              <w:t xml:space="preserve">20 MHz </w:t>
            </w:r>
            <w:r w:rsidR="007D312C">
              <w:rPr>
                <w:rFonts w:ascii="Calibri" w:eastAsia="Times New Roman" w:hAnsi="Calibri" w:cs="Times New Roman"/>
                <w:color w:val="000000"/>
                <w:sz w:val="20"/>
                <w:szCs w:val="24"/>
                <w:lang w:val="en-GB"/>
              </w:rPr>
              <w:br/>
            </w:r>
            <w:r w:rsidRPr="00093654">
              <w:rPr>
                <w:rFonts w:ascii="Calibri" w:eastAsia="Times New Roman" w:hAnsi="Calibri" w:cs="Times New Roman"/>
                <w:color w:val="000000"/>
                <w:sz w:val="20"/>
                <w:szCs w:val="24"/>
                <w:lang w:val="en-GB"/>
              </w:rPr>
              <w:t>(up to 4 blocks of 5 MHz)</w:t>
            </w:r>
          </w:p>
        </w:tc>
        <w:tc>
          <w:tcPr>
            <w:tcW w:w="3086" w:type="dxa"/>
            <w:gridSpan w:val="6"/>
            <w:tcBorders>
              <w:top w:val="single" w:sz="4" w:space="0" w:color="auto"/>
              <w:left w:val="nil"/>
              <w:bottom w:val="single" w:sz="4" w:space="0" w:color="auto"/>
              <w:right w:val="single" w:sz="4" w:space="0" w:color="auto"/>
            </w:tcBorders>
            <w:noWrap/>
            <w:tcMar>
              <w:left w:w="0" w:type="dxa"/>
              <w:right w:w="0" w:type="dxa"/>
            </w:tcMar>
            <w:vAlign w:val="bottom"/>
          </w:tcPr>
          <w:p w14:paraId="40E5450B" w14:textId="77777777" w:rsidR="00093654" w:rsidRPr="00093654" w:rsidRDefault="00093654" w:rsidP="00093654">
            <w:pPr>
              <w:spacing w:after="0" w:line="240" w:lineRule="auto"/>
              <w:jc w:val="center"/>
              <w:rPr>
                <w:rFonts w:ascii="Calibri" w:eastAsia="Times New Roman" w:hAnsi="Calibri" w:cs="Times New Roman"/>
                <w:color w:val="000000"/>
                <w:sz w:val="20"/>
                <w:szCs w:val="24"/>
                <w:lang w:val="en-GB"/>
              </w:rPr>
            </w:pPr>
            <w:r w:rsidRPr="00093654">
              <w:rPr>
                <w:rFonts w:ascii="Calibri" w:eastAsia="Times New Roman" w:hAnsi="Calibri" w:cs="Times New Roman"/>
                <w:color w:val="000000"/>
                <w:sz w:val="20"/>
                <w:szCs w:val="24"/>
                <w:lang w:val="en-GB"/>
              </w:rPr>
              <w:t>30 MHz (6 blocks of 5 MHz)</w:t>
            </w:r>
          </w:p>
        </w:tc>
        <w:tc>
          <w:tcPr>
            <w:tcW w:w="516" w:type="dxa"/>
            <w:tcBorders>
              <w:top w:val="single" w:sz="4" w:space="0" w:color="auto"/>
              <w:left w:val="nil"/>
              <w:bottom w:val="single" w:sz="4" w:space="0" w:color="auto"/>
              <w:right w:val="single" w:sz="4" w:space="0" w:color="auto"/>
            </w:tcBorders>
          </w:tcPr>
          <w:p w14:paraId="36967FE7" w14:textId="77777777" w:rsidR="00093654" w:rsidRPr="00093654" w:rsidRDefault="00093654" w:rsidP="00093654">
            <w:pPr>
              <w:spacing w:after="0" w:line="240" w:lineRule="auto"/>
              <w:jc w:val="center"/>
              <w:rPr>
                <w:rFonts w:ascii="Calibri" w:eastAsia="Times New Roman" w:hAnsi="Calibri" w:cs="Times New Roman"/>
                <w:color w:val="000000"/>
                <w:sz w:val="20"/>
                <w:szCs w:val="24"/>
                <w:lang w:val="en-GB"/>
              </w:rPr>
            </w:pPr>
            <w:r w:rsidRPr="00093654">
              <w:rPr>
                <w:rFonts w:ascii="Calibri" w:eastAsia="Times New Roman" w:hAnsi="Calibri" w:cs="Times New Roman"/>
                <w:color w:val="000000"/>
                <w:sz w:val="20"/>
                <w:szCs w:val="24"/>
                <w:lang w:val="en-GB"/>
              </w:rPr>
              <w:t>3 MHz</w:t>
            </w:r>
          </w:p>
        </w:tc>
      </w:tr>
    </w:tbl>
    <w:p w14:paraId="23905D20" w14:textId="32CDFE9A" w:rsidR="00F36014" w:rsidRPr="009E2CCE" w:rsidRDefault="009C7F65" w:rsidP="00B47F70">
      <w:pPr>
        <w:pStyle w:val="Kpalrs"/>
        <w:spacing w:before="120"/>
        <w:jc w:val="center"/>
        <w:rPr>
          <w:b w:val="0"/>
          <w:bCs w:val="0"/>
        </w:rPr>
      </w:pPr>
      <w:r>
        <w:rPr>
          <w:noProof/>
          <w:lang w:val="en-GB"/>
        </w:rPr>
        <w:t>Figure 3.1.2.a: MFCN frequency arrangement (source: ECC/DEC/(15)01)</w:t>
      </w:r>
    </w:p>
    <w:p w14:paraId="4CE2DFC4" w14:textId="77777777" w:rsidR="007D312C" w:rsidRDefault="007D312C" w:rsidP="00F36014">
      <w:pPr>
        <w:pStyle w:val="Behzottbekezdsnmhh"/>
        <w:rPr>
          <w:lang w:val="en-GB"/>
        </w:rPr>
      </w:pPr>
    </w:p>
    <w:p w14:paraId="237773A8" w14:textId="6E8776B1" w:rsidR="003F2A29" w:rsidRDefault="003F2A29" w:rsidP="00F36014">
      <w:pPr>
        <w:pStyle w:val="Behzottbekezdsnmhh"/>
      </w:pPr>
      <w:r>
        <w:rPr>
          <w:lang w:val="en-GB"/>
        </w:rPr>
        <w:t xml:space="preserve">Considering that the 790-791 MHz frequency </w:t>
      </w:r>
      <w:r w:rsidR="004A1D0A">
        <w:rPr>
          <w:lang w:val="en-GB"/>
        </w:rPr>
        <w:t xml:space="preserve">range </w:t>
      </w:r>
      <w:r w:rsidR="004A1D0A" w:rsidRPr="004A1D0A">
        <w:rPr>
          <w:lang w:val="en-GB"/>
        </w:rPr>
        <w:t>in the frequency arrangement in Decision ECC/DEC/15(01)</w:t>
      </w:r>
      <w:r w:rsidR="004A1D0A">
        <w:rPr>
          <w:lang w:val="en-GB"/>
        </w:rPr>
        <w:t xml:space="preserve"> </w:t>
      </w:r>
      <w:r>
        <w:rPr>
          <w:lang w:val="en-GB"/>
        </w:rPr>
        <w:t>overlaps with the 790-862 MHz band (i.e. the 800 MHz band), the technical conditions for the 790-791 MHz frequency range should be applied to ensure that the provisions of the ECC Decision for the 800 MHz band are also met.</w:t>
      </w:r>
    </w:p>
    <w:p w14:paraId="6DFA1719" w14:textId="298369ED" w:rsidR="00F36014" w:rsidRDefault="00F36014" w:rsidP="00F36014">
      <w:pPr>
        <w:pStyle w:val="Behzottbekezdsnmhh"/>
      </w:pPr>
      <w:r>
        <w:rPr>
          <w:lang w:val="en-GB"/>
        </w:rPr>
        <w:t>In accordance with the flexible harmonisation under Decision ECC/DEC/15(01), the 694-790 MHz band contains a harmonised MFCN channel arrangement comprising a paired 2x30 MHz FDD frequency arrangement and an optional unpaired arrangement of up to 4</w:t>
      </w:r>
      <w:r w:rsidR="007D684B">
        <w:rPr>
          <w:lang w:val="en-GB"/>
        </w:rPr>
        <w:t xml:space="preserve"> frequency blocks of </w:t>
      </w:r>
      <w:r>
        <w:rPr>
          <w:lang w:val="en-GB"/>
        </w:rPr>
        <w:t>5 MHz for SDL purposes. Conditions for harmonised MFCN use:</w:t>
      </w:r>
    </w:p>
    <w:p w14:paraId="2E550083" w14:textId="31837A2C" w:rsidR="00F36014" w:rsidRPr="00C806B3" w:rsidRDefault="00A663FF" w:rsidP="00723F7F">
      <w:pPr>
        <w:pStyle w:val="Felsorolsbekezdsnmhh"/>
        <w:numPr>
          <w:ilvl w:val="0"/>
          <w:numId w:val="13"/>
        </w:numPr>
      </w:pPr>
      <w:r>
        <w:rPr>
          <w:lang w:val="en-GB"/>
        </w:rPr>
        <w:t xml:space="preserve">the size of the frequency blocks </w:t>
      </w:r>
      <w:r w:rsidR="007D684B">
        <w:rPr>
          <w:lang w:val="en-GB"/>
        </w:rPr>
        <w:t xml:space="preserve">shall </w:t>
      </w:r>
      <w:r>
        <w:rPr>
          <w:lang w:val="en-GB"/>
        </w:rPr>
        <w:t>be 5 MHz or multiples of 5 MHz, which, however, does not preclude the use of a smaller channel bandwidth within the 5 MHz block;</w:t>
      </w:r>
    </w:p>
    <w:p w14:paraId="0E0160C2" w14:textId="4B8A4E3F" w:rsidR="00F36014" w:rsidRPr="00C806B3" w:rsidRDefault="00F36014" w:rsidP="00723F7F">
      <w:pPr>
        <w:pStyle w:val="Felsorolsbekezdsnmhh"/>
        <w:numPr>
          <w:ilvl w:val="0"/>
          <w:numId w:val="13"/>
        </w:numPr>
      </w:pPr>
      <w:r>
        <w:rPr>
          <w:lang w:val="en-GB"/>
        </w:rPr>
        <w:t>In the FDD arrangement, the transmission band for end-user equipment is in the 703-733 MHz frequency range, and the transmission band for base stations is in the 758-788 MHz frequency range;</w:t>
      </w:r>
    </w:p>
    <w:p w14:paraId="65E9AAAC" w14:textId="6E46B8A0" w:rsidR="00F36014" w:rsidRPr="00C806B3" w:rsidRDefault="00F36014" w:rsidP="00723F7F">
      <w:pPr>
        <w:pStyle w:val="Felsorolsbekezdsnmhh"/>
        <w:numPr>
          <w:ilvl w:val="0"/>
          <w:numId w:val="13"/>
        </w:numPr>
      </w:pPr>
      <w:r>
        <w:rPr>
          <w:lang w:val="en-GB"/>
        </w:rPr>
        <w:t>SDL use includes the following frequency block: 738-743 MHz, 743-748 MHz, 748-753 MHz and 753-758 MHz; the number of contiguous blocks that may be used for SDL may be decided at national level, depending on national needs;</w:t>
      </w:r>
    </w:p>
    <w:p w14:paraId="50456B2A" w14:textId="77777777" w:rsidR="00F36014" w:rsidRPr="00C806B3" w:rsidRDefault="00F36014" w:rsidP="00723F7F">
      <w:pPr>
        <w:pStyle w:val="Felsorolsbekezdsnmhh"/>
        <w:numPr>
          <w:ilvl w:val="0"/>
          <w:numId w:val="13"/>
        </w:numPr>
      </w:pPr>
      <w:r>
        <w:rPr>
          <w:lang w:val="en-GB"/>
        </w:rPr>
        <w:t xml:space="preserve">In addition to MFCN (FDD and SDL), other non-MFCN options (such as PPDR, PMSE, M2M) may also be decided at national level within the context of flexible harmonisation. </w:t>
      </w:r>
    </w:p>
    <w:p w14:paraId="122D0C91" w14:textId="20A7D924" w:rsidR="00F36014" w:rsidRDefault="00F36014" w:rsidP="00F36014">
      <w:pPr>
        <w:pStyle w:val="Behzottbekezdsnmhh"/>
      </w:pPr>
      <w:r>
        <w:rPr>
          <w:lang w:val="en-GB"/>
        </w:rPr>
        <w:t xml:space="preserve">The use of the CEPT block edge mask (BEM) allows </w:t>
      </w:r>
      <w:r w:rsidR="002D0079">
        <w:rPr>
          <w:lang w:val="en-GB"/>
        </w:rPr>
        <w:t xml:space="preserve">several </w:t>
      </w:r>
      <w:r>
        <w:rPr>
          <w:lang w:val="en-GB"/>
        </w:rPr>
        <w:t xml:space="preserve">radio applications to use parts of the frequency band, for example PPDR and PMSE can coexist in the duplex gap, ensuring technology neutrality in the use of the frequency band. The use of appropriate BEMs also allows different services to use </w:t>
      </w:r>
      <w:r w:rsidR="009B553C">
        <w:rPr>
          <w:lang w:val="en-GB"/>
        </w:rPr>
        <w:t xml:space="preserve">the concerned </w:t>
      </w:r>
      <w:r>
        <w:rPr>
          <w:lang w:val="en-GB"/>
        </w:rPr>
        <w:t xml:space="preserve">sub-bands depending on the needs in each country. The BEM ensures the least restrictive technical conditions necessary for the </w:t>
      </w:r>
      <w:r w:rsidR="00F51AC1">
        <w:rPr>
          <w:lang w:val="en-GB"/>
        </w:rPr>
        <w:t xml:space="preserve">interference-free </w:t>
      </w:r>
      <w:r>
        <w:rPr>
          <w:lang w:val="en-GB"/>
        </w:rPr>
        <w:t xml:space="preserve">operation </w:t>
      </w:r>
      <w:r w:rsidR="00EF767A">
        <w:rPr>
          <w:lang w:val="en-GB"/>
        </w:rPr>
        <w:t xml:space="preserve">of </w:t>
      </w:r>
      <w:r>
        <w:rPr>
          <w:lang w:val="en-GB"/>
        </w:rPr>
        <w:t>various MFCN networks as well as the MFCN and other services (such as broadcasting below 694 MHz). Specific conditions are set for base stations, mobile terminals and PMSE devices. Their use facilitates coordination between countries in case they use parts of the band differently (e.g. PPDR and SDL). In the event that terrestrial broadcasting causes interference to the MFCN, a case-by-case assessment must be carried out using appropriate mitigation methods</w:t>
      </w:r>
      <w:r w:rsidR="00116988">
        <w:rPr>
          <w:lang w:val="en-GB"/>
        </w:rPr>
        <w:t xml:space="preserve"> </w:t>
      </w:r>
      <w:r w:rsidR="00116988" w:rsidRPr="00116988">
        <w:rPr>
          <w:lang w:val="en-GB"/>
        </w:rPr>
        <w:t>at national level</w:t>
      </w:r>
      <w:r>
        <w:rPr>
          <w:lang w:val="en-GB"/>
        </w:rPr>
        <w:t xml:space="preserve">. </w:t>
      </w:r>
    </w:p>
    <w:p w14:paraId="5D8C3F00" w14:textId="6FC30FEA" w:rsidR="00F36014" w:rsidRPr="009E2CCE" w:rsidRDefault="00F36014" w:rsidP="00723F7F">
      <w:pPr>
        <w:pStyle w:val="Behzottbekezdsnmhh"/>
        <w:rPr>
          <w:b/>
          <w:sz w:val="18"/>
          <w:szCs w:val="18"/>
        </w:rPr>
      </w:pPr>
      <w:r>
        <w:rPr>
          <w:lang w:val="en-GB"/>
        </w:rPr>
        <w:t>The</w:t>
      </w:r>
      <w:r>
        <w:rPr>
          <w:b/>
          <w:bCs/>
          <w:lang w:val="en-GB"/>
        </w:rPr>
        <w:t xml:space="preserve"> </w:t>
      </w:r>
      <w:r>
        <w:rPr>
          <w:lang w:val="en-GB"/>
        </w:rPr>
        <w:t xml:space="preserve">PMSE can also use the guard band and the duplex gap under the technical conditions published in the decision. </w:t>
      </w:r>
    </w:p>
    <w:p w14:paraId="6859C6CD" w14:textId="1630FFC3" w:rsidR="00F36014" w:rsidRDefault="00F36014" w:rsidP="00F36014">
      <w:pPr>
        <w:pStyle w:val="Behzottbekezdsnmhh"/>
      </w:pPr>
      <w:r>
        <w:rPr>
          <w:lang w:val="en-GB"/>
        </w:rPr>
        <w:lastRenderedPageBreak/>
        <w:t>The current spectrum use of PMSE devices and future needs are discussed in CEPT Report 204. Compatibility conditions for interference-free operation of PMSE and MFCN applications in adjacent bands are described in ECC Report 221.</w:t>
      </w:r>
    </w:p>
    <w:p w14:paraId="572CA493" w14:textId="327B99B5" w:rsidR="00F36014" w:rsidRDefault="00F36014" w:rsidP="00F36014">
      <w:pPr>
        <w:pStyle w:val="Behzottbekezdsnmhh"/>
      </w:pPr>
      <w:r>
        <w:rPr>
          <w:lang w:val="en-GB"/>
        </w:rPr>
        <w:t xml:space="preserve">The frequency bands that can be used for the implementation of broadband PPDR (BB-PPDR) are set out in Decision ECC/DEC/(16)02.  </w:t>
      </w:r>
    </w:p>
    <w:p w14:paraId="1DD8127E" w14:textId="77777777" w:rsidR="00F36014" w:rsidRDefault="00F36014" w:rsidP="00F36014">
      <w:pPr>
        <w:pStyle w:val="ECCParagraph"/>
        <w:keepNext/>
        <w:spacing w:after="0"/>
        <w:rPr>
          <w:rFonts w:asciiTheme="minorHAnsi" w:eastAsiaTheme="minorHAnsi" w:hAnsiTheme="minorHAnsi" w:cstheme="minorHAnsi"/>
          <w:szCs w:val="20"/>
        </w:rPr>
      </w:pPr>
    </w:p>
    <w:p w14:paraId="054A40D2" w14:textId="09A2A2AC" w:rsidR="00F36014" w:rsidRDefault="00F36014" w:rsidP="00F36014">
      <w:pPr>
        <w:pStyle w:val="ECCParagraph"/>
        <w:keepNext/>
        <w:spacing w:after="0"/>
        <w:rPr>
          <w:rFonts w:asciiTheme="minorHAnsi" w:eastAsiaTheme="minorHAnsi" w:hAnsiTheme="minorHAnsi" w:cstheme="minorHAnsi"/>
          <w:szCs w:val="20"/>
        </w:rPr>
      </w:pPr>
      <w:r>
        <w:rPr>
          <w:rFonts w:asciiTheme="minorHAnsi" w:eastAsiaTheme="minorHAnsi" w:hAnsiTheme="minorHAnsi" w:cstheme="minorHAnsi"/>
          <w:szCs w:val="20"/>
        </w:rPr>
        <w:t>On the basis of the different band arrangement options, the following bands in the 700 MHz frequency band were identified for BB-PPDR by Decision ECC/DEC/(16)02:</w:t>
      </w:r>
    </w:p>
    <w:p w14:paraId="0CA571FD" w14:textId="77777777" w:rsidR="00F36014" w:rsidRPr="00330014" w:rsidRDefault="00F36014" w:rsidP="00F36014">
      <w:pPr>
        <w:pStyle w:val="ECCParagraph"/>
        <w:keepNext/>
        <w:spacing w:after="0"/>
        <w:rPr>
          <w:rFonts w:asciiTheme="minorHAnsi" w:eastAsiaTheme="minorHAnsi" w:hAnsiTheme="minorHAnsi" w:cstheme="minorHAnsi"/>
          <w:szCs w:val="20"/>
        </w:rPr>
      </w:pPr>
    </w:p>
    <w:p w14:paraId="4212A524" w14:textId="7CD7C8C3" w:rsidR="00F36014" w:rsidRPr="00330014" w:rsidRDefault="00F36014" w:rsidP="00723F7F">
      <w:pPr>
        <w:pStyle w:val="Felsorolsbekezdsnmhh"/>
        <w:numPr>
          <w:ilvl w:val="0"/>
          <w:numId w:val="15"/>
        </w:numPr>
      </w:pPr>
      <w:r>
        <w:rPr>
          <w:lang w:val="en-GB"/>
        </w:rPr>
        <w:t>698-703 MHz (uplink) / 753-758 MHz (downlink);</w:t>
      </w:r>
    </w:p>
    <w:p w14:paraId="605632B0" w14:textId="77777777" w:rsidR="00F36014" w:rsidRDefault="00F36014" w:rsidP="00723F7F">
      <w:pPr>
        <w:pStyle w:val="Felsorolsbekezdsnmhh"/>
        <w:numPr>
          <w:ilvl w:val="0"/>
          <w:numId w:val="15"/>
        </w:numPr>
      </w:pPr>
      <w:r>
        <w:rPr>
          <w:lang w:val="en-GB"/>
        </w:rPr>
        <w:t>733-736 MHz (uplink) / 788-791 MHz (downlink);</w:t>
      </w:r>
    </w:p>
    <w:p w14:paraId="65E37742" w14:textId="77777777" w:rsidR="00F36014" w:rsidRPr="00330014" w:rsidRDefault="00F36014" w:rsidP="00723F7F">
      <w:pPr>
        <w:pStyle w:val="Felsorolsbekezdsnmhh"/>
        <w:numPr>
          <w:ilvl w:val="0"/>
          <w:numId w:val="15"/>
        </w:numPr>
      </w:pPr>
      <w:r>
        <w:rPr>
          <w:lang w:val="en-GB"/>
        </w:rPr>
        <w:t>703-733 MHz (uplink) / 758-788 MHz (downlink).</w:t>
      </w:r>
    </w:p>
    <w:p w14:paraId="6262F957" w14:textId="07A857CF" w:rsidR="00F36014" w:rsidRPr="00A1007E" w:rsidRDefault="00F36014" w:rsidP="00F36014">
      <w:pPr>
        <w:pStyle w:val="Behzottbekezdsnmhh"/>
      </w:pPr>
      <w:r>
        <w:rPr>
          <w:lang w:val="en-GB"/>
        </w:rPr>
        <w:t>If the PPDR is designated within the 703-733 MHz (uplink) / 758-788 MHz (downlink) sub-band designated to MFCN, it must comply with the least restrictive technical conditions for MFCN as set out in Decision ECC/DEC/(15)01.</w:t>
      </w:r>
    </w:p>
    <w:p w14:paraId="0A045AB2" w14:textId="29612EDD" w:rsidR="00F36014" w:rsidRPr="00A1007E" w:rsidRDefault="00F36014" w:rsidP="00F36014">
      <w:pPr>
        <w:pStyle w:val="Behzottbekezdsnmhh"/>
      </w:pPr>
      <w:r>
        <w:rPr>
          <w:lang w:val="en-GB"/>
        </w:rPr>
        <w:t>If the BB-PPDR is implemented in the dedicated 698-703 MHz (uplink) / 753-758 MHz (downlink) and/or 733-736 MHz (uplink) / 788-791 MHz (downlink) bands, the technical conditions are set out in Annex 1 to Decision ECC/DEC/(16)02.</w:t>
      </w:r>
    </w:p>
    <w:p w14:paraId="64181B34" w14:textId="18F7F318" w:rsidR="00F36014" w:rsidRDefault="00F36014" w:rsidP="00F36014">
      <w:pPr>
        <w:pStyle w:val="Behzottbekezdsnmhh"/>
      </w:pPr>
      <w:r>
        <w:rPr>
          <w:lang w:val="en-GB"/>
        </w:rPr>
        <w:t xml:space="preserve">M2M systems may be implemented in the 700 MHz frequency band within MFCN networks or, as a national option in accordance with the flexible harmonisation provided in Decision ECC/DEC/15(01), a 2x3 MHz dedicated bands for M2M may be </w:t>
      </w:r>
      <w:r w:rsidR="0091515D">
        <w:rPr>
          <w:lang w:val="en-GB"/>
        </w:rPr>
        <w:t xml:space="preserve">designated </w:t>
      </w:r>
      <w:r>
        <w:rPr>
          <w:lang w:val="en-GB"/>
        </w:rPr>
        <w:t>in the 733-736 MHz/788-791 MHz sub-band (</w:t>
      </w:r>
      <w:r w:rsidR="00D72ED2">
        <w:rPr>
          <w:lang w:val="en-GB"/>
        </w:rPr>
        <w:t xml:space="preserve">in </w:t>
      </w:r>
      <w:r>
        <w:rPr>
          <w:lang w:val="en-GB"/>
        </w:rPr>
        <w:t xml:space="preserve">the </w:t>
      </w:r>
      <w:r w:rsidR="00D72ED2">
        <w:rPr>
          <w:lang w:val="en-GB"/>
        </w:rPr>
        <w:t xml:space="preserve">sub-band separating </w:t>
      </w:r>
      <w:r>
        <w:rPr>
          <w:lang w:val="en-GB"/>
        </w:rPr>
        <w:t xml:space="preserve">the duplex sub-bands and </w:t>
      </w:r>
      <w:r w:rsidR="00D72ED2">
        <w:rPr>
          <w:lang w:val="en-GB"/>
        </w:rPr>
        <w:t xml:space="preserve">in </w:t>
      </w:r>
      <w:r>
        <w:rPr>
          <w:lang w:val="en-GB"/>
        </w:rPr>
        <w:t>the guard band).</w:t>
      </w:r>
    </w:p>
    <w:p w14:paraId="0BD8911B" w14:textId="0664A2ED" w:rsidR="00F36014" w:rsidRDefault="00F36014" w:rsidP="00F36014">
      <w:pPr>
        <w:pStyle w:val="Behzottbekezdsnmhh"/>
      </w:pPr>
      <w:r>
        <w:rPr>
          <w:lang w:val="en-GB"/>
        </w:rPr>
        <w:t>The results of the compatibility studies for the 733-736 MHz/788-791 MHz sub-band to avoid interference between M2M (LTE-based or narrowband M2M) and other applications are presented in ECC Report 242.</w:t>
      </w:r>
    </w:p>
    <w:p w14:paraId="0E436BEA" w14:textId="18DBC98B" w:rsidR="00F36014" w:rsidRDefault="00F36014" w:rsidP="00F36014">
      <w:pPr>
        <w:pStyle w:val="Behzottbekezdsnmhh"/>
      </w:pPr>
      <w:r>
        <w:rPr>
          <w:lang w:val="en-GB"/>
        </w:rPr>
        <w:t>The potential uses of the 700 MHz frequency band and the compatibility cases that may arise for M2M and MFCN/SDL, PMSE, PPDR applications operating in adjacent bands are summarised in Figure 3.1.2.b.</w:t>
      </w:r>
    </w:p>
    <w:p w14:paraId="4B8F9ED6" w14:textId="77777777" w:rsidR="00F36014" w:rsidRDefault="00F36014" w:rsidP="00F36014">
      <w:pPr>
        <w:pStyle w:val="Behzottbekezdsnmhh"/>
        <w:ind w:firstLine="0"/>
        <w:jc w:val="left"/>
      </w:pPr>
      <w:r>
        <w:rPr>
          <w:noProof/>
          <w:lang w:eastAsia="hu-HU"/>
        </w:rPr>
        <w:drawing>
          <wp:inline distT="0" distB="0" distL="0" distR="0" wp14:anchorId="52F4B544" wp14:editId="10DAE2A0">
            <wp:extent cx="5915771" cy="2398542"/>
            <wp:effectExtent l="0" t="0" r="8890" b="1905"/>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18551" cy="2399669"/>
                    </a:xfrm>
                    <a:prstGeom prst="rect">
                      <a:avLst/>
                    </a:prstGeom>
                  </pic:spPr>
                </pic:pic>
              </a:graphicData>
            </a:graphic>
          </wp:inline>
        </w:drawing>
      </w:r>
    </w:p>
    <w:p w14:paraId="5FCD65BC" w14:textId="7B7B3442" w:rsidR="00F36014" w:rsidRPr="00C27DD7" w:rsidRDefault="009C7F65" w:rsidP="00840181">
      <w:pPr>
        <w:pStyle w:val="Kpalrs"/>
        <w:jc w:val="center"/>
        <w:rPr>
          <w:b w:val="0"/>
        </w:rPr>
      </w:pPr>
      <w:r>
        <w:rPr>
          <w:noProof/>
          <w:lang w:val="en-GB"/>
        </w:rPr>
        <w:t>Figure 3.1.2.b: Potential uses of the 700 MHz frequency band (source: ECC Report 242)</w:t>
      </w:r>
    </w:p>
    <w:p w14:paraId="4604A52A" w14:textId="77777777" w:rsidR="00A57A5F" w:rsidRDefault="00A57A5F" w:rsidP="00A57A5F">
      <w:pPr>
        <w:pStyle w:val="Cmsor3szmozottnmhh"/>
        <w:keepNext/>
      </w:pPr>
      <w:bookmarkStart w:id="15" w:name="_Toc98750387"/>
      <w:bookmarkEnd w:id="2"/>
      <w:bookmarkEnd w:id="8"/>
      <w:r>
        <w:rPr>
          <w:bCs/>
          <w:lang w:val="en-GB"/>
        </w:rPr>
        <w:t>EU</w:t>
      </w:r>
      <w:bookmarkEnd w:id="15"/>
    </w:p>
    <w:p w14:paraId="3B4125FB" w14:textId="77777777" w:rsidR="00A57A5F" w:rsidRPr="00915776" w:rsidRDefault="00A57A5F" w:rsidP="00A57A5F">
      <w:pPr>
        <w:pStyle w:val="Behzottbekezdsnmhh"/>
      </w:pPr>
    </w:p>
    <w:p w14:paraId="4D5AF356" w14:textId="62CF0C65" w:rsidR="00A57A5F" w:rsidRPr="00915776" w:rsidRDefault="00A57A5F" w:rsidP="00A57A5F">
      <w:pPr>
        <w:pStyle w:val="Behzottbekezdsnmhh"/>
      </w:pPr>
      <w:r>
        <w:rPr>
          <w:lang w:val="en-GB"/>
        </w:rPr>
        <w:lastRenderedPageBreak/>
        <w:t xml:space="preserve">Since the launch of the Digital Single Market strategy, the European Commission has prioritised the 700 MHz frequency band for its suitability for wireless broadband electronic communications services, particularly in rural areas. </w:t>
      </w:r>
    </w:p>
    <w:p w14:paraId="75839D12" w14:textId="123FCAD6" w:rsidR="00A57A5F" w:rsidRDefault="00A57A5F" w:rsidP="00552284">
      <w:pPr>
        <w:pStyle w:val="Behzottbekezdsnmhh"/>
      </w:pPr>
      <w:r>
        <w:rPr>
          <w:lang w:val="en-GB"/>
        </w:rPr>
        <w:t xml:space="preserve">The EU </w:t>
      </w:r>
      <w:r>
        <w:rPr>
          <w:rStyle w:val="Lbjegyzet-hivatkozs"/>
          <w:szCs w:val="18"/>
          <w:vertAlign w:val="baseline"/>
          <w:lang w:val="en-GB"/>
        </w:rPr>
        <w:t>Radio Spectrum Policy Programme</w:t>
      </w:r>
      <w:r>
        <w:rPr>
          <w:rStyle w:val="Lbjegyzet-hivatkozs"/>
          <w:szCs w:val="18"/>
          <w:lang w:val="en-GB"/>
        </w:rPr>
        <w:footnoteReference w:id="46"/>
      </w:r>
      <w:r>
        <w:rPr>
          <w:rStyle w:val="Lbjegyzet-hivatkozs"/>
          <w:szCs w:val="18"/>
          <w:vertAlign w:val="baseline"/>
          <w:lang w:val="en-GB"/>
        </w:rPr>
        <w:t xml:space="preserve"> stresses</w:t>
      </w:r>
      <w:r>
        <w:rPr>
          <w:lang w:val="en-GB"/>
        </w:rPr>
        <w:t xml:space="preserve"> that cooperation between Member States on security and emergency services should be guaranteed by harmonised technical solutions through BB-PPDR radio applications, and that Member States should aim to ensure the necessary amount of spectrum for PMSE in line with the EU’s objectives of improving internal market integration and access to culture. Another key objective is to make spectrum available for radio frequency identification (RFID) and other wireless communication technologies (including machine-to-machine communication - M2M) for the Internet of Things (IoT), and to work together to encourage the development of standards and harmonisation of spectrum use for IoT communications across Member States.</w:t>
      </w:r>
    </w:p>
    <w:p w14:paraId="552DC256" w14:textId="77777777" w:rsidR="00A57A5F" w:rsidRDefault="00A57A5F" w:rsidP="00A57A5F">
      <w:pPr>
        <w:pStyle w:val="Behzottbekezdsnmhh"/>
      </w:pPr>
      <w:r>
        <w:rPr>
          <w:lang w:val="en-GB"/>
        </w:rPr>
        <w:t>In light of the above objectives, the Commission Decision on the use of the 700 MHz frequency band for wireless broadband electronic services and the Parliament-Council Decision on the future of the UHF band were adopted:</w:t>
      </w:r>
    </w:p>
    <w:p w14:paraId="57852E63" w14:textId="56D23757" w:rsidR="00A57A5F" w:rsidRDefault="00A57A5F" w:rsidP="00A57A5F">
      <w:pPr>
        <w:pStyle w:val="Irodalomjegyzkfelsorolsnmhh"/>
        <w:numPr>
          <w:ilvl w:val="0"/>
          <w:numId w:val="14"/>
        </w:numPr>
      </w:pPr>
      <w:r>
        <w:rPr>
          <w:b/>
          <w:bCs/>
          <w:lang w:val="en-GB"/>
        </w:rPr>
        <w:t>(EU) 2016/687</w:t>
      </w:r>
      <w:r>
        <w:rPr>
          <w:sz w:val="22"/>
          <w:vertAlign w:val="superscript"/>
          <w:lang w:val="en-GB"/>
        </w:rPr>
        <w:footnoteReference w:id="47"/>
      </w:r>
      <w:r>
        <w:rPr>
          <w:lang w:val="en-GB"/>
        </w:rPr>
        <w:t xml:space="preserve">: </w:t>
      </w:r>
      <w:r>
        <w:rPr>
          <w:szCs w:val="24"/>
          <w:lang w:val="en-GB"/>
        </w:rPr>
        <w:t>Commission Implementing Decision (EU) 2016/687 of 28 April 2016 on the harmonisation of the 694</w:t>
      </w:r>
      <w:r w:rsidR="002C409E">
        <w:rPr>
          <w:szCs w:val="24"/>
          <w:lang w:val="en-GB"/>
        </w:rPr>
        <w:t>-</w:t>
      </w:r>
      <w:r>
        <w:rPr>
          <w:szCs w:val="24"/>
          <w:lang w:val="en-GB"/>
        </w:rPr>
        <w:t xml:space="preserve">790 MHz frequency band for terrestrial systems capable of providing wireless broadband electronic communications services and for flexible national use in the Union; </w:t>
      </w:r>
    </w:p>
    <w:p w14:paraId="2B51814E" w14:textId="59A1E2B7" w:rsidR="00A57A5F" w:rsidRPr="009244B1" w:rsidRDefault="00A57A5F" w:rsidP="00A57A5F">
      <w:pPr>
        <w:pStyle w:val="Irodalomjegyzkfelsorolsnmhh"/>
        <w:numPr>
          <w:ilvl w:val="0"/>
          <w:numId w:val="14"/>
        </w:numPr>
      </w:pPr>
      <w:r>
        <w:rPr>
          <w:b/>
          <w:bCs/>
          <w:lang w:val="en-GB"/>
        </w:rPr>
        <w:t>(EU) 2017/899</w:t>
      </w:r>
      <w:r>
        <w:rPr>
          <w:sz w:val="22"/>
          <w:vertAlign w:val="superscript"/>
          <w:lang w:val="en-GB"/>
        </w:rPr>
        <w:footnoteReference w:id="48"/>
      </w:r>
      <w:r>
        <w:rPr>
          <w:b/>
          <w:bCs/>
          <w:lang w:val="en-GB"/>
        </w:rPr>
        <w:t xml:space="preserve">: </w:t>
      </w:r>
      <w:r>
        <w:rPr>
          <w:lang w:val="en-GB"/>
        </w:rPr>
        <w:t xml:space="preserve">Decision (EU) 2017/899 of the European Parliament and of the Council of 17 May 2017 on the use of the 470–790 MHz frequency band in the Union </w:t>
      </w:r>
    </w:p>
    <w:p w14:paraId="70DA520B" w14:textId="75E1F225" w:rsidR="00A57A5F" w:rsidRPr="00E527B2" w:rsidRDefault="00A57A5F" w:rsidP="00A57A5F">
      <w:pPr>
        <w:pStyle w:val="Behzottbekezdsnmhh"/>
      </w:pPr>
      <w:r>
        <w:rPr>
          <w:b/>
          <w:bCs/>
          <w:lang w:val="en-GB"/>
        </w:rPr>
        <w:t>Commission Implementing Decision</w:t>
      </w:r>
      <w:r>
        <w:rPr>
          <w:lang w:val="en-GB"/>
        </w:rPr>
        <w:t xml:space="preserve"> </w:t>
      </w:r>
      <w:r>
        <w:rPr>
          <w:b/>
          <w:bCs/>
          <w:lang w:val="en-GB"/>
        </w:rPr>
        <w:t xml:space="preserve">(EU) 2016/687 </w:t>
      </w:r>
      <w:r>
        <w:rPr>
          <w:lang w:val="en-GB"/>
        </w:rPr>
        <w:t xml:space="preserve">harmonises the technical conditions for the availability within the </w:t>
      </w:r>
      <w:r w:rsidR="002C409E">
        <w:rPr>
          <w:lang w:val="en-GB"/>
        </w:rPr>
        <w:t xml:space="preserve">Union </w:t>
      </w:r>
      <w:r>
        <w:rPr>
          <w:lang w:val="en-GB"/>
        </w:rPr>
        <w:t xml:space="preserve">and the efficient use of the 694-790 MHz frequency band by terrestrial systems capable of providing wireless broadband electronic communications services. It also aims to promote flexible national use to meet specific national needs in line with the RSPP’s spectrum policy priorities. </w:t>
      </w:r>
    </w:p>
    <w:p w14:paraId="028A5F7E" w14:textId="308073F2" w:rsidR="00A57A5F" w:rsidRDefault="00A57A5F" w:rsidP="00A57A5F">
      <w:pPr>
        <w:pStyle w:val="Behzottbekezdsnmhh"/>
      </w:pPr>
      <w:r>
        <w:rPr>
          <w:lang w:val="en-GB"/>
        </w:rPr>
        <w:t xml:space="preserve">According to the harmonised use, the 703-733 MHz and 758-788 MHz frequency bands </w:t>
      </w:r>
      <w:r w:rsidR="00CF4010">
        <w:rPr>
          <w:lang w:val="en-GB"/>
        </w:rPr>
        <w:t xml:space="preserve">shall </w:t>
      </w:r>
      <w:r>
        <w:rPr>
          <w:lang w:val="en-GB"/>
        </w:rPr>
        <w:t>be</w:t>
      </w:r>
      <w:r w:rsidR="00CF37B1">
        <w:rPr>
          <w:lang w:val="en-GB"/>
        </w:rPr>
        <w:t xml:space="preserve"> designated</w:t>
      </w:r>
      <w:r>
        <w:rPr>
          <w:lang w:val="en-GB"/>
        </w:rPr>
        <w:t xml:space="preserve">, on a non-exclusive basis, for terrestrial systems capable of providing wireless broadband electronic communications services (MFCN). PPDR may also be implemented in the frequency band </w:t>
      </w:r>
      <w:r w:rsidR="00CF37B1" w:rsidRPr="00CF37B1">
        <w:rPr>
          <w:lang w:val="en-GB"/>
        </w:rPr>
        <w:t xml:space="preserve">designated </w:t>
      </w:r>
      <w:r>
        <w:rPr>
          <w:lang w:val="en-GB"/>
        </w:rPr>
        <w:t xml:space="preserve">for MFCN, in which case the technical conditions for wireless broadband electronic communications services </w:t>
      </w:r>
      <w:r w:rsidR="00CF37B1">
        <w:rPr>
          <w:lang w:val="en-GB"/>
        </w:rPr>
        <w:t xml:space="preserve">shall </w:t>
      </w:r>
      <w:r>
        <w:rPr>
          <w:lang w:val="en-GB"/>
        </w:rPr>
        <w:t>also be applied. In addition to the dedicated 2x30 MHz MFCN sub-bands, additional optional applications are possible, depending on national needs, as follows:</w:t>
      </w:r>
    </w:p>
    <w:p w14:paraId="117E230B" w14:textId="0CF3DFCF" w:rsidR="00A57A5F" w:rsidRPr="00C625A6" w:rsidRDefault="00A57A5F" w:rsidP="00A57A5F">
      <w:pPr>
        <w:pStyle w:val="Behzottbekezdsnmhh"/>
        <w:numPr>
          <w:ilvl w:val="0"/>
          <w:numId w:val="40"/>
        </w:numPr>
      </w:pPr>
      <w:r w:rsidRPr="00C625A6">
        <w:rPr>
          <w:lang w:val="en-GB"/>
        </w:rPr>
        <w:t>so-called Supplemental Downlink (SDL) links, limited to downlink</w:t>
      </w:r>
      <w:r w:rsidR="002B1C4E" w:rsidRPr="00C625A6">
        <w:rPr>
          <w:lang w:val="en-GB"/>
        </w:rPr>
        <w:t xml:space="preserve"> only</w:t>
      </w:r>
      <w:r w:rsidRPr="00C625A6">
        <w:rPr>
          <w:lang w:val="en-GB"/>
        </w:rPr>
        <w:t xml:space="preserve"> transmission (SDL) by the base station, to provide MFCN asymmetric traffic, </w:t>
      </w:r>
    </w:p>
    <w:p w14:paraId="2F130E4D" w14:textId="77777777" w:rsidR="00A57A5F" w:rsidRDefault="00A57A5F" w:rsidP="00A57A5F">
      <w:pPr>
        <w:pStyle w:val="Behzottbekezdsnmhh"/>
        <w:numPr>
          <w:ilvl w:val="0"/>
          <w:numId w:val="40"/>
        </w:numPr>
      </w:pPr>
      <w:r>
        <w:rPr>
          <w:lang w:val="en-GB"/>
        </w:rPr>
        <w:t xml:space="preserve">BB-PPDR (698-703 MHz, 733-736 MHz, 753-758 MHz and 788-791 MHz): the end-user station transmission (uplink PPDR) is in one or both of the 698-703 MHz and 733-736 MHz frequency bands, and the base station transmission (downlink PPDR) is in one or both of the 753-758 MHz and 788-791 MHz frequency bands, </w:t>
      </w:r>
    </w:p>
    <w:p w14:paraId="09187E63" w14:textId="4AECD578" w:rsidR="00A57A5F" w:rsidRDefault="00447CA4" w:rsidP="00A57A5F">
      <w:pPr>
        <w:pStyle w:val="Behzottbekezdsnmhh"/>
        <w:numPr>
          <w:ilvl w:val="0"/>
          <w:numId w:val="40"/>
        </w:numPr>
      </w:pPr>
      <w:r>
        <w:rPr>
          <w:lang w:val="en-GB"/>
        </w:rPr>
        <w:t xml:space="preserve">PMSE: </w:t>
      </w:r>
      <w:r w:rsidR="008E15D1">
        <w:rPr>
          <w:lang w:val="en-GB"/>
        </w:rPr>
        <w:t xml:space="preserve">audio </w:t>
      </w:r>
      <w:r>
        <w:rPr>
          <w:lang w:val="en-GB"/>
        </w:rPr>
        <w:t>PMSE, indoor use,</w:t>
      </w:r>
    </w:p>
    <w:p w14:paraId="0BB54A59" w14:textId="7AC62C2A" w:rsidR="00A57A5F" w:rsidRDefault="00722A13" w:rsidP="00A57A5F">
      <w:pPr>
        <w:pStyle w:val="Behzottbekezdsnmhh"/>
        <w:numPr>
          <w:ilvl w:val="0"/>
          <w:numId w:val="40"/>
        </w:numPr>
      </w:pPr>
      <w:r>
        <w:rPr>
          <w:lang w:val="en-GB"/>
        </w:rPr>
        <w:t>s</w:t>
      </w:r>
      <w:r w:rsidR="00A57A5F">
        <w:rPr>
          <w:lang w:val="en-GB"/>
        </w:rPr>
        <w:t xml:space="preserve">pecifies national options for IoT/M2M (733-736 MHz/788–791 MHz, FDD mode) applications. </w:t>
      </w:r>
    </w:p>
    <w:p w14:paraId="12713909" w14:textId="7B36622D" w:rsidR="00A57A5F" w:rsidRPr="00CC28C0" w:rsidRDefault="00A57A5F" w:rsidP="00A57A5F">
      <w:pPr>
        <w:pStyle w:val="Behzottbekezdsnmhh"/>
        <w:ind w:firstLine="0"/>
      </w:pPr>
      <w:r>
        <w:rPr>
          <w:lang w:val="en-GB"/>
        </w:rPr>
        <w:lastRenderedPageBreak/>
        <w:t>The block edge mask (BEM) parameters for base stations and mobile end-user stations are set out in the Annex to this Implementing Decision to ensure the coexistence of adjacent networks in the 700 MHz frequency band and to protect other services and applications using adjacent frequency bands.</w:t>
      </w:r>
    </w:p>
    <w:p w14:paraId="1CA5C306" w14:textId="55C79214" w:rsidR="00A57A5F" w:rsidRPr="00CC28C0" w:rsidRDefault="00A57A5F" w:rsidP="00A57A5F">
      <w:pPr>
        <w:pStyle w:val="Behzottbekezdsnmhh"/>
        <w:ind w:firstLine="0"/>
      </w:pPr>
      <w:r>
        <w:rPr>
          <w:lang w:val="en-GB"/>
        </w:rPr>
        <w:t xml:space="preserve">Certain provisions of Implementing Decision 2016/687/EU relating to the </w:t>
      </w:r>
      <w:r>
        <w:rPr>
          <w:b/>
          <w:bCs/>
          <w:lang w:val="en-GB"/>
        </w:rPr>
        <w:t xml:space="preserve">694-790 MHz </w:t>
      </w:r>
      <w:r>
        <w:rPr>
          <w:lang w:val="en-GB"/>
        </w:rPr>
        <w:t xml:space="preserve">frequency </w:t>
      </w:r>
      <w:r w:rsidR="006D3D36">
        <w:rPr>
          <w:lang w:val="en-GB"/>
        </w:rPr>
        <w:t xml:space="preserve">band </w:t>
      </w:r>
      <w:r>
        <w:rPr>
          <w:lang w:val="en-GB"/>
        </w:rPr>
        <w:t xml:space="preserve">also apply to the frequency </w:t>
      </w:r>
      <w:r w:rsidR="006D3D36">
        <w:rPr>
          <w:lang w:val="en-GB"/>
        </w:rPr>
        <w:t xml:space="preserve">range </w:t>
      </w:r>
      <w:r>
        <w:rPr>
          <w:lang w:val="en-GB"/>
        </w:rPr>
        <w:t xml:space="preserve">790-791 MHz, which overlaps with the 790-862 MHz (800 MHz) frequency band. Therefore, the harmonised conditions of the 790-791 MHz frequency range set out in this Decision must be applied so that the provisions of Decision 2010/267/EU concerning the 800 MHz frequency band are also complied with. </w:t>
      </w:r>
    </w:p>
    <w:p w14:paraId="1E376BDD" w14:textId="7591AC77" w:rsidR="00A57A5F" w:rsidRPr="004C67A6" w:rsidRDefault="00A57A5F" w:rsidP="00A57A5F">
      <w:pPr>
        <w:pStyle w:val="Behzottbekezdsnmhh"/>
      </w:pPr>
      <w:r>
        <w:rPr>
          <w:b/>
          <w:bCs/>
          <w:lang w:val="en-GB"/>
        </w:rPr>
        <w:t>Decision (EU) 2017/899</w:t>
      </w:r>
      <w:r>
        <w:rPr>
          <w:lang w:val="en-GB"/>
        </w:rPr>
        <w:t xml:space="preserve"> </w:t>
      </w:r>
      <w:r>
        <w:rPr>
          <w:b/>
          <w:bCs/>
          <w:lang w:val="en-GB"/>
        </w:rPr>
        <w:t>of the European Parliament and of the Council</w:t>
      </w:r>
      <w:r>
        <w:rPr>
          <w:lang w:val="en-GB"/>
        </w:rPr>
        <w:t xml:space="preserve"> regulates the implementation deadlines and other obligations of the Member States and includes provisions for the use of the 700 MHz and the 470-694 MHz frequency bands. </w:t>
      </w:r>
    </w:p>
    <w:p w14:paraId="41458FC7" w14:textId="77777777" w:rsidR="00A57A5F" w:rsidRDefault="00A57A5F" w:rsidP="00CA5369">
      <w:pPr>
        <w:pStyle w:val="Cmsor2szmozottnmhh"/>
        <w:keepNext/>
        <w:ind w:left="578" w:hanging="578"/>
      </w:pPr>
      <w:bookmarkStart w:id="16" w:name="_Toc473880720"/>
      <w:bookmarkStart w:id="17" w:name="_Toc98750388"/>
      <w:r>
        <w:rPr>
          <w:bCs/>
          <w:lang w:val="en-GB"/>
        </w:rPr>
        <w:t>National regulation</w:t>
      </w:r>
      <w:bookmarkEnd w:id="16"/>
      <w:bookmarkEnd w:id="17"/>
    </w:p>
    <w:p w14:paraId="24A9A1E8" w14:textId="09DA5FCA" w:rsidR="00A57A5F" w:rsidRDefault="00A57A5F" w:rsidP="00A57A5F">
      <w:pPr>
        <w:pStyle w:val="Behzottbekezdsnmhh"/>
      </w:pPr>
      <w:r>
        <w:rPr>
          <w:lang w:val="en-GB"/>
        </w:rPr>
        <w:t xml:space="preserve">Pursuant to the NFFF Decree in effect, the 694-790 MHz frequency band is </w:t>
      </w:r>
      <w:r w:rsidR="00B45DF6">
        <w:rPr>
          <w:lang w:val="en-GB"/>
        </w:rPr>
        <w:t xml:space="preserve">allocated </w:t>
      </w:r>
      <w:r>
        <w:rPr>
          <w:lang w:val="en-GB"/>
        </w:rPr>
        <w:t xml:space="preserve">to </w:t>
      </w:r>
      <w:r w:rsidR="00627B4D">
        <w:rPr>
          <w:lang w:val="en-GB"/>
        </w:rPr>
        <w:t xml:space="preserve">the </w:t>
      </w:r>
      <w:r>
        <w:rPr>
          <w:lang w:val="en-GB"/>
        </w:rPr>
        <w:t>broadcasting, mobile (except aeronautical mobile) and</w:t>
      </w:r>
      <w:r w:rsidR="00445AEC">
        <w:rPr>
          <w:lang w:val="en-GB"/>
        </w:rPr>
        <w:t>, differently from the RR,</w:t>
      </w:r>
      <w:r>
        <w:rPr>
          <w:lang w:val="en-GB"/>
        </w:rPr>
        <w:t xml:space="preserve"> fixed services on a </w:t>
      </w:r>
      <w:r w:rsidR="00B45DF6">
        <w:rPr>
          <w:lang w:val="en-GB"/>
        </w:rPr>
        <w:t>co-</w:t>
      </w:r>
      <w:r>
        <w:rPr>
          <w:lang w:val="en-GB"/>
        </w:rPr>
        <w:t>primary basis.</w:t>
      </w:r>
    </w:p>
    <w:p w14:paraId="1AB5083E" w14:textId="5345B112" w:rsidR="00A57A5F" w:rsidRPr="000E570B" w:rsidRDefault="00A57A5F" w:rsidP="00A57A5F">
      <w:pPr>
        <w:pStyle w:val="Behzottbekezdsnmhh"/>
      </w:pPr>
      <w:r>
        <w:rPr>
          <w:lang w:val="en-GB"/>
        </w:rPr>
        <w:t>The NFFF Decree has been amended</w:t>
      </w:r>
      <w:r w:rsidR="00602469">
        <w:rPr>
          <w:lang w:val="en-GB"/>
        </w:rPr>
        <w:t xml:space="preserve"> to implement the EU law</w:t>
      </w:r>
      <w:r>
        <w:rPr>
          <w:lang w:val="en-GB"/>
        </w:rPr>
        <w:t xml:space="preserve">. The legislative tasks required in the context of the Commission Implementing Decision and Decision (EU) 2017/899 of the European Parliament and of the Council were completed in two phases. The amendment to the NFFF Decree, which entered into force on 10 October 2017, indicated the possibility of introducing MFCN systems and broadband digital PPDR systems designed to meet non-civil frequency needs in the future in part of the frequency band with a planned category. With the amendment of the NFFF Decree effective from 30 March 2019, out of the 2x30 MHz band planned for MFCN systems, 2x25 MHz sub-band were categorized as designated and the legislative (technical, legal, band sales) conditions required for the competitive procedure of the 700 MHz frequency band were also incorporated. The remaining 2x5 MHz sub-band </w:t>
      </w:r>
      <w:r w:rsidR="00447EBA">
        <w:rPr>
          <w:lang w:val="en-GB"/>
        </w:rPr>
        <w:t xml:space="preserve">remained </w:t>
      </w:r>
      <w:r>
        <w:rPr>
          <w:lang w:val="en-GB"/>
        </w:rPr>
        <w:t xml:space="preserve">in the planned category until the spectrum needs of broadband PPDR systems in Hungary are clarified and the government decision on the implementation of the PPDR is made. </w:t>
      </w:r>
    </w:p>
    <w:p w14:paraId="2E09E686" w14:textId="777CBA75" w:rsidR="00A57A5F" w:rsidRDefault="00A57A5F" w:rsidP="00A57A5F">
      <w:pPr>
        <w:pStyle w:val="Behzottbekezdsnmhh"/>
        <w:ind w:firstLine="0"/>
      </w:pPr>
      <w:r>
        <w:rPr>
          <w:lang w:val="en-GB"/>
        </w:rPr>
        <w:t xml:space="preserve">Accordingly, pursuant to the NFFF Decree in force, the 708-733/763-788 MHz sub-band within the 694-790 MHz frequency band is </w:t>
      </w:r>
      <w:r w:rsidR="002A3A9E">
        <w:rPr>
          <w:lang w:val="en-GB"/>
        </w:rPr>
        <w:t xml:space="preserve">designated </w:t>
      </w:r>
      <w:r>
        <w:rPr>
          <w:lang w:val="en-GB"/>
        </w:rPr>
        <w:t>for terrestrial systems capable of providing wireless broadband electronic communications services</w:t>
      </w:r>
      <w:r w:rsidR="002A3A9E">
        <w:rPr>
          <w:lang w:val="en-GB"/>
        </w:rPr>
        <w:t xml:space="preserve"> on a primary basis</w:t>
      </w:r>
      <w:r>
        <w:rPr>
          <w:lang w:val="en-GB"/>
        </w:rPr>
        <w:t>, while the 703-708/758-763 frequency sub-band remains in planned status. The 698-703/753-758 MHz and 733-736/788-791 MHz sub-bands are planned for broadband digital PPDR systems.</w:t>
      </w:r>
    </w:p>
    <w:p w14:paraId="4CDD7EC4" w14:textId="2861CA08" w:rsidR="00A57A5F" w:rsidRDefault="00A57A5F" w:rsidP="00A57A5F">
      <w:pPr>
        <w:pStyle w:val="Behzottbekezdsnmhh"/>
      </w:pPr>
      <w:r>
        <w:rPr>
          <w:lang w:val="en-GB"/>
        </w:rPr>
        <w:t xml:space="preserve">The information on the acquisition of the </w:t>
      </w:r>
      <w:r w:rsidR="003219FA">
        <w:rPr>
          <w:lang w:val="en-GB"/>
        </w:rPr>
        <w:t xml:space="preserve">right of </w:t>
      </w:r>
      <w:r>
        <w:rPr>
          <w:lang w:val="en-GB"/>
        </w:rPr>
        <w:t xml:space="preserve">radio spectrum use for the 708-733/763-788 MHz sub-band with the already </w:t>
      </w:r>
      <w:r w:rsidR="003219FA">
        <w:rPr>
          <w:lang w:val="en-GB"/>
        </w:rPr>
        <w:t xml:space="preserve">designated </w:t>
      </w:r>
      <w:r>
        <w:rPr>
          <w:lang w:val="en-GB"/>
        </w:rPr>
        <w:t xml:space="preserve">status and the conditions of </w:t>
      </w:r>
      <w:r w:rsidR="00333767" w:rsidRPr="00333767">
        <w:rPr>
          <w:lang w:val="en-GB"/>
        </w:rPr>
        <w:t xml:space="preserve">using </w:t>
      </w:r>
      <w:r>
        <w:rPr>
          <w:lang w:val="en-GB"/>
        </w:rPr>
        <w:t>the band is included in Annex 3 of the NFFF Decree.</w:t>
      </w:r>
    </w:p>
    <w:tbl>
      <w:tblPr>
        <w:tblStyle w:val="Rcsostblzat"/>
        <w:tblW w:w="0" w:type="auto"/>
        <w:tblLook w:val="04A0" w:firstRow="1" w:lastRow="0" w:firstColumn="1" w:lastColumn="0" w:noHBand="0" w:noVBand="1"/>
      </w:tblPr>
      <w:tblGrid>
        <w:gridCol w:w="4531"/>
        <w:gridCol w:w="4531"/>
      </w:tblGrid>
      <w:tr w:rsidR="00A57A5F" w14:paraId="2058F848" w14:textId="77777777" w:rsidTr="00707D04">
        <w:trPr>
          <w:tblHeader/>
        </w:trPr>
        <w:tc>
          <w:tcPr>
            <w:tcW w:w="4531" w:type="dxa"/>
            <w:vAlign w:val="center"/>
          </w:tcPr>
          <w:p w14:paraId="6855081B" w14:textId="4A9062D5" w:rsidR="00A57A5F" w:rsidRPr="00930F3B" w:rsidRDefault="00A57A5F" w:rsidP="00707D04">
            <w:pPr>
              <w:pStyle w:val="Behzottbekezdsnmhh"/>
              <w:ind w:firstLine="0"/>
              <w:jc w:val="center"/>
              <w:rPr>
                <w:b/>
              </w:rPr>
            </w:pPr>
            <w:r>
              <w:rPr>
                <w:b/>
                <w:bCs/>
                <w:lang w:val="en-GB"/>
              </w:rPr>
              <w:t>Subject of condition</w:t>
            </w:r>
          </w:p>
        </w:tc>
        <w:tc>
          <w:tcPr>
            <w:tcW w:w="4531" w:type="dxa"/>
            <w:vAlign w:val="center"/>
          </w:tcPr>
          <w:p w14:paraId="2124EB06" w14:textId="77777777" w:rsidR="00A57A5F" w:rsidRPr="00930F3B" w:rsidRDefault="00A57A5F" w:rsidP="00707D04">
            <w:pPr>
              <w:pStyle w:val="Behzottbekezdsnmhh"/>
              <w:ind w:firstLine="0"/>
              <w:jc w:val="center"/>
              <w:rPr>
                <w:b/>
              </w:rPr>
            </w:pPr>
            <w:r>
              <w:rPr>
                <w:b/>
                <w:bCs/>
                <w:lang w:val="en-GB"/>
              </w:rPr>
              <w:t>Requirement</w:t>
            </w:r>
          </w:p>
        </w:tc>
      </w:tr>
      <w:tr w:rsidR="00A57A5F" w14:paraId="3C27C5DE" w14:textId="77777777" w:rsidTr="00707D04">
        <w:trPr>
          <w:tblHeader/>
        </w:trPr>
        <w:tc>
          <w:tcPr>
            <w:tcW w:w="4531" w:type="dxa"/>
            <w:vAlign w:val="center"/>
          </w:tcPr>
          <w:p w14:paraId="1039B75A" w14:textId="77777777" w:rsidR="00A57A5F" w:rsidRPr="005638AA" w:rsidRDefault="00A57A5F" w:rsidP="00707D04">
            <w:pPr>
              <w:pStyle w:val="Behzottbekezdsnmhh"/>
              <w:ind w:firstLine="0"/>
              <w:jc w:val="left"/>
              <w:rPr>
                <w:color w:val="000000"/>
                <w:sz w:val="18"/>
              </w:rPr>
            </w:pPr>
            <w:r>
              <w:rPr>
                <w:color w:val="000000"/>
                <w:sz w:val="18"/>
                <w:lang w:val="en-GB"/>
              </w:rPr>
              <w:t>Purpose of use</w:t>
            </w:r>
          </w:p>
        </w:tc>
        <w:tc>
          <w:tcPr>
            <w:tcW w:w="4531" w:type="dxa"/>
            <w:vAlign w:val="center"/>
          </w:tcPr>
          <w:p w14:paraId="113BBF54" w14:textId="77777777" w:rsidR="00A57A5F" w:rsidRPr="00930F3B" w:rsidRDefault="00A57A5F" w:rsidP="00707D04">
            <w:pPr>
              <w:pStyle w:val="Behzottbekezdsnmhh"/>
              <w:ind w:firstLine="0"/>
              <w:jc w:val="left"/>
              <w:rPr>
                <w:b/>
              </w:rPr>
            </w:pPr>
            <w:r>
              <w:rPr>
                <w:rFonts w:ascii="Arial" w:hAnsi="Arial" w:cs="Arial"/>
                <w:color w:val="212529"/>
                <w:sz w:val="18"/>
                <w:szCs w:val="18"/>
                <w:shd w:val="clear" w:color="auto" w:fill="FFFFFF"/>
                <w:lang w:val="en-GB"/>
              </w:rPr>
              <w:t>providing electronic communications services</w:t>
            </w:r>
          </w:p>
        </w:tc>
      </w:tr>
      <w:tr w:rsidR="00A57A5F" w:rsidRPr="005638AA" w14:paraId="466C0FE1" w14:textId="77777777" w:rsidTr="00707D04">
        <w:trPr>
          <w:tblHeader/>
        </w:trPr>
        <w:tc>
          <w:tcPr>
            <w:tcW w:w="4531" w:type="dxa"/>
            <w:vAlign w:val="center"/>
          </w:tcPr>
          <w:p w14:paraId="5CDEB302" w14:textId="77777777" w:rsidR="00A57A5F" w:rsidRPr="005638AA" w:rsidRDefault="00A57A5F" w:rsidP="00707D04">
            <w:pPr>
              <w:pStyle w:val="Behzottbekezdsnmhh"/>
              <w:ind w:firstLine="0"/>
              <w:jc w:val="left"/>
              <w:rPr>
                <w:color w:val="000000"/>
                <w:sz w:val="18"/>
              </w:rPr>
            </w:pPr>
            <w:r>
              <w:rPr>
                <w:color w:val="000000"/>
                <w:sz w:val="18"/>
                <w:lang w:val="en-GB"/>
              </w:rPr>
              <w:t>Method of frequency distribution</w:t>
            </w:r>
          </w:p>
        </w:tc>
        <w:tc>
          <w:tcPr>
            <w:tcW w:w="4531" w:type="dxa"/>
            <w:vAlign w:val="center"/>
          </w:tcPr>
          <w:p w14:paraId="66863A00" w14:textId="77777777" w:rsidR="00A57A5F" w:rsidRPr="005638AA" w:rsidRDefault="00A57A5F" w:rsidP="00707D04">
            <w:pPr>
              <w:pStyle w:val="Behzottbekezdsnmhh"/>
              <w:ind w:firstLine="0"/>
              <w:jc w:val="left"/>
              <w:rPr>
                <w:color w:val="000000"/>
                <w:sz w:val="18"/>
              </w:rPr>
            </w:pPr>
            <w:r>
              <w:rPr>
                <w:rFonts w:ascii="Arial" w:hAnsi="Arial" w:cs="Arial"/>
                <w:color w:val="212529"/>
                <w:sz w:val="18"/>
                <w:szCs w:val="18"/>
                <w:shd w:val="clear" w:color="auto" w:fill="FFFFFF"/>
                <w:lang w:val="en-GB"/>
              </w:rPr>
              <w:t>competitive procedure</w:t>
            </w:r>
          </w:p>
        </w:tc>
      </w:tr>
      <w:tr w:rsidR="00A57A5F" w14:paraId="0CE802B7" w14:textId="77777777" w:rsidTr="00707D04">
        <w:tc>
          <w:tcPr>
            <w:tcW w:w="4531" w:type="dxa"/>
            <w:vMerge w:val="restart"/>
            <w:vAlign w:val="center"/>
          </w:tcPr>
          <w:p w14:paraId="3AAA0A92" w14:textId="202C5BA0" w:rsidR="00A57A5F" w:rsidRDefault="00A57A5F" w:rsidP="00333767">
            <w:pPr>
              <w:pStyle w:val="Behzottbekezdsnmhh"/>
              <w:ind w:firstLine="0"/>
            </w:pPr>
            <w:r>
              <w:rPr>
                <w:color w:val="000000"/>
                <w:sz w:val="18"/>
                <w:lang w:val="en-GB"/>
              </w:rPr>
              <w:t xml:space="preserve">Maximum </w:t>
            </w:r>
            <w:r w:rsidR="00333767">
              <w:rPr>
                <w:color w:val="000000"/>
                <w:sz w:val="18"/>
                <w:lang w:val="en-GB"/>
              </w:rPr>
              <w:t xml:space="preserve">amount of </w:t>
            </w:r>
            <w:r>
              <w:rPr>
                <w:color w:val="000000"/>
                <w:sz w:val="18"/>
                <w:lang w:val="en-GB"/>
              </w:rPr>
              <w:t>frequency range</w:t>
            </w:r>
          </w:p>
        </w:tc>
        <w:tc>
          <w:tcPr>
            <w:tcW w:w="4531" w:type="dxa"/>
            <w:vAlign w:val="center"/>
          </w:tcPr>
          <w:p w14:paraId="28646918" w14:textId="60C3BF39" w:rsidR="00A57A5F" w:rsidRDefault="00A57A5F" w:rsidP="00707D04">
            <w:pPr>
              <w:keepNext/>
              <w:keepLines/>
              <w:ind w:left="198" w:hanging="198"/>
              <w:rPr>
                <w:rFonts w:cs="Arial"/>
                <w:color w:val="000000"/>
                <w:sz w:val="18"/>
                <w:szCs w:val="18"/>
              </w:rPr>
            </w:pPr>
            <w:r>
              <w:rPr>
                <w:rFonts w:cs="Arial"/>
                <w:color w:val="000000"/>
                <w:sz w:val="18"/>
                <w:szCs w:val="18"/>
                <w:lang w:val="en-GB"/>
              </w:rPr>
              <w:t xml:space="preserve">a single radio spectrum right holder may have the right </w:t>
            </w:r>
            <w:r w:rsidR="007914E9">
              <w:rPr>
                <w:rFonts w:cs="Arial"/>
                <w:color w:val="000000"/>
                <w:sz w:val="18"/>
                <w:szCs w:val="18"/>
                <w:lang w:val="en-GB"/>
              </w:rPr>
              <w:t xml:space="preserve">of </w:t>
            </w:r>
            <w:r>
              <w:rPr>
                <w:rFonts w:cs="Arial"/>
                <w:color w:val="000000"/>
                <w:sz w:val="18"/>
                <w:szCs w:val="18"/>
                <w:lang w:val="en-GB"/>
              </w:rPr>
              <w:t xml:space="preserve">and entitlement to radio spectrum use of up to two basic blocks within the territorial </w:t>
            </w:r>
            <w:r w:rsidR="007914E9" w:rsidRPr="007914E9">
              <w:rPr>
                <w:rFonts w:cs="Arial"/>
                <w:color w:val="000000"/>
                <w:sz w:val="18"/>
                <w:szCs w:val="18"/>
                <w:lang w:val="en-GB"/>
              </w:rPr>
              <w:t xml:space="preserve">coverage </w:t>
            </w:r>
            <w:r>
              <w:rPr>
                <w:rFonts w:cs="Arial"/>
                <w:color w:val="000000"/>
                <w:sz w:val="18"/>
                <w:szCs w:val="18"/>
                <w:lang w:val="en-GB"/>
              </w:rPr>
              <w:t>of entitlement to radio spectrum use;</w:t>
            </w:r>
          </w:p>
          <w:p w14:paraId="2F208055" w14:textId="508BCD17" w:rsidR="00A57A5F" w:rsidRDefault="00A57A5F" w:rsidP="007914E9">
            <w:pPr>
              <w:pStyle w:val="Behzottbekezdsnmhh"/>
              <w:ind w:firstLine="0"/>
            </w:pPr>
            <w:r>
              <w:rPr>
                <w:rFonts w:cs="Arial"/>
                <w:color w:val="000000"/>
                <w:sz w:val="18"/>
                <w:szCs w:val="18"/>
                <w:lang w:val="en-GB"/>
              </w:rPr>
              <w:t xml:space="preserve">radio spectrum right holders belonging to the same business group may </w:t>
            </w:r>
            <w:r w:rsidR="00A07F92">
              <w:rPr>
                <w:rFonts w:cs="Arial"/>
                <w:color w:val="000000"/>
                <w:sz w:val="18"/>
                <w:szCs w:val="18"/>
                <w:lang w:val="en-GB"/>
              </w:rPr>
              <w:t xml:space="preserve">together </w:t>
            </w:r>
            <w:r>
              <w:rPr>
                <w:rFonts w:cs="Arial"/>
                <w:color w:val="000000"/>
                <w:sz w:val="18"/>
                <w:szCs w:val="18"/>
                <w:lang w:val="en-GB"/>
              </w:rPr>
              <w:t xml:space="preserve">have the right </w:t>
            </w:r>
            <w:r w:rsidR="007914E9">
              <w:rPr>
                <w:rFonts w:cs="Arial"/>
                <w:color w:val="000000"/>
                <w:sz w:val="18"/>
                <w:szCs w:val="18"/>
                <w:lang w:val="en-GB"/>
              </w:rPr>
              <w:t xml:space="preserve">of </w:t>
            </w:r>
            <w:r>
              <w:rPr>
                <w:rFonts w:cs="Arial"/>
                <w:color w:val="000000"/>
                <w:sz w:val="18"/>
                <w:szCs w:val="18"/>
                <w:lang w:val="en-GB"/>
              </w:rPr>
              <w:t xml:space="preserve">and entitlement to radio spectrum use of up to two basic blocks within the territorial </w:t>
            </w:r>
            <w:r w:rsidR="007914E9" w:rsidRPr="007914E9">
              <w:rPr>
                <w:rFonts w:cs="Arial"/>
                <w:color w:val="000000"/>
                <w:sz w:val="18"/>
                <w:szCs w:val="18"/>
                <w:lang w:val="en-GB"/>
              </w:rPr>
              <w:t xml:space="preserve">coverage </w:t>
            </w:r>
            <w:r>
              <w:rPr>
                <w:rFonts w:cs="Arial"/>
                <w:color w:val="000000"/>
                <w:sz w:val="18"/>
                <w:szCs w:val="18"/>
                <w:lang w:val="en-GB"/>
              </w:rPr>
              <w:t>of entitlement to radio spectrum use;</w:t>
            </w:r>
          </w:p>
        </w:tc>
      </w:tr>
      <w:tr w:rsidR="00A57A5F" w14:paraId="5185C70E" w14:textId="77777777" w:rsidTr="00707D04">
        <w:tc>
          <w:tcPr>
            <w:tcW w:w="4531" w:type="dxa"/>
            <w:vMerge/>
            <w:vAlign w:val="center"/>
          </w:tcPr>
          <w:p w14:paraId="3BBCE50C" w14:textId="77777777" w:rsidR="00A57A5F" w:rsidRDefault="00A57A5F" w:rsidP="00707D04">
            <w:pPr>
              <w:pStyle w:val="Behzottbekezdsnmhh"/>
              <w:ind w:firstLine="0"/>
              <w:jc w:val="center"/>
            </w:pPr>
          </w:p>
        </w:tc>
        <w:tc>
          <w:tcPr>
            <w:tcW w:w="4531" w:type="dxa"/>
            <w:vAlign w:val="center"/>
          </w:tcPr>
          <w:p w14:paraId="58ABCA89" w14:textId="61B9CD4C" w:rsidR="00A57A5F" w:rsidRDefault="00A57A5F" w:rsidP="001A54E9">
            <w:pPr>
              <w:pStyle w:val="Behzottbekezdsnmhh"/>
              <w:ind w:firstLine="0"/>
            </w:pPr>
            <w:r>
              <w:rPr>
                <w:rFonts w:cs="Arial"/>
                <w:color w:val="000000"/>
                <w:sz w:val="18"/>
                <w:szCs w:val="18"/>
                <w:lang w:val="en-GB"/>
              </w:rPr>
              <w:t xml:space="preserve">if, after completion of the competitive procedure, any radio spectrum right holder or radio spectrum right </w:t>
            </w:r>
            <w:r>
              <w:rPr>
                <w:rFonts w:cs="Arial"/>
                <w:color w:val="000000"/>
                <w:sz w:val="18"/>
                <w:szCs w:val="18"/>
                <w:lang w:val="en-GB"/>
              </w:rPr>
              <w:lastRenderedPageBreak/>
              <w:t xml:space="preserve">holders belonging to the same business group exceed the maximum </w:t>
            </w:r>
            <w:r w:rsidR="007914E9" w:rsidRPr="007914E9">
              <w:rPr>
                <w:rFonts w:cs="Arial"/>
                <w:color w:val="000000"/>
                <w:sz w:val="18"/>
                <w:szCs w:val="18"/>
                <w:lang w:val="en-GB"/>
              </w:rPr>
              <w:t xml:space="preserve">amount </w:t>
            </w:r>
            <w:r w:rsidR="007914E9">
              <w:rPr>
                <w:rFonts w:cs="Arial"/>
                <w:color w:val="000000"/>
                <w:sz w:val="18"/>
                <w:szCs w:val="18"/>
                <w:lang w:val="en-GB"/>
              </w:rPr>
              <w:t xml:space="preserve">of </w:t>
            </w:r>
            <w:r>
              <w:rPr>
                <w:rFonts w:cs="Arial"/>
                <w:color w:val="000000"/>
                <w:sz w:val="18"/>
                <w:szCs w:val="18"/>
                <w:lang w:val="en-GB"/>
              </w:rPr>
              <w:t xml:space="preserve">frequency range, they </w:t>
            </w:r>
            <w:r w:rsidR="007914E9">
              <w:rPr>
                <w:rFonts w:cs="Arial"/>
                <w:color w:val="000000"/>
                <w:sz w:val="18"/>
                <w:szCs w:val="18"/>
                <w:lang w:val="en-GB"/>
              </w:rPr>
              <w:t xml:space="preserve">shall </w:t>
            </w:r>
            <w:r>
              <w:rPr>
                <w:rFonts w:cs="Arial"/>
                <w:color w:val="000000"/>
                <w:sz w:val="18"/>
                <w:szCs w:val="18"/>
                <w:lang w:val="en-GB"/>
              </w:rPr>
              <w:t xml:space="preserve">reduce the </w:t>
            </w:r>
            <w:r w:rsidR="007914E9" w:rsidRPr="007914E9">
              <w:rPr>
                <w:rFonts w:cs="Arial"/>
                <w:color w:val="000000"/>
                <w:sz w:val="18"/>
                <w:szCs w:val="18"/>
                <w:lang w:val="en-GB"/>
              </w:rPr>
              <w:t xml:space="preserve">amount </w:t>
            </w:r>
            <w:r>
              <w:rPr>
                <w:rFonts w:cs="Arial"/>
                <w:color w:val="000000"/>
                <w:sz w:val="18"/>
                <w:szCs w:val="18"/>
                <w:lang w:val="en-GB"/>
              </w:rPr>
              <w:t xml:space="preserve">of frequency range </w:t>
            </w:r>
            <w:r w:rsidR="001A54E9">
              <w:rPr>
                <w:rFonts w:cs="Arial"/>
                <w:color w:val="000000"/>
                <w:sz w:val="18"/>
                <w:szCs w:val="18"/>
                <w:lang w:val="en-GB"/>
              </w:rPr>
              <w:t xml:space="preserve">belonging </w:t>
            </w:r>
            <w:r>
              <w:rPr>
                <w:rFonts w:cs="Arial"/>
                <w:color w:val="000000"/>
                <w:sz w:val="18"/>
                <w:szCs w:val="18"/>
                <w:lang w:val="en-GB"/>
              </w:rPr>
              <w:t>to them to at least the maximum amount of frequency range within 1 year from the date the maximum is exceeded.</w:t>
            </w:r>
          </w:p>
        </w:tc>
      </w:tr>
      <w:tr w:rsidR="00A57A5F" w14:paraId="0FE656FA" w14:textId="77777777" w:rsidTr="00707D04">
        <w:tc>
          <w:tcPr>
            <w:tcW w:w="4531" w:type="dxa"/>
            <w:vAlign w:val="center"/>
          </w:tcPr>
          <w:p w14:paraId="14324366" w14:textId="6B56D058" w:rsidR="00A57A5F" w:rsidRDefault="001667EA" w:rsidP="00333767">
            <w:pPr>
              <w:pStyle w:val="Behzottbekezdsnmhh"/>
              <w:ind w:firstLine="0"/>
            </w:pPr>
            <w:r w:rsidRPr="001667EA">
              <w:rPr>
                <w:rFonts w:cs="Arial"/>
                <w:color w:val="000000"/>
                <w:sz w:val="18"/>
                <w:szCs w:val="18"/>
                <w:lang w:val="en-GB"/>
              </w:rPr>
              <w:lastRenderedPageBreak/>
              <w:t xml:space="preserve">Minimum </w:t>
            </w:r>
            <w:r w:rsidR="00333767">
              <w:rPr>
                <w:color w:val="000000"/>
                <w:sz w:val="18"/>
                <w:lang w:val="en-GB"/>
              </w:rPr>
              <w:t xml:space="preserve">amount of </w:t>
            </w:r>
            <w:r w:rsidR="00A57A5F">
              <w:rPr>
                <w:rFonts w:cs="Arial"/>
                <w:color w:val="000000"/>
                <w:sz w:val="18"/>
                <w:szCs w:val="18"/>
                <w:lang w:val="en-GB"/>
              </w:rPr>
              <w:t xml:space="preserve">frequency range </w:t>
            </w:r>
          </w:p>
        </w:tc>
        <w:tc>
          <w:tcPr>
            <w:tcW w:w="4531" w:type="dxa"/>
            <w:vAlign w:val="center"/>
          </w:tcPr>
          <w:p w14:paraId="67505554" w14:textId="7C83BC32" w:rsidR="00A57A5F" w:rsidRDefault="00A57A5F" w:rsidP="007914E9">
            <w:pPr>
              <w:pStyle w:val="Behzottbekezdsnmhh"/>
              <w:ind w:firstLine="0"/>
            </w:pPr>
            <w:r>
              <w:rPr>
                <w:rFonts w:cs="Arial"/>
                <w:color w:val="000000"/>
                <w:sz w:val="18"/>
                <w:szCs w:val="18"/>
                <w:lang w:val="en-GB"/>
              </w:rPr>
              <w:t xml:space="preserve">a radio spectrum right holder </w:t>
            </w:r>
            <w:r w:rsidR="007914E9" w:rsidRPr="007914E9">
              <w:rPr>
                <w:rFonts w:cs="Arial"/>
                <w:color w:val="000000"/>
                <w:sz w:val="18"/>
                <w:szCs w:val="18"/>
                <w:lang w:val="en-GB"/>
              </w:rPr>
              <w:t xml:space="preserve">shall </w:t>
            </w:r>
            <w:r>
              <w:rPr>
                <w:rFonts w:cs="Arial"/>
                <w:color w:val="000000"/>
                <w:sz w:val="18"/>
                <w:szCs w:val="18"/>
                <w:lang w:val="en-GB"/>
              </w:rPr>
              <w:t>have entitlement to radio spectrum use for at least one basic block</w:t>
            </w:r>
          </w:p>
        </w:tc>
      </w:tr>
      <w:tr w:rsidR="00A57A5F" w14:paraId="5E986995" w14:textId="77777777" w:rsidTr="00707D04">
        <w:tc>
          <w:tcPr>
            <w:tcW w:w="4531" w:type="dxa"/>
            <w:vAlign w:val="center"/>
          </w:tcPr>
          <w:p w14:paraId="12A37809" w14:textId="466CBF08" w:rsidR="00A57A5F" w:rsidRDefault="00A57A5F" w:rsidP="00333767">
            <w:pPr>
              <w:pStyle w:val="Behzottbekezdsnmhh"/>
              <w:ind w:firstLine="0"/>
            </w:pPr>
            <w:r>
              <w:rPr>
                <w:rFonts w:cs="Arial"/>
                <w:color w:val="000000"/>
                <w:sz w:val="18"/>
                <w:szCs w:val="18"/>
                <w:lang w:val="en-GB"/>
              </w:rPr>
              <w:t xml:space="preserve">Duration of </w:t>
            </w:r>
            <w:r w:rsidR="00333767" w:rsidRPr="00333767">
              <w:rPr>
                <w:rFonts w:cs="Arial"/>
                <w:color w:val="000000"/>
                <w:sz w:val="18"/>
                <w:szCs w:val="18"/>
                <w:lang w:val="en-GB"/>
              </w:rPr>
              <w:t xml:space="preserve">right of </w:t>
            </w:r>
            <w:r>
              <w:rPr>
                <w:rFonts w:cs="Arial"/>
                <w:color w:val="000000"/>
                <w:sz w:val="18"/>
                <w:szCs w:val="18"/>
                <w:lang w:val="en-GB"/>
              </w:rPr>
              <w:t>radio spectrum us</w:t>
            </w:r>
            <w:r w:rsidR="00333767">
              <w:rPr>
                <w:rFonts w:cs="Arial"/>
                <w:color w:val="000000"/>
                <w:sz w:val="18"/>
                <w:szCs w:val="18"/>
                <w:lang w:val="en-GB"/>
              </w:rPr>
              <w:t>e</w:t>
            </w:r>
          </w:p>
        </w:tc>
        <w:tc>
          <w:tcPr>
            <w:tcW w:w="4531" w:type="dxa"/>
            <w:vAlign w:val="center"/>
          </w:tcPr>
          <w:p w14:paraId="2440A220" w14:textId="1B485A5D" w:rsidR="00A57A5F" w:rsidRDefault="00A57A5F" w:rsidP="007733E7">
            <w:pPr>
              <w:pStyle w:val="Behzottbekezdsnmhh"/>
              <w:ind w:firstLine="0"/>
            </w:pPr>
            <w:r>
              <w:rPr>
                <w:rFonts w:cs="Arial"/>
                <w:color w:val="000000"/>
                <w:sz w:val="18"/>
                <w:szCs w:val="18"/>
                <w:lang w:val="en-GB"/>
              </w:rPr>
              <w:t xml:space="preserve">15 years, which may be extended once by 5 years; the detailed rules and conditions of the extension </w:t>
            </w:r>
            <w:r w:rsidR="007733E7">
              <w:rPr>
                <w:rFonts w:cs="Arial"/>
                <w:color w:val="000000"/>
                <w:sz w:val="18"/>
                <w:szCs w:val="18"/>
                <w:lang w:val="en-GB"/>
              </w:rPr>
              <w:t xml:space="preserve">shall </w:t>
            </w:r>
            <w:r>
              <w:rPr>
                <w:rFonts w:cs="Arial"/>
                <w:color w:val="000000"/>
                <w:sz w:val="18"/>
                <w:szCs w:val="18"/>
                <w:lang w:val="en-GB"/>
              </w:rPr>
              <w:t xml:space="preserve">be determined by the documentation of the competitive procedure and the decision </w:t>
            </w:r>
            <w:r w:rsidR="007733E7" w:rsidRPr="007733E7">
              <w:rPr>
                <w:rFonts w:cs="Arial"/>
                <w:color w:val="000000"/>
                <w:sz w:val="18"/>
                <w:szCs w:val="18"/>
                <w:lang w:val="en-GB"/>
              </w:rPr>
              <w:t xml:space="preserve">or administrative contract </w:t>
            </w:r>
            <w:r>
              <w:rPr>
                <w:rFonts w:cs="Arial"/>
                <w:color w:val="000000"/>
                <w:sz w:val="18"/>
                <w:szCs w:val="18"/>
                <w:lang w:val="en-GB"/>
              </w:rPr>
              <w:t>closing the competitive procedure</w:t>
            </w:r>
          </w:p>
        </w:tc>
      </w:tr>
      <w:tr w:rsidR="00A57A5F" w14:paraId="32C635B8" w14:textId="77777777" w:rsidTr="00707D04">
        <w:tc>
          <w:tcPr>
            <w:tcW w:w="4531" w:type="dxa"/>
            <w:vAlign w:val="center"/>
          </w:tcPr>
          <w:p w14:paraId="18176FAB" w14:textId="41BF52A3" w:rsidR="00A57A5F" w:rsidRDefault="00A57A5F" w:rsidP="00333767">
            <w:pPr>
              <w:pStyle w:val="Behzottbekezdsnmhh"/>
              <w:ind w:firstLine="0"/>
            </w:pPr>
            <w:r>
              <w:rPr>
                <w:rFonts w:cs="Arial"/>
                <w:color w:val="000000"/>
                <w:sz w:val="18"/>
                <w:szCs w:val="18"/>
                <w:lang w:val="en-GB"/>
              </w:rPr>
              <w:t xml:space="preserve">Territorial </w:t>
            </w:r>
            <w:r w:rsidR="00333767" w:rsidRPr="00333767">
              <w:rPr>
                <w:rFonts w:cs="Arial"/>
                <w:color w:val="000000"/>
                <w:sz w:val="18"/>
                <w:szCs w:val="18"/>
                <w:lang w:val="en-GB"/>
              </w:rPr>
              <w:t xml:space="preserve">coverage </w:t>
            </w:r>
            <w:r>
              <w:rPr>
                <w:rFonts w:cs="Arial"/>
                <w:color w:val="000000"/>
                <w:sz w:val="18"/>
                <w:szCs w:val="18"/>
                <w:lang w:val="en-GB"/>
              </w:rPr>
              <w:t>of entitlement to radio spectrum use</w:t>
            </w:r>
          </w:p>
        </w:tc>
        <w:tc>
          <w:tcPr>
            <w:tcW w:w="4531" w:type="dxa"/>
            <w:vAlign w:val="center"/>
          </w:tcPr>
          <w:p w14:paraId="5623B43C" w14:textId="0F5D7B4F" w:rsidR="00A57A5F" w:rsidRPr="00454E6C" w:rsidRDefault="00454E6C" w:rsidP="008D2214">
            <w:pPr>
              <w:pStyle w:val="Behzottbekezdsnmhh"/>
              <w:ind w:firstLine="0"/>
              <w:rPr>
                <w:lang w:val="en-GB"/>
              </w:rPr>
            </w:pPr>
            <w:r w:rsidRPr="00454E6C">
              <w:rPr>
                <w:rFonts w:cs="Arial"/>
                <w:color w:val="000000"/>
                <w:sz w:val="18"/>
                <w:szCs w:val="18"/>
                <w:lang w:val="en-GB"/>
              </w:rPr>
              <w:t>nationwide in case of obtainment of entitlement to radio spectrum use, as a result of a competitive procedure,</w:t>
            </w:r>
            <w:r w:rsidR="008D2214">
              <w:rPr>
                <w:rFonts w:cs="Arial"/>
                <w:color w:val="000000"/>
                <w:sz w:val="18"/>
                <w:szCs w:val="18"/>
                <w:lang w:val="en-GB"/>
              </w:rPr>
              <w:t xml:space="preserve"> </w:t>
            </w:r>
            <w:r w:rsidRPr="00454E6C">
              <w:rPr>
                <w:rFonts w:cs="Arial"/>
                <w:color w:val="000000"/>
                <w:sz w:val="18"/>
                <w:szCs w:val="18"/>
                <w:lang w:val="en-GB"/>
              </w:rPr>
              <w:t>in case of transfer, smaller geographical unit is also permitted</w:t>
            </w:r>
            <w:r w:rsidRPr="00454E6C" w:rsidDel="00454E6C">
              <w:rPr>
                <w:rFonts w:cs="Arial"/>
                <w:color w:val="000000"/>
                <w:sz w:val="18"/>
                <w:szCs w:val="18"/>
                <w:lang w:val="en-GB"/>
              </w:rPr>
              <w:t xml:space="preserve"> </w:t>
            </w:r>
          </w:p>
        </w:tc>
      </w:tr>
      <w:tr w:rsidR="00A57A5F" w14:paraId="796FFDE9" w14:textId="77777777" w:rsidTr="00707D04">
        <w:tc>
          <w:tcPr>
            <w:tcW w:w="4531" w:type="dxa"/>
            <w:vAlign w:val="center"/>
          </w:tcPr>
          <w:p w14:paraId="7907981A" w14:textId="77777777" w:rsidR="00A57A5F" w:rsidRDefault="00A57A5F" w:rsidP="00707D04">
            <w:pPr>
              <w:pStyle w:val="Behzottbekezdsnmhh"/>
              <w:ind w:firstLine="0"/>
            </w:pPr>
            <w:r>
              <w:rPr>
                <w:rFonts w:cs="Arial"/>
                <w:color w:val="000000"/>
                <w:sz w:val="18"/>
                <w:szCs w:val="18"/>
                <w:lang w:val="en-GB"/>
              </w:rPr>
              <w:t>Method of management</w:t>
            </w:r>
          </w:p>
        </w:tc>
        <w:tc>
          <w:tcPr>
            <w:tcW w:w="4531" w:type="dxa"/>
            <w:vAlign w:val="center"/>
          </w:tcPr>
          <w:p w14:paraId="3363097E" w14:textId="77777777" w:rsidR="00A57A5F" w:rsidRDefault="00A57A5F" w:rsidP="00707D04">
            <w:pPr>
              <w:pStyle w:val="Behzottbekezdsnmhh"/>
              <w:ind w:firstLine="0"/>
            </w:pPr>
            <w:r>
              <w:rPr>
                <w:rFonts w:cs="Arial"/>
                <w:color w:val="000000"/>
                <w:sz w:val="18"/>
                <w:szCs w:val="18"/>
                <w:lang w:val="en-GB"/>
              </w:rPr>
              <w:t>block management</w:t>
            </w:r>
          </w:p>
        </w:tc>
      </w:tr>
      <w:tr w:rsidR="00A57A5F" w14:paraId="5D12845F" w14:textId="77777777" w:rsidTr="00707D04">
        <w:tc>
          <w:tcPr>
            <w:tcW w:w="4531" w:type="dxa"/>
            <w:vAlign w:val="center"/>
          </w:tcPr>
          <w:p w14:paraId="586CDD5D" w14:textId="77777777" w:rsidR="00A57A5F" w:rsidRDefault="00A57A5F" w:rsidP="00707D04">
            <w:pPr>
              <w:pStyle w:val="Behzottbekezdsnmhh"/>
              <w:ind w:firstLine="0"/>
            </w:pPr>
            <w:r>
              <w:rPr>
                <w:rFonts w:cs="Arial"/>
                <w:color w:val="000000"/>
                <w:sz w:val="18"/>
                <w:szCs w:val="18"/>
                <w:lang w:val="en-GB"/>
              </w:rPr>
              <w:t>Secondary trading</w:t>
            </w:r>
          </w:p>
        </w:tc>
        <w:tc>
          <w:tcPr>
            <w:tcW w:w="4531" w:type="dxa"/>
            <w:vAlign w:val="center"/>
          </w:tcPr>
          <w:p w14:paraId="63750D3A" w14:textId="105046D1" w:rsidR="00A57A5F" w:rsidRDefault="00A57A5F" w:rsidP="00707D04">
            <w:pPr>
              <w:keepNext/>
              <w:keepLines/>
              <w:ind w:left="198" w:hanging="198"/>
              <w:rPr>
                <w:rFonts w:cs="Arial"/>
                <w:color w:val="000000"/>
                <w:sz w:val="18"/>
                <w:szCs w:val="18"/>
              </w:rPr>
            </w:pPr>
            <w:r>
              <w:rPr>
                <w:rFonts w:cs="Arial"/>
                <w:color w:val="000000"/>
                <w:sz w:val="18"/>
                <w:szCs w:val="18"/>
                <w:lang w:val="en-GB"/>
              </w:rPr>
              <w:t xml:space="preserve">entitlement to </w:t>
            </w:r>
            <w:r w:rsidR="00C04AAA" w:rsidRPr="00C04AAA">
              <w:rPr>
                <w:rFonts w:cs="Arial"/>
                <w:color w:val="000000"/>
                <w:sz w:val="18"/>
                <w:szCs w:val="18"/>
                <w:lang w:val="en-GB"/>
              </w:rPr>
              <w:t xml:space="preserve">and right of </w:t>
            </w:r>
            <w:r>
              <w:rPr>
                <w:rFonts w:cs="Arial"/>
                <w:color w:val="000000"/>
                <w:sz w:val="18"/>
                <w:szCs w:val="18"/>
                <w:lang w:val="en-GB"/>
              </w:rPr>
              <w:t xml:space="preserve">radio spectrum use may be transferred or leased in whole or in part; partial </w:t>
            </w:r>
            <w:r w:rsidR="005C0F12">
              <w:rPr>
                <w:rFonts w:cs="Arial"/>
                <w:color w:val="000000"/>
                <w:sz w:val="18"/>
                <w:szCs w:val="18"/>
                <w:lang w:val="en-GB"/>
              </w:rPr>
              <w:t xml:space="preserve">transfer </w:t>
            </w:r>
            <w:r>
              <w:rPr>
                <w:rFonts w:cs="Arial"/>
                <w:color w:val="000000"/>
                <w:sz w:val="18"/>
                <w:szCs w:val="18"/>
                <w:lang w:val="en-GB"/>
              </w:rPr>
              <w:t>in respect of frequencies may occur per basic block</w:t>
            </w:r>
          </w:p>
          <w:p w14:paraId="1C895F1C" w14:textId="72B96D7B" w:rsidR="00A57A5F" w:rsidRDefault="00A57A5F" w:rsidP="003960B1">
            <w:pPr>
              <w:pStyle w:val="Behzottbekezdsnmhh"/>
              <w:ind w:firstLine="0"/>
            </w:pPr>
            <w:r>
              <w:rPr>
                <w:rFonts w:cs="Arial"/>
                <w:color w:val="000000"/>
                <w:sz w:val="18"/>
                <w:szCs w:val="18"/>
                <w:lang w:val="en-GB"/>
              </w:rPr>
              <w:t xml:space="preserve">with regards to the lease of </w:t>
            </w:r>
            <w:r w:rsidR="003960B1" w:rsidRPr="003960B1">
              <w:rPr>
                <w:rFonts w:cs="Arial"/>
                <w:color w:val="000000"/>
                <w:sz w:val="18"/>
                <w:szCs w:val="18"/>
                <w:lang w:val="en-GB"/>
              </w:rPr>
              <w:t xml:space="preserve">right of </w:t>
            </w:r>
            <w:r>
              <w:rPr>
                <w:rFonts w:cs="Arial"/>
                <w:color w:val="000000"/>
                <w:sz w:val="18"/>
                <w:szCs w:val="18"/>
                <w:lang w:val="en-GB"/>
              </w:rPr>
              <w:t>radio spectrum us</w:t>
            </w:r>
            <w:r w:rsidR="003960B1">
              <w:rPr>
                <w:rFonts w:cs="Arial"/>
                <w:color w:val="000000"/>
                <w:sz w:val="18"/>
                <w:szCs w:val="18"/>
                <w:lang w:val="en-GB"/>
              </w:rPr>
              <w:t>e</w:t>
            </w:r>
            <w:r>
              <w:rPr>
                <w:rFonts w:cs="Arial"/>
                <w:color w:val="000000"/>
                <w:sz w:val="18"/>
                <w:szCs w:val="18"/>
                <w:lang w:val="en-GB"/>
              </w:rPr>
              <w:t>, the documentation of the competitive procedure may define conditions in order to promote effective competition and to avoid distortions of competition</w:t>
            </w:r>
          </w:p>
        </w:tc>
      </w:tr>
      <w:tr w:rsidR="00A57A5F" w14:paraId="5668E1DD" w14:textId="77777777" w:rsidTr="00707D04">
        <w:tc>
          <w:tcPr>
            <w:tcW w:w="4531" w:type="dxa"/>
            <w:vAlign w:val="center"/>
          </w:tcPr>
          <w:p w14:paraId="2A6D0A21" w14:textId="4EA9F24E" w:rsidR="00A57A5F" w:rsidRDefault="00C04AAA" w:rsidP="00707D04">
            <w:pPr>
              <w:pStyle w:val="Behzottbekezdsnmhh"/>
              <w:ind w:firstLine="0"/>
              <w:rPr>
                <w:rFonts w:cs="Arial"/>
                <w:color w:val="000000"/>
                <w:sz w:val="18"/>
                <w:szCs w:val="18"/>
              </w:rPr>
            </w:pPr>
            <w:r>
              <w:rPr>
                <w:rFonts w:cs="Arial"/>
                <w:color w:val="000000"/>
                <w:sz w:val="18"/>
                <w:szCs w:val="18"/>
                <w:lang w:val="en-GB"/>
              </w:rPr>
              <w:t>B</w:t>
            </w:r>
            <w:r w:rsidR="00A57A5F">
              <w:rPr>
                <w:rFonts w:cs="Arial"/>
                <w:color w:val="000000"/>
                <w:sz w:val="18"/>
                <w:szCs w:val="18"/>
                <w:lang w:val="en-GB"/>
              </w:rPr>
              <w:t>and rearrangement</w:t>
            </w:r>
          </w:p>
        </w:tc>
        <w:tc>
          <w:tcPr>
            <w:tcW w:w="4531" w:type="dxa"/>
            <w:vAlign w:val="center"/>
          </w:tcPr>
          <w:p w14:paraId="342A50C2" w14:textId="77777777" w:rsidR="00A57A5F" w:rsidRDefault="00A57A5F" w:rsidP="00707D04">
            <w:pPr>
              <w:keepNext/>
              <w:keepLines/>
              <w:ind w:left="198" w:hanging="198"/>
              <w:rPr>
                <w:rFonts w:cs="Arial"/>
                <w:color w:val="000000"/>
                <w:sz w:val="18"/>
                <w:szCs w:val="18"/>
              </w:rPr>
            </w:pPr>
            <w:r>
              <w:rPr>
                <w:rFonts w:cs="Arial"/>
                <w:color w:val="000000"/>
                <w:sz w:val="18"/>
                <w:szCs w:val="18"/>
                <w:lang w:val="en-GB"/>
              </w:rPr>
              <w:t>allowed</w:t>
            </w:r>
          </w:p>
        </w:tc>
      </w:tr>
    </w:tbl>
    <w:p w14:paraId="10ADCEC1" w14:textId="068B19F5" w:rsidR="00A57A5F" w:rsidRDefault="00A57A5F" w:rsidP="00A57A5F">
      <w:pPr>
        <w:pStyle w:val="Kpalrs"/>
        <w:jc w:val="center"/>
      </w:pPr>
      <w:r>
        <w:rPr>
          <w:lang w:val="en-GB"/>
        </w:rPr>
        <w:t xml:space="preserve">Table 3.2.a: Conditions </w:t>
      </w:r>
      <w:r w:rsidR="002F43AB">
        <w:rPr>
          <w:lang w:val="en-GB"/>
        </w:rPr>
        <w:t xml:space="preserve">for </w:t>
      </w:r>
      <w:r>
        <w:rPr>
          <w:lang w:val="en-GB"/>
        </w:rPr>
        <w:t xml:space="preserve">obtaining </w:t>
      </w:r>
      <w:r w:rsidR="002F43AB">
        <w:rPr>
          <w:lang w:val="en-GB"/>
        </w:rPr>
        <w:t xml:space="preserve">right of </w:t>
      </w:r>
      <w:r>
        <w:rPr>
          <w:lang w:val="en-GB"/>
        </w:rPr>
        <w:t xml:space="preserve">radio spectrum use and </w:t>
      </w:r>
      <w:r w:rsidR="002F43AB" w:rsidRPr="002F43AB">
        <w:rPr>
          <w:lang w:val="en-GB"/>
        </w:rPr>
        <w:t xml:space="preserve">conditions of using the </w:t>
      </w:r>
      <w:r>
        <w:rPr>
          <w:lang w:val="en-GB"/>
        </w:rPr>
        <w:t>band (708-733/763-788 MHz, source: NFFF Decree)</w:t>
      </w:r>
    </w:p>
    <w:p w14:paraId="76E17210" w14:textId="40B1497F" w:rsidR="00A57A5F" w:rsidRDefault="00A57A5F" w:rsidP="00A57A5F">
      <w:pPr>
        <w:pStyle w:val="Behzottbekezdsnmhh"/>
        <w:ind w:left="357" w:firstLine="0"/>
      </w:pPr>
      <w:r>
        <w:rPr>
          <w:lang w:val="en-GB"/>
        </w:rPr>
        <w:t>The spectrum management requirements are summarised in Table 3.2.b.</w:t>
      </w:r>
    </w:p>
    <w:tbl>
      <w:tblPr>
        <w:tblStyle w:val="Rcsostblzat"/>
        <w:tblW w:w="0" w:type="auto"/>
        <w:tblInd w:w="357" w:type="dxa"/>
        <w:tblLook w:val="04A0" w:firstRow="1" w:lastRow="0" w:firstColumn="1" w:lastColumn="0" w:noHBand="0" w:noVBand="1"/>
      </w:tblPr>
      <w:tblGrid>
        <w:gridCol w:w="4353"/>
        <w:gridCol w:w="4352"/>
      </w:tblGrid>
      <w:tr w:rsidR="00A57A5F" w14:paraId="30E7A5E4" w14:textId="77777777" w:rsidTr="00707D04">
        <w:tc>
          <w:tcPr>
            <w:tcW w:w="4353" w:type="dxa"/>
            <w:vAlign w:val="center"/>
          </w:tcPr>
          <w:p w14:paraId="41E1D99B" w14:textId="77777777" w:rsidR="00A57A5F" w:rsidRDefault="00A57A5F" w:rsidP="00707D04">
            <w:pPr>
              <w:pStyle w:val="Behzottbekezdsnmhh"/>
              <w:ind w:firstLine="0"/>
            </w:pPr>
            <w:r>
              <w:rPr>
                <w:rStyle w:val="Kiemels2"/>
                <w:rFonts w:ascii="Arial" w:hAnsi="Arial" w:cs="Arial"/>
                <w:color w:val="212529"/>
                <w:sz w:val="21"/>
                <w:szCs w:val="21"/>
                <w:lang w:val="en-GB"/>
              </w:rPr>
              <w:t>Subject of requirement</w:t>
            </w:r>
          </w:p>
        </w:tc>
        <w:tc>
          <w:tcPr>
            <w:tcW w:w="4352" w:type="dxa"/>
            <w:vAlign w:val="center"/>
          </w:tcPr>
          <w:p w14:paraId="1065EAA6" w14:textId="77777777" w:rsidR="00A57A5F" w:rsidRDefault="00A57A5F" w:rsidP="00707D04">
            <w:pPr>
              <w:pStyle w:val="Behzottbekezdsnmhh"/>
              <w:ind w:firstLine="0"/>
            </w:pPr>
            <w:r>
              <w:rPr>
                <w:rStyle w:val="Kiemels2"/>
                <w:rFonts w:ascii="Arial" w:hAnsi="Arial" w:cs="Arial"/>
                <w:color w:val="212529"/>
                <w:sz w:val="21"/>
                <w:szCs w:val="21"/>
                <w:lang w:val="en-GB"/>
              </w:rPr>
              <w:t>Requirement</w:t>
            </w:r>
          </w:p>
        </w:tc>
      </w:tr>
      <w:tr w:rsidR="00A57A5F" w14:paraId="50A6C41A" w14:textId="77777777" w:rsidTr="00707D04">
        <w:tc>
          <w:tcPr>
            <w:tcW w:w="4353" w:type="dxa"/>
            <w:vAlign w:val="center"/>
          </w:tcPr>
          <w:p w14:paraId="41D3EF86" w14:textId="4ED353D6" w:rsidR="00A57A5F" w:rsidRDefault="0059366C" w:rsidP="0059366C">
            <w:pPr>
              <w:pStyle w:val="Behzottbekezdsnmhh"/>
              <w:ind w:firstLine="0"/>
            </w:pPr>
            <w:r>
              <w:rPr>
                <w:rFonts w:ascii="Arial" w:hAnsi="Arial" w:cs="Arial"/>
                <w:color w:val="212529"/>
                <w:sz w:val="21"/>
                <w:szCs w:val="21"/>
                <w:lang w:val="en-GB"/>
              </w:rPr>
              <w:t>Uplink f</w:t>
            </w:r>
            <w:r w:rsidR="00A57A5F">
              <w:rPr>
                <w:rFonts w:ascii="Arial" w:hAnsi="Arial" w:cs="Arial"/>
                <w:color w:val="212529"/>
                <w:sz w:val="21"/>
                <w:szCs w:val="21"/>
                <w:lang w:val="en-GB"/>
              </w:rPr>
              <w:t>requency band of an end-user station or a repeater station</w:t>
            </w:r>
          </w:p>
        </w:tc>
        <w:tc>
          <w:tcPr>
            <w:tcW w:w="4352" w:type="dxa"/>
          </w:tcPr>
          <w:p w14:paraId="7A98BD65" w14:textId="1C441655" w:rsidR="00A57A5F" w:rsidRDefault="00A57A5F" w:rsidP="00EC2F8E">
            <w:pPr>
              <w:pStyle w:val="Behzottbekezdsnmhh"/>
              <w:ind w:firstLine="0"/>
            </w:pPr>
            <w:r>
              <w:rPr>
                <w:rFonts w:ascii="Arial" w:hAnsi="Arial" w:cs="Arial"/>
                <w:color w:val="212529"/>
                <w:sz w:val="18"/>
                <w:szCs w:val="18"/>
                <w:lang w:val="en-GB"/>
              </w:rPr>
              <w:t>708</w:t>
            </w:r>
            <w:r w:rsidR="00EC2F8E">
              <w:rPr>
                <w:rFonts w:ascii="Arial" w:hAnsi="Arial" w:cs="Arial"/>
                <w:color w:val="212529"/>
                <w:sz w:val="18"/>
                <w:szCs w:val="18"/>
                <w:lang w:val="en-GB"/>
              </w:rPr>
              <w:t>-</w:t>
            </w:r>
            <w:r>
              <w:rPr>
                <w:rFonts w:ascii="Arial" w:hAnsi="Arial" w:cs="Arial"/>
                <w:color w:val="212529"/>
                <w:sz w:val="18"/>
                <w:szCs w:val="18"/>
                <w:lang w:val="en-GB"/>
              </w:rPr>
              <w:t>733 MHz</w:t>
            </w:r>
          </w:p>
        </w:tc>
      </w:tr>
      <w:tr w:rsidR="00A57A5F" w14:paraId="19BEF3E1" w14:textId="77777777" w:rsidTr="00707D04">
        <w:tc>
          <w:tcPr>
            <w:tcW w:w="4353" w:type="dxa"/>
            <w:vAlign w:val="center"/>
          </w:tcPr>
          <w:p w14:paraId="28BDEF64" w14:textId="2F38A443" w:rsidR="00A57A5F" w:rsidRDefault="0059366C" w:rsidP="00707D04">
            <w:pPr>
              <w:pStyle w:val="Behzottbekezdsnmhh"/>
              <w:ind w:firstLine="0"/>
            </w:pPr>
            <w:r w:rsidRPr="0059366C">
              <w:rPr>
                <w:u w:val="single"/>
              </w:rPr>
              <w:t>M</w:t>
            </w:r>
            <w:hyperlink r:id="rId12" w:anchor="MFCN" w:history="1">
              <w:r w:rsidR="003A5D03">
                <w:rPr>
                  <w:rStyle w:val="Hiperhivatkozs"/>
                  <w:rFonts w:ascii="Arial" w:hAnsi="Arial" w:cs="Arial"/>
                  <w:color w:val="000000"/>
                  <w:sz w:val="21"/>
                  <w:szCs w:val="21"/>
                  <w:lang w:val="en-GB"/>
                </w:rPr>
                <w:t>FCN</w:t>
              </w:r>
            </w:hyperlink>
            <w:r w:rsidR="005A196D" w:rsidRPr="005A196D">
              <w:rPr>
                <w:rStyle w:val="Hiperhivatkozs"/>
                <w:rFonts w:ascii="Arial" w:hAnsi="Arial" w:cs="Arial"/>
                <w:color w:val="000000"/>
                <w:sz w:val="21"/>
                <w:szCs w:val="21"/>
                <w:u w:val="none"/>
                <w:lang w:val="en-GB"/>
              </w:rPr>
              <w:t xml:space="preserve"> </w:t>
            </w:r>
            <w:r w:rsidR="003A5D03">
              <w:rPr>
                <w:rFonts w:ascii="Arial" w:hAnsi="Arial" w:cs="Arial"/>
                <w:color w:val="212529"/>
                <w:sz w:val="21"/>
                <w:szCs w:val="21"/>
                <w:lang w:val="en-GB"/>
              </w:rPr>
              <w:t>station’s downlink frequency band</w:t>
            </w:r>
          </w:p>
        </w:tc>
        <w:tc>
          <w:tcPr>
            <w:tcW w:w="4352" w:type="dxa"/>
          </w:tcPr>
          <w:p w14:paraId="19958FEB" w14:textId="7B196955" w:rsidR="00A57A5F" w:rsidRDefault="00A57A5F" w:rsidP="00EC2F8E">
            <w:pPr>
              <w:pStyle w:val="Behzottbekezdsnmhh"/>
              <w:ind w:firstLine="0"/>
            </w:pPr>
            <w:r>
              <w:rPr>
                <w:rFonts w:ascii="Arial" w:hAnsi="Arial" w:cs="Arial"/>
                <w:color w:val="212529"/>
                <w:sz w:val="18"/>
                <w:szCs w:val="18"/>
                <w:lang w:val="en-GB"/>
              </w:rPr>
              <w:t>763</w:t>
            </w:r>
            <w:r w:rsidR="00EC2F8E">
              <w:rPr>
                <w:rFonts w:ascii="Arial" w:hAnsi="Arial" w:cs="Arial"/>
                <w:color w:val="212529"/>
                <w:sz w:val="18"/>
                <w:szCs w:val="18"/>
                <w:lang w:val="en-GB"/>
              </w:rPr>
              <w:t>-</w:t>
            </w:r>
            <w:r>
              <w:rPr>
                <w:rFonts w:ascii="Arial" w:hAnsi="Arial" w:cs="Arial"/>
                <w:color w:val="212529"/>
                <w:sz w:val="18"/>
                <w:szCs w:val="18"/>
                <w:lang w:val="en-GB"/>
              </w:rPr>
              <w:t>788 MHz</w:t>
            </w:r>
          </w:p>
        </w:tc>
      </w:tr>
      <w:tr w:rsidR="00A57A5F" w14:paraId="43B83474" w14:textId="77777777" w:rsidTr="00707D04">
        <w:tc>
          <w:tcPr>
            <w:tcW w:w="4353" w:type="dxa"/>
            <w:vAlign w:val="center"/>
          </w:tcPr>
          <w:p w14:paraId="4D9EB97B" w14:textId="77777777" w:rsidR="00A57A5F" w:rsidRDefault="00A57A5F" w:rsidP="00707D04">
            <w:pPr>
              <w:pStyle w:val="Behzottbekezdsnmhh"/>
              <w:ind w:firstLine="0"/>
            </w:pPr>
            <w:r>
              <w:rPr>
                <w:rFonts w:ascii="Arial" w:hAnsi="Arial" w:cs="Arial"/>
                <w:color w:val="212529"/>
                <w:sz w:val="21"/>
                <w:szCs w:val="21"/>
                <w:lang w:val="en-GB"/>
              </w:rPr>
              <w:t>Duplex spacing</w:t>
            </w:r>
          </w:p>
        </w:tc>
        <w:tc>
          <w:tcPr>
            <w:tcW w:w="4352" w:type="dxa"/>
            <w:vAlign w:val="center"/>
          </w:tcPr>
          <w:p w14:paraId="5D3E8D1B" w14:textId="77777777" w:rsidR="00A57A5F" w:rsidRDefault="00A57A5F" w:rsidP="00707D04">
            <w:pPr>
              <w:pStyle w:val="Behzottbekezdsnmhh"/>
              <w:ind w:firstLine="0"/>
            </w:pPr>
            <w:r>
              <w:rPr>
                <w:rFonts w:ascii="Arial" w:hAnsi="Arial" w:cs="Arial"/>
                <w:color w:val="212529"/>
                <w:sz w:val="21"/>
                <w:szCs w:val="21"/>
                <w:lang w:val="en-GB"/>
              </w:rPr>
              <w:t>55 MHz</w:t>
            </w:r>
          </w:p>
        </w:tc>
      </w:tr>
      <w:tr w:rsidR="00A57A5F" w14:paraId="4B48AFD9" w14:textId="77777777" w:rsidTr="00707D04">
        <w:tc>
          <w:tcPr>
            <w:tcW w:w="4353" w:type="dxa"/>
            <w:vAlign w:val="center"/>
          </w:tcPr>
          <w:p w14:paraId="0CC11259" w14:textId="18EAD366" w:rsidR="00A57A5F" w:rsidRDefault="00A240BB" w:rsidP="00707D04">
            <w:pPr>
              <w:pStyle w:val="Behzottbekezdsnmhh"/>
              <w:ind w:firstLine="0"/>
              <w:rPr>
                <w:rFonts w:ascii="Arial" w:hAnsi="Arial" w:cs="Arial"/>
                <w:color w:val="212529"/>
                <w:sz w:val="21"/>
                <w:szCs w:val="21"/>
              </w:rPr>
            </w:pPr>
            <w:r>
              <w:rPr>
                <w:rFonts w:ascii="Arial" w:hAnsi="Arial" w:cs="Arial"/>
                <w:color w:val="212529"/>
                <w:sz w:val="21"/>
                <w:szCs w:val="21"/>
                <w:lang w:val="en-GB"/>
              </w:rPr>
              <w:t xml:space="preserve">Mode </w:t>
            </w:r>
            <w:r w:rsidR="00A57A5F">
              <w:rPr>
                <w:rFonts w:ascii="Arial" w:hAnsi="Arial" w:cs="Arial"/>
                <w:color w:val="212529"/>
                <w:sz w:val="21"/>
                <w:szCs w:val="21"/>
                <w:lang w:val="en-GB"/>
              </w:rPr>
              <w:t>of access</w:t>
            </w:r>
          </w:p>
        </w:tc>
        <w:tc>
          <w:tcPr>
            <w:tcW w:w="4352" w:type="dxa"/>
            <w:vAlign w:val="center"/>
          </w:tcPr>
          <w:p w14:paraId="65E98964" w14:textId="77777777" w:rsidR="00A57A5F" w:rsidRDefault="00A57A5F" w:rsidP="00707D04">
            <w:pPr>
              <w:pStyle w:val="Behzottbekezdsnmhh"/>
              <w:ind w:firstLine="0"/>
              <w:rPr>
                <w:rFonts w:ascii="Arial" w:hAnsi="Arial" w:cs="Arial"/>
                <w:color w:val="212529"/>
                <w:sz w:val="21"/>
                <w:szCs w:val="21"/>
              </w:rPr>
            </w:pPr>
            <w:r>
              <w:rPr>
                <w:rFonts w:ascii="Arial" w:hAnsi="Arial" w:cs="Arial"/>
                <w:color w:val="212529"/>
                <w:sz w:val="21"/>
                <w:szCs w:val="21"/>
                <w:lang w:val="en-GB"/>
              </w:rPr>
              <w:t xml:space="preserve">only </w:t>
            </w:r>
            <w:hyperlink r:id="rId13" w:anchor="FDD" w:history="1">
              <w:r>
                <w:rPr>
                  <w:rStyle w:val="Hiperhivatkozs"/>
                  <w:rFonts w:ascii="Arial" w:hAnsi="Arial" w:cs="Arial"/>
                  <w:color w:val="000000"/>
                  <w:sz w:val="21"/>
                  <w:szCs w:val="21"/>
                  <w:lang w:val="en-GB"/>
                </w:rPr>
                <w:t>FDD</w:t>
              </w:r>
            </w:hyperlink>
          </w:p>
        </w:tc>
      </w:tr>
    </w:tbl>
    <w:p w14:paraId="3E8EEE99" w14:textId="69009BAB" w:rsidR="00A57A5F" w:rsidRDefault="00A57A5F" w:rsidP="00A57A5F">
      <w:pPr>
        <w:pStyle w:val="Kpalrs"/>
        <w:jc w:val="center"/>
      </w:pPr>
      <w:r>
        <w:rPr>
          <w:lang w:val="en-GB"/>
        </w:rPr>
        <w:t>Table 3.2.b: Spectrum management requirements (source: NFFF Decree)</w:t>
      </w:r>
    </w:p>
    <w:p w14:paraId="0C644A76" w14:textId="77777777" w:rsidR="00A57A5F" w:rsidRPr="00930F3B" w:rsidRDefault="00A57A5F" w:rsidP="00A57A5F">
      <w:pPr>
        <w:pStyle w:val="Behzottbekezdsnmhh"/>
      </w:pPr>
    </w:p>
    <w:p w14:paraId="7E895366" w14:textId="77777777" w:rsidR="00A57A5F" w:rsidRDefault="00A57A5F" w:rsidP="00A57A5F">
      <w:pPr>
        <w:pStyle w:val="Cmsor2szmozottnmhh"/>
        <w:ind w:left="578" w:hanging="578"/>
      </w:pPr>
      <w:bookmarkStart w:id="18" w:name="_Toc473880721"/>
      <w:bookmarkStart w:id="19" w:name="_Toc98750389"/>
      <w:r>
        <w:rPr>
          <w:bCs/>
          <w:lang w:val="en-GB"/>
        </w:rPr>
        <w:t xml:space="preserve">Actual </w:t>
      </w:r>
      <w:bookmarkEnd w:id="18"/>
      <w:r>
        <w:rPr>
          <w:bCs/>
          <w:lang w:val="en-GB"/>
        </w:rPr>
        <w:t>use</w:t>
      </w:r>
      <w:bookmarkEnd w:id="19"/>
    </w:p>
    <w:p w14:paraId="75517BA5" w14:textId="75E05F06" w:rsidR="00A57A5F" w:rsidRDefault="00A57A5F" w:rsidP="00A57A5F">
      <w:pPr>
        <w:pStyle w:val="Behzottbekezdsnmhh"/>
      </w:pPr>
      <w:r>
        <w:rPr>
          <w:lang w:val="en-GB"/>
        </w:rPr>
        <w:t>As a result of the competitive procedure held in 2020, the Hungarian mobile service providers (Magyar Telekom Nyrt., Vodafone Magyarország Zrt., Telenor Magyarország Zrt.</w:t>
      </w:r>
      <w:r>
        <w:rPr>
          <w:rStyle w:val="Lbjegyzet-hivatkozs"/>
          <w:lang w:val="en-GB"/>
        </w:rPr>
        <w:footnoteReference w:id="49"/>
      </w:r>
      <w:r>
        <w:rPr>
          <w:lang w:val="en-GB"/>
        </w:rPr>
        <w:t xml:space="preserve">) acquired the right to use a total of 2x25 MHz frequency division duplex (FDD) spectrum from the 2x30 MHz spectrum available in the 700 MHz frequency band. </w:t>
      </w:r>
    </w:p>
    <w:p w14:paraId="52015211" w14:textId="17C3DBB4" w:rsidR="00CA5369" w:rsidRDefault="00A57A5F" w:rsidP="00A57A5F">
      <w:pPr>
        <w:pStyle w:val="Behzottbekezdsnmhh"/>
      </w:pPr>
      <w:r>
        <w:rPr>
          <w:lang w:val="en-GB"/>
        </w:rPr>
        <w:lastRenderedPageBreak/>
        <w:t>Current entitlements to radio spectrum use are listed in Table 3.3.a and Figure 3.3.a</w:t>
      </w:r>
    </w:p>
    <w:p w14:paraId="4FD05604" w14:textId="77777777" w:rsidR="00CA5369" w:rsidRDefault="00CA5369">
      <w:pPr>
        <w:spacing w:after="200"/>
        <w:jc w:val="left"/>
        <w:rPr>
          <w:sz w:val="20"/>
          <w:szCs w:val="20"/>
        </w:rPr>
      </w:pPr>
      <w:r>
        <w:rPr>
          <w:lang w:val="en-GB"/>
        </w:rPr>
        <w:br w:type="page"/>
      </w:r>
    </w:p>
    <w:p w14:paraId="3724BF18" w14:textId="77777777" w:rsidR="00A57A5F" w:rsidRDefault="00A57A5F" w:rsidP="00A57A5F">
      <w:pPr>
        <w:pStyle w:val="Behzottbekezdsnmhh"/>
      </w:pPr>
    </w:p>
    <w:tbl>
      <w:tblPr>
        <w:tblStyle w:val="Rcsostblzat"/>
        <w:tblW w:w="90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61"/>
        <w:gridCol w:w="3239"/>
        <w:gridCol w:w="1731"/>
        <w:gridCol w:w="2111"/>
      </w:tblGrid>
      <w:tr w:rsidR="00A57A5F" w14:paraId="199FD072" w14:textId="77777777" w:rsidTr="00707D04">
        <w:trPr>
          <w:jc w:val="center"/>
        </w:trPr>
        <w:tc>
          <w:tcPr>
            <w:tcW w:w="1961" w:type="dxa"/>
            <w:tcBorders>
              <w:top w:val="single" w:sz="12" w:space="0" w:color="auto"/>
              <w:left w:val="single" w:sz="12" w:space="0" w:color="auto"/>
              <w:bottom w:val="single" w:sz="12" w:space="0" w:color="auto"/>
              <w:right w:val="single" w:sz="12" w:space="0" w:color="auto"/>
            </w:tcBorders>
            <w:hideMark/>
          </w:tcPr>
          <w:p w14:paraId="17B62A06" w14:textId="77777777" w:rsidR="00A57A5F" w:rsidRPr="00C625A6" w:rsidRDefault="00A57A5F" w:rsidP="00707D04">
            <w:pPr>
              <w:spacing w:before="60" w:after="60"/>
              <w:ind w:right="-567" w:firstLine="425"/>
              <w:rPr>
                <w:rFonts w:ascii="Arial" w:hAnsi="Arial" w:cs="Arial"/>
                <w:b/>
                <w:sz w:val="20"/>
                <w:szCs w:val="20"/>
              </w:rPr>
            </w:pPr>
            <w:r w:rsidRPr="00C625A6">
              <w:rPr>
                <w:rFonts w:ascii="Arial" w:hAnsi="Arial" w:cs="Arial"/>
                <w:b/>
                <w:bCs/>
                <w:sz w:val="20"/>
                <w:szCs w:val="20"/>
                <w:lang w:val="en-GB"/>
              </w:rPr>
              <w:t>Right holder</w:t>
            </w:r>
          </w:p>
        </w:tc>
        <w:tc>
          <w:tcPr>
            <w:tcW w:w="3239" w:type="dxa"/>
            <w:tcBorders>
              <w:top w:val="single" w:sz="12" w:space="0" w:color="auto"/>
              <w:left w:val="single" w:sz="12" w:space="0" w:color="auto"/>
              <w:bottom w:val="single" w:sz="12" w:space="0" w:color="auto"/>
              <w:right w:val="single" w:sz="12" w:space="0" w:color="auto"/>
            </w:tcBorders>
            <w:hideMark/>
          </w:tcPr>
          <w:p w14:paraId="4276E579" w14:textId="77777777" w:rsidR="00A57A5F" w:rsidRPr="00C625A6" w:rsidRDefault="00A57A5F" w:rsidP="00707D04">
            <w:pPr>
              <w:spacing w:before="60" w:after="60"/>
              <w:ind w:right="-108"/>
              <w:jc w:val="center"/>
              <w:rPr>
                <w:rFonts w:ascii="Arial" w:hAnsi="Arial" w:cs="Arial"/>
                <w:b/>
                <w:sz w:val="20"/>
                <w:szCs w:val="20"/>
              </w:rPr>
            </w:pPr>
            <w:r w:rsidRPr="00C625A6">
              <w:rPr>
                <w:rFonts w:ascii="Arial" w:hAnsi="Arial" w:cs="Arial"/>
                <w:b/>
                <w:bCs/>
                <w:sz w:val="20"/>
                <w:szCs w:val="20"/>
                <w:lang w:val="en-GB"/>
              </w:rPr>
              <w:t>Frequency band</w:t>
            </w:r>
          </w:p>
        </w:tc>
        <w:tc>
          <w:tcPr>
            <w:tcW w:w="1731" w:type="dxa"/>
            <w:tcBorders>
              <w:top w:val="single" w:sz="12" w:space="0" w:color="auto"/>
              <w:left w:val="single" w:sz="12" w:space="0" w:color="auto"/>
              <w:bottom w:val="single" w:sz="12" w:space="0" w:color="auto"/>
              <w:right w:val="single" w:sz="6" w:space="0" w:color="auto"/>
            </w:tcBorders>
            <w:hideMark/>
          </w:tcPr>
          <w:p w14:paraId="664E1CC2" w14:textId="77777777" w:rsidR="00A57A5F" w:rsidRPr="00C625A6" w:rsidRDefault="00A57A5F" w:rsidP="00707D04">
            <w:pPr>
              <w:spacing w:before="60" w:after="60"/>
              <w:ind w:right="-108"/>
              <w:jc w:val="center"/>
              <w:rPr>
                <w:rFonts w:ascii="Arial" w:hAnsi="Arial" w:cs="Arial"/>
                <w:b/>
                <w:sz w:val="20"/>
                <w:szCs w:val="20"/>
              </w:rPr>
            </w:pPr>
            <w:r w:rsidRPr="00C625A6">
              <w:rPr>
                <w:rFonts w:ascii="Arial" w:hAnsi="Arial" w:cs="Arial"/>
                <w:b/>
                <w:bCs/>
                <w:sz w:val="20"/>
                <w:szCs w:val="20"/>
                <w:lang w:val="en-GB"/>
              </w:rPr>
              <w:t>Bandwidth</w:t>
            </w:r>
          </w:p>
        </w:tc>
        <w:tc>
          <w:tcPr>
            <w:tcW w:w="2111" w:type="dxa"/>
            <w:tcBorders>
              <w:top w:val="single" w:sz="12" w:space="0" w:color="auto"/>
              <w:left w:val="single" w:sz="12" w:space="0" w:color="auto"/>
              <w:bottom w:val="single" w:sz="12" w:space="0" w:color="auto"/>
              <w:right w:val="single" w:sz="12" w:space="0" w:color="auto"/>
            </w:tcBorders>
            <w:hideMark/>
          </w:tcPr>
          <w:p w14:paraId="5DB23B75" w14:textId="0E8C1029" w:rsidR="00A57A5F" w:rsidRDefault="00A57A5F" w:rsidP="00C625A6">
            <w:pPr>
              <w:spacing w:before="60" w:after="60"/>
              <w:ind w:right="-108"/>
              <w:jc w:val="center"/>
              <w:rPr>
                <w:rFonts w:ascii="Arial" w:hAnsi="Arial" w:cs="Arial"/>
                <w:b/>
                <w:sz w:val="20"/>
                <w:szCs w:val="20"/>
              </w:rPr>
            </w:pPr>
            <w:r w:rsidRPr="00C625A6">
              <w:rPr>
                <w:rFonts w:ascii="Arial" w:hAnsi="Arial" w:cs="Arial"/>
                <w:b/>
                <w:bCs/>
                <w:sz w:val="20"/>
                <w:szCs w:val="20"/>
                <w:lang w:val="en-GB"/>
              </w:rPr>
              <w:t>Entitlement expir</w:t>
            </w:r>
            <w:r w:rsidR="00C625A6">
              <w:rPr>
                <w:rFonts w:ascii="Arial" w:hAnsi="Arial" w:cs="Arial"/>
                <w:b/>
                <w:bCs/>
                <w:sz w:val="20"/>
                <w:szCs w:val="20"/>
                <w:lang w:val="en-GB"/>
              </w:rPr>
              <w:t>y</w:t>
            </w:r>
          </w:p>
        </w:tc>
      </w:tr>
      <w:tr w:rsidR="00A57A5F" w14:paraId="31124099" w14:textId="77777777" w:rsidTr="00707D04">
        <w:trPr>
          <w:trHeight w:val="567"/>
          <w:jc w:val="center"/>
        </w:trPr>
        <w:tc>
          <w:tcPr>
            <w:tcW w:w="1961" w:type="dxa"/>
            <w:tcBorders>
              <w:top w:val="single" w:sz="12" w:space="0" w:color="auto"/>
              <w:left w:val="single" w:sz="12" w:space="0" w:color="auto"/>
              <w:bottom w:val="single" w:sz="6" w:space="0" w:color="auto"/>
              <w:right w:val="single" w:sz="12" w:space="0" w:color="auto"/>
            </w:tcBorders>
            <w:vAlign w:val="center"/>
            <w:hideMark/>
          </w:tcPr>
          <w:p w14:paraId="230C7032" w14:textId="77777777" w:rsidR="00A57A5F" w:rsidRDefault="00A57A5F" w:rsidP="00707D04">
            <w:pPr>
              <w:spacing w:after="0"/>
              <w:ind w:right="-567"/>
              <w:rPr>
                <w:rFonts w:ascii="Arial" w:hAnsi="Arial" w:cs="Arial"/>
                <w:b/>
                <w:sz w:val="20"/>
                <w:szCs w:val="20"/>
              </w:rPr>
            </w:pPr>
            <w:r>
              <w:rPr>
                <w:rFonts w:ascii="Arial" w:hAnsi="Arial" w:cs="Arial"/>
                <w:sz w:val="20"/>
                <w:szCs w:val="20"/>
                <w:lang w:val="en-GB"/>
              </w:rPr>
              <w:t xml:space="preserve">        </w:t>
            </w:r>
            <w:r>
              <w:rPr>
                <w:rFonts w:ascii="Arial" w:hAnsi="Arial" w:cs="Arial"/>
                <w:sz w:val="20"/>
                <w:szCs w:val="20"/>
                <w:lang w:val="en-GB"/>
              </w:rPr>
              <w:object w:dxaOrig="840" w:dyaOrig="555" w14:anchorId="4DF52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27.75pt" o:ole="">
                  <v:imagedata r:id="rId14" o:title=""/>
                </v:shape>
                <o:OLEObject Type="Embed" ProgID="PBrush" ShapeID="_x0000_i1025" DrawAspect="Content" ObjectID="_1713615769" r:id="rId15"/>
              </w:object>
            </w:r>
          </w:p>
        </w:tc>
        <w:tc>
          <w:tcPr>
            <w:tcW w:w="3239" w:type="dxa"/>
            <w:tcBorders>
              <w:top w:val="single" w:sz="12" w:space="0" w:color="auto"/>
              <w:left w:val="single" w:sz="12" w:space="0" w:color="auto"/>
              <w:bottom w:val="single" w:sz="6" w:space="0" w:color="auto"/>
              <w:right w:val="single" w:sz="12" w:space="0" w:color="auto"/>
            </w:tcBorders>
            <w:vAlign w:val="center"/>
            <w:hideMark/>
          </w:tcPr>
          <w:p w14:paraId="2F38EC48" w14:textId="77777777" w:rsidR="00A57A5F" w:rsidRDefault="00A57A5F" w:rsidP="00707D04">
            <w:pPr>
              <w:spacing w:after="0"/>
              <w:ind w:right="-108"/>
              <w:jc w:val="center"/>
              <w:rPr>
                <w:rFonts w:ascii="Arial" w:hAnsi="Arial" w:cs="Arial"/>
                <w:sz w:val="20"/>
                <w:szCs w:val="20"/>
              </w:rPr>
            </w:pPr>
            <w:r>
              <w:rPr>
                <w:rFonts w:ascii="Arial" w:hAnsi="Arial" w:cs="Arial"/>
                <w:sz w:val="20"/>
                <w:szCs w:val="20"/>
                <w:lang w:val="en-GB"/>
              </w:rPr>
              <w:t>708-718 / 763-773 MHz</w:t>
            </w:r>
          </w:p>
        </w:tc>
        <w:tc>
          <w:tcPr>
            <w:tcW w:w="1731" w:type="dxa"/>
            <w:tcBorders>
              <w:top w:val="single" w:sz="6" w:space="0" w:color="auto"/>
              <w:left w:val="single" w:sz="12" w:space="0" w:color="auto"/>
              <w:bottom w:val="single" w:sz="6" w:space="0" w:color="auto"/>
              <w:right w:val="single" w:sz="6" w:space="0" w:color="auto"/>
            </w:tcBorders>
            <w:vAlign w:val="center"/>
            <w:hideMark/>
          </w:tcPr>
          <w:p w14:paraId="35CD4FE3" w14:textId="77777777" w:rsidR="00A57A5F" w:rsidRDefault="00A57A5F" w:rsidP="00707D04">
            <w:pPr>
              <w:spacing w:after="0"/>
              <w:ind w:right="601"/>
              <w:jc w:val="center"/>
              <w:rPr>
                <w:rFonts w:ascii="Arial" w:hAnsi="Arial" w:cs="Arial"/>
                <w:sz w:val="20"/>
                <w:szCs w:val="20"/>
              </w:rPr>
            </w:pPr>
            <w:r>
              <w:rPr>
                <w:rFonts w:ascii="Arial" w:hAnsi="Arial" w:cs="Arial"/>
                <w:sz w:val="20"/>
                <w:szCs w:val="20"/>
                <w:lang w:val="en-GB"/>
              </w:rPr>
              <w:t>2x10 MHz</w:t>
            </w:r>
          </w:p>
        </w:tc>
        <w:tc>
          <w:tcPr>
            <w:tcW w:w="2111" w:type="dxa"/>
            <w:tcBorders>
              <w:top w:val="single" w:sz="6" w:space="0" w:color="auto"/>
              <w:left w:val="single" w:sz="12" w:space="0" w:color="auto"/>
              <w:bottom w:val="single" w:sz="6" w:space="0" w:color="auto"/>
              <w:right w:val="single" w:sz="12" w:space="0" w:color="auto"/>
            </w:tcBorders>
            <w:vAlign w:val="center"/>
            <w:hideMark/>
          </w:tcPr>
          <w:p w14:paraId="207E871E" w14:textId="77777777" w:rsidR="00A57A5F" w:rsidRDefault="00A57A5F" w:rsidP="00707D04">
            <w:pPr>
              <w:spacing w:after="0"/>
              <w:ind w:right="601"/>
              <w:jc w:val="center"/>
              <w:rPr>
                <w:rFonts w:ascii="Arial" w:hAnsi="Arial" w:cs="Arial"/>
                <w:sz w:val="20"/>
                <w:szCs w:val="20"/>
              </w:rPr>
            </w:pPr>
            <w:r>
              <w:rPr>
                <w:rFonts w:ascii="Arial" w:hAnsi="Arial" w:cs="Arial"/>
                <w:sz w:val="20"/>
                <w:szCs w:val="20"/>
                <w:lang w:val="en-GB"/>
              </w:rPr>
              <w:t>2035 (+5 years)</w:t>
            </w:r>
          </w:p>
        </w:tc>
      </w:tr>
      <w:tr w:rsidR="00A57A5F" w14:paraId="70BE83DB" w14:textId="77777777" w:rsidTr="00707D04">
        <w:trPr>
          <w:trHeight w:val="567"/>
          <w:jc w:val="center"/>
        </w:trPr>
        <w:tc>
          <w:tcPr>
            <w:tcW w:w="1961" w:type="dxa"/>
            <w:tcBorders>
              <w:top w:val="single" w:sz="6" w:space="0" w:color="auto"/>
              <w:left w:val="single" w:sz="12" w:space="0" w:color="auto"/>
              <w:bottom w:val="single" w:sz="6" w:space="0" w:color="auto"/>
              <w:right w:val="single" w:sz="12" w:space="0" w:color="auto"/>
            </w:tcBorders>
            <w:vAlign w:val="center"/>
            <w:hideMark/>
          </w:tcPr>
          <w:p w14:paraId="2444F7FD" w14:textId="77777777" w:rsidR="00A57A5F" w:rsidRDefault="00A57A5F" w:rsidP="00707D04">
            <w:pPr>
              <w:spacing w:after="0"/>
              <w:ind w:right="-567"/>
              <w:rPr>
                <w:rFonts w:ascii="Arial" w:hAnsi="Arial" w:cs="Arial"/>
                <w:b/>
                <w:sz w:val="20"/>
                <w:szCs w:val="20"/>
              </w:rPr>
            </w:pPr>
            <w:r>
              <w:rPr>
                <w:rFonts w:ascii="Arial" w:hAnsi="Arial" w:cs="Arial"/>
                <w:sz w:val="20"/>
                <w:szCs w:val="20"/>
                <w:lang w:val="en-GB"/>
              </w:rPr>
              <w:t xml:space="preserve">         </w:t>
            </w:r>
            <w:r>
              <w:rPr>
                <w:rFonts w:ascii="Arial" w:hAnsi="Arial" w:cs="Arial"/>
                <w:sz w:val="20"/>
                <w:szCs w:val="20"/>
                <w:lang w:val="en-GB"/>
              </w:rPr>
              <w:object w:dxaOrig="615" w:dyaOrig="615" w14:anchorId="515B7F7A">
                <v:shape id="_x0000_i1026" type="#_x0000_t75" style="width:30.75pt;height:30.75pt" o:ole="">
                  <v:imagedata r:id="rId16" o:title=""/>
                </v:shape>
                <o:OLEObject Type="Embed" ProgID="PBrush" ShapeID="_x0000_i1026" DrawAspect="Content" ObjectID="_1713615770" r:id="rId17"/>
              </w:object>
            </w:r>
          </w:p>
        </w:tc>
        <w:tc>
          <w:tcPr>
            <w:tcW w:w="3239" w:type="dxa"/>
            <w:tcBorders>
              <w:top w:val="single" w:sz="6" w:space="0" w:color="auto"/>
              <w:left w:val="single" w:sz="12" w:space="0" w:color="auto"/>
              <w:bottom w:val="single" w:sz="6" w:space="0" w:color="auto"/>
              <w:right w:val="single" w:sz="12" w:space="0" w:color="auto"/>
            </w:tcBorders>
            <w:vAlign w:val="center"/>
            <w:hideMark/>
          </w:tcPr>
          <w:p w14:paraId="04EA668D" w14:textId="77777777" w:rsidR="00A57A5F" w:rsidRDefault="00A57A5F" w:rsidP="00707D04">
            <w:pPr>
              <w:spacing w:after="0"/>
              <w:ind w:right="-108"/>
              <w:jc w:val="center"/>
              <w:rPr>
                <w:rFonts w:ascii="Arial" w:hAnsi="Arial" w:cs="Arial"/>
                <w:sz w:val="20"/>
                <w:szCs w:val="20"/>
              </w:rPr>
            </w:pPr>
            <w:r>
              <w:rPr>
                <w:rFonts w:ascii="Arial" w:hAnsi="Arial" w:cs="Arial"/>
                <w:sz w:val="20"/>
                <w:szCs w:val="20"/>
                <w:lang w:val="en-GB"/>
              </w:rPr>
              <w:t>718-728 / 773-783 MHz</w:t>
            </w:r>
          </w:p>
        </w:tc>
        <w:tc>
          <w:tcPr>
            <w:tcW w:w="1731" w:type="dxa"/>
            <w:tcBorders>
              <w:top w:val="single" w:sz="6" w:space="0" w:color="auto"/>
              <w:left w:val="single" w:sz="12" w:space="0" w:color="auto"/>
              <w:bottom w:val="single" w:sz="6" w:space="0" w:color="auto"/>
              <w:right w:val="single" w:sz="6" w:space="0" w:color="auto"/>
            </w:tcBorders>
            <w:vAlign w:val="center"/>
            <w:hideMark/>
          </w:tcPr>
          <w:p w14:paraId="2F6CE732" w14:textId="77777777" w:rsidR="00A57A5F" w:rsidRDefault="00A57A5F" w:rsidP="00707D04">
            <w:pPr>
              <w:spacing w:after="0"/>
              <w:ind w:right="601"/>
              <w:jc w:val="center"/>
              <w:rPr>
                <w:rFonts w:ascii="Arial" w:hAnsi="Arial" w:cs="Arial"/>
                <w:sz w:val="20"/>
                <w:szCs w:val="20"/>
              </w:rPr>
            </w:pPr>
            <w:r>
              <w:rPr>
                <w:rFonts w:ascii="Arial" w:hAnsi="Arial" w:cs="Arial"/>
                <w:sz w:val="20"/>
                <w:szCs w:val="20"/>
                <w:lang w:val="en-GB"/>
              </w:rPr>
              <w:t>2x10 MHz</w:t>
            </w:r>
          </w:p>
        </w:tc>
        <w:tc>
          <w:tcPr>
            <w:tcW w:w="2111" w:type="dxa"/>
            <w:tcBorders>
              <w:top w:val="single" w:sz="6" w:space="0" w:color="auto"/>
              <w:left w:val="single" w:sz="12" w:space="0" w:color="auto"/>
              <w:bottom w:val="single" w:sz="6" w:space="0" w:color="auto"/>
              <w:right w:val="single" w:sz="12" w:space="0" w:color="auto"/>
            </w:tcBorders>
            <w:vAlign w:val="center"/>
            <w:hideMark/>
          </w:tcPr>
          <w:p w14:paraId="7FEE36F0" w14:textId="77777777" w:rsidR="00A57A5F" w:rsidRDefault="00A57A5F" w:rsidP="00707D04">
            <w:pPr>
              <w:spacing w:after="0"/>
              <w:ind w:right="601"/>
              <w:jc w:val="center"/>
              <w:rPr>
                <w:rFonts w:ascii="Arial" w:hAnsi="Arial" w:cs="Arial"/>
                <w:sz w:val="20"/>
                <w:szCs w:val="20"/>
              </w:rPr>
            </w:pPr>
            <w:r>
              <w:rPr>
                <w:rFonts w:ascii="Arial" w:hAnsi="Arial" w:cs="Arial"/>
                <w:sz w:val="20"/>
                <w:szCs w:val="20"/>
                <w:lang w:val="en-GB"/>
              </w:rPr>
              <w:t>2035 (+5 years)</w:t>
            </w:r>
          </w:p>
        </w:tc>
      </w:tr>
      <w:tr w:rsidR="00A57A5F" w14:paraId="7DEDB20B" w14:textId="77777777" w:rsidTr="00707D04">
        <w:trPr>
          <w:trHeight w:val="567"/>
          <w:jc w:val="center"/>
        </w:trPr>
        <w:tc>
          <w:tcPr>
            <w:tcW w:w="1961" w:type="dxa"/>
            <w:tcBorders>
              <w:top w:val="single" w:sz="6" w:space="0" w:color="auto"/>
              <w:left w:val="single" w:sz="12" w:space="0" w:color="auto"/>
              <w:bottom w:val="single" w:sz="12" w:space="0" w:color="auto"/>
              <w:right w:val="single" w:sz="12" w:space="0" w:color="auto"/>
            </w:tcBorders>
            <w:vAlign w:val="center"/>
            <w:hideMark/>
          </w:tcPr>
          <w:p w14:paraId="57D54D56" w14:textId="77777777" w:rsidR="00A57A5F" w:rsidRDefault="00A57A5F" w:rsidP="00707D04">
            <w:pPr>
              <w:spacing w:after="0"/>
              <w:ind w:right="-567"/>
              <w:rPr>
                <w:rFonts w:ascii="Arial" w:hAnsi="Arial" w:cs="Arial"/>
                <w:b/>
                <w:sz w:val="20"/>
                <w:szCs w:val="20"/>
              </w:rPr>
            </w:pPr>
            <w:r>
              <w:rPr>
                <w:rFonts w:ascii="Arial" w:hAnsi="Arial" w:cs="Arial"/>
                <w:sz w:val="20"/>
                <w:szCs w:val="20"/>
                <w:lang w:val="en-GB"/>
              </w:rPr>
              <w:t xml:space="preserve">         </w:t>
            </w:r>
            <w:r>
              <w:rPr>
                <w:rFonts w:ascii="Arial" w:hAnsi="Arial" w:cs="Arial"/>
                <w:sz w:val="20"/>
                <w:szCs w:val="20"/>
                <w:lang w:val="en-GB"/>
              </w:rPr>
              <w:object w:dxaOrig="645" w:dyaOrig="645" w14:anchorId="3E365917">
                <v:shape id="_x0000_i1027" type="#_x0000_t75" style="width:32.25pt;height:32.25pt" o:ole="">
                  <v:imagedata r:id="rId18" o:title=""/>
                </v:shape>
                <o:OLEObject Type="Embed" ProgID="PBrush" ShapeID="_x0000_i1027" DrawAspect="Content" ObjectID="_1713615771" r:id="rId19"/>
              </w:object>
            </w:r>
          </w:p>
        </w:tc>
        <w:tc>
          <w:tcPr>
            <w:tcW w:w="3239" w:type="dxa"/>
            <w:tcBorders>
              <w:top w:val="single" w:sz="6" w:space="0" w:color="auto"/>
              <w:left w:val="single" w:sz="12" w:space="0" w:color="auto"/>
              <w:bottom w:val="single" w:sz="12" w:space="0" w:color="auto"/>
              <w:right w:val="single" w:sz="12" w:space="0" w:color="auto"/>
            </w:tcBorders>
            <w:vAlign w:val="center"/>
            <w:hideMark/>
          </w:tcPr>
          <w:p w14:paraId="2D04C1EC" w14:textId="77777777" w:rsidR="00A57A5F" w:rsidRDefault="00A57A5F" w:rsidP="00707D04">
            <w:pPr>
              <w:spacing w:after="0"/>
              <w:ind w:right="-108"/>
              <w:jc w:val="center"/>
              <w:rPr>
                <w:rFonts w:ascii="Arial" w:hAnsi="Arial" w:cs="Arial"/>
                <w:sz w:val="20"/>
                <w:szCs w:val="20"/>
              </w:rPr>
            </w:pPr>
            <w:r>
              <w:rPr>
                <w:rFonts w:ascii="Arial" w:hAnsi="Arial" w:cs="Arial"/>
                <w:sz w:val="20"/>
                <w:szCs w:val="20"/>
                <w:lang w:val="en-GB"/>
              </w:rPr>
              <w:t>728-733 / 783-788 MHz</w:t>
            </w:r>
          </w:p>
        </w:tc>
        <w:tc>
          <w:tcPr>
            <w:tcW w:w="1731" w:type="dxa"/>
            <w:tcBorders>
              <w:top w:val="single" w:sz="6" w:space="0" w:color="auto"/>
              <w:left w:val="single" w:sz="12" w:space="0" w:color="auto"/>
              <w:bottom w:val="single" w:sz="12" w:space="0" w:color="auto"/>
              <w:right w:val="single" w:sz="6" w:space="0" w:color="auto"/>
            </w:tcBorders>
            <w:vAlign w:val="center"/>
            <w:hideMark/>
          </w:tcPr>
          <w:p w14:paraId="2A9040DE" w14:textId="77777777" w:rsidR="00A57A5F" w:rsidRDefault="00A57A5F" w:rsidP="00707D04">
            <w:pPr>
              <w:spacing w:after="0"/>
              <w:ind w:right="601"/>
              <w:jc w:val="center"/>
              <w:rPr>
                <w:rFonts w:ascii="Arial" w:hAnsi="Arial" w:cs="Arial"/>
                <w:sz w:val="20"/>
                <w:szCs w:val="20"/>
              </w:rPr>
            </w:pPr>
            <w:r>
              <w:rPr>
                <w:rFonts w:ascii="Arial" w:hAnsi="Arial" w:cs="Arial"/>
                <w:sz w:val="20"/>
                <w:szCs w:val="20"/>
                <w:lang w:val="en-GB"/>
              </w:rPr>
              <w:t>2x5 MHz</w:t>
            </w:r>
          </w:p>
        </w:tc>
        <w:tc>
          <w:tcPr>
            <w:tcW w:w="2111" w:type="dxa"/>
            <w:tcBorders>
              <w:top w:val="single" w:sz="6" w:space="0" w:color="auto"/>
              <w:left w:val="single" w:sz="12" w:space="0" w:color="auto"/>
              <w:bottom w:val="single" w:sz="12" w:space="0" w:color="auto"/>
              <w:right w:val="single" w:sz="12" w:space="0" w:color="auto"/>
            </w:tcBorders>
            <w:vAlign w:val="center"/>
            <w:hideMark/>
          </w:tcPr>
          <w:p w14:paraId="7B155F15" w14:textId="77777777" w:rsidR="00A57A5F" w:rsidRDefault="00A57A5F" w:rsidP="00707D04">
            <w:pPr>
              <w:spacing w:after="0"/>
              <w:ind w:right="601"/>
              <w:jc w:val="center"/>
              <w:rPr>
                <w:rFonts w:ascii="Arial" w:hAnsi="Arial" w:cs="Arial"/>
                <w:sz w:val="20"/>
                <w:szCs w:val="20"/>
              </w:rPr>
            </w:pPr>
            <w:r>
              <w:rPr>
                <w:rFonts w:ascii="Arial" w:hAnsi="Arial" w:cs="Arial"/>
                <w:sz w:val="20"/>
                <w:szCs w:val="20"/>
                <w:lang w:val="en-GB"/>
              </w:rPr>
              <w:t>2035 (+5 years)</w:t>
            </w:r>
          </w:p>
        </w:tc>
      </w:tr>
    </w:tbl>
    <w:p w14:paraId="22D4554C" w14:textId="5C47F647" w:rsidR="00A57A5F" w:rsidRDefault="00A57A5F" w:rsidP="00A57A5F">
      <w:pPr>
        <w:pStyle w:val="Kpalrs"/>
        <w:jc w:val="center"/>
        <w:rPr>
          <w:noProof/>
        </w:rPr>
      </w:pPr>
      <w:r>
        <w:rPr>
          <w:noProof/>
          <w:lang w:val="en-GB"/>
        </w:rPr>
        <w:t xml:space="preserve">Table 3.3.a: Current use of the 700 MHz frequency band </w:t>
      </w:r>
    </w:p>
    <w:p w14:paraId="46D8FD7B" w14:textId="77777777" w:rsidR="00A57A5F" w:rsidRDefault="00A57A5F" w:rsidP="00A57A5F">
      <w:pPr>
        <w:ind w:left="-567" w:right="-567" w:firstLine="141"/>
        <w:rPr>
          <w:rFonts w:ascii="Arial" w:hAnsi="Arial" w:cs="Arial"/>
          <w:b/>
          <w:sz w:val="28"/>
          <w:szCs w:val="24"/>
        </w:rPr>
      </w:pPr>
    </w:p>
    <w:p w14:paraId="0D812C5B" w14:textId="77777777" w:rsidR="00A57A5F" w:rsidRDefault="00A57A5F" w:rsidP="00A57A5F">
      <w:pPr>
        <w:ind w:left="-567" w:right="-567" w:firstLine="141"/>
        <w:jc w:val="center"/>
        <w:rPr>
          <w:rFonts w:ascii="Arial" w:hAnsi="Arial" w:cs="Arial"/>
          <w:b/>
          <w:sz w:val="28"/>
          <w:szCs w:val="24"/>
        </w:rPr>
      </w:pPr>
      <w:r>
        <w:rPr>
          <w:rFonts w:ascii="Arial" w:hAnsi="Arial" w:cs="Arial"/>
          <w:b/>
          <w:bCs/>
          <w:noProof/>
          <w:sz w:val="28"/>
          <w:szCs w:val="24"/>
          <w:lang w:eastAsia="hu-HU"/>
        </w:rPr>
        <w:drawing>
          <wp:inline distT="0" distB="0" distL="0" distR="0" wp14:anchorId="2DEABC26" wp14:editId="2140D2B3">
            <wp:extent cx="3766706" cy="1098256"/>
            <wp:effectExtent l="0" t="0" r="5715" b="6985"/>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74130" cy="1100421"/>
                    </a:xfrm>
                    <a:prstGeom prst="rect">
                      <a:avLst/>
                    </a:prstGeom>
                    <a:noFill/>
                    <a:ln>
                      <a:noFill/>
                    </a:ln>
                  </pic:spPr>
                </pic:pic>
              </a:graphicData>
            </a:graphic>
          </wp:inline>
        </w:drawing>
      </w:r>
    </w:p>
    <w:p w14:paraId="2F8F5C47" w14:textId="655CF055" w:rsidR="00A57A5F" w:rsidRDefault="00A57A5F" w:rsidP="00A57A5F">
      <w:pPr>
        <w:pStyle w:val="Kpalrs"/>
        <w:jc w:val="center"/>
        <w:rPr>
          <w:noProof/>
        </w:rPr>
      </w:pPr>
      <w:r>
        <w:rPr>
          <w:noProof/>
          <w:lang w:val="en-GB"/>
        </w:rPr>
        <w:t xml:space="preserve">Figure 3.3.a: Current use of 700 MHz band </w:t>
      </w:r>
    </w:p>
    <w:p w14:paraId="29D3D2A1" w14:textId="77777777" w:rsidR="00A57A5F" w:rsidRDefault="00A57A5F" w:rsidP="00A57A5F">
      <w:pPr>
        <w:ind w:left="-567" w:right="-567" w:firstLine="141"/>
        <w:jc w:val="center"/>
        <w:rPr>
          <w:rFonts w:ascii="Arial" w:hAnsi="Arial" w:cs="Arial"/>
          <w:b/>
          <w:sz w:val="28"/>
          <w:szCs w:val="24"/>
        </w:rPr>
      </w:pPr>
    </w:p>
    <w:p w14:paraId="3E44453A" w14:textId="1E26BAD2" w:rsidR="00A57A5F" w:rsidRDefault="00A57A5F" w:rsidP="00A57A5F">
      <w:pPr>
        <w:pStyle w:val="Behzottbekezdsnmhh"/>
      </w:pPr>
      <w:r>
        <w:rPr>
          <w:lang w:val="en-GB"/>
        </w:rPr>
        <w:t xml:space="preserve">Decision (EU) 2017/899 of the European Parliament and of the Council provided that the use of this frequency band </w:t>
      </w:r>
      <w:r w:rsidR="009C3A1D">
        <w:rPr>
          <w:lang w:val="en-GB"/>
        </w:rPr>
        <w:t xml:space="preserve">shall </w:t>
      </w:r>
      <w:r>
        <w:rPr>
          <w:lang w:val="en-GB"/>
        </w:rPr>
        <w:t xml:space="preserve">be allowed for MFCN systems </w:t>
      </w:r>
      <w:r w:rsidR="00956739">
        <w:rPr>
          <w:lang w:val="en-GB"/>
        </w:rPr>
        <w:t xml:space="preserve">by </w:t>
      </w:r>
      <w:r>
        <w:rPr>
          <w:lang w:val="en-GB"/>
        </w:rPr>
        <w:t xml:space="preserve">2020. In Hungary, the licence of terrestrial digital television stations for broadcasting purposes was valid until 5 September 2020, and accordingly the broadcasting transmitters were switched off in the 700 MHz band. Terrestrial systems capable of providing electronic communications services have been operating in the 708-733/763-788 MHz band since 6 September 2020. </w:t>
      </w:r>
    </w:p>
    <w:p w14:paraId="69D92D83" w14:textId="64D6D511" w:rsidR="00A57A5F" w:rsidRDefault="00A57A5F" w:rsidP="00A57A5F">
      <w:pPr>
        <w:pStyle w:val="Cmsor1szmozottnmhh"/>
        <w:ind w:left="431" w:hanging="431"/>
      </w:pPr>
      <w:bookmarkStart w:id="20" w:name="_Toc473880722"/>
      <w:bookmarkStart w:id="21" w:name="_Toc98750390"/>
      <w:r>
        <w:rPr>
          <w:bCs/>
          <w:lang w:val="en-GB"/>
        </w:rPr>
        <w:lastRenderedPageBreak/>
        <w:t>Future use</w:t>
      </w:r>
      <w:bookmarkEnd w:id="20"/>
      <w:bookmarkEnd w:id="21"/>
    </w:p>
    <w:p w14:paraId="4BB3F3AC" w14:textId="77777777" w:rsidR="00A57A5F" w:rsidRDefault="00A57A5F" w:rsidP="00A57A5F">
      <w:pPr>
        <w:pStyle w:val="Behzottbekezdsnmhh"/>
      </w:pPr>
    </w:p>
    <w:p w14:paraId="5197FBB4" w14:textId="4ED9DF8F" w:rsidR="00A57A5F" w:rsidRDefault="00A57A5F" w:rsidP="00A57A5F">
      <w:pPr>
        <w:pStyle w:val="Behzottbekezdsnmhh"/>
      </w:pPr>
      <w:r>
        <w:rPr>
          <w:lang w:val="en-GB"/>
        </w:rPr>
        <w:t xml:space="preserve">Decisions and studies on the use of the 700 MHz frequency band for mobile services have been completed at international level, decisions on the future use of the 2x5 MHz sub-band planned for MFCN in the current NFFF Decree in the 700 MHz frequency band and optional applications (BB-PPDR, M2M, PMSE, MFCN SDL) must be made and the necessary changes must be made to the domestic regulations accordingly. </w:t>
      </w:r>
    </w:p>
    <w:p w14:paraId="4EA009A6" w14:textId="3D8F9C65" w:rsidR="00A57A5F" w:rsidRDefault="00A57A5F" w:rsidP="00A57A5F">
      <w:pPr>
        <w:pStyle w:val="Behzottbekezdsnmhh"/>
      </w:pPr>
      <w:r>
        <w:rPr>
          <w:lang w:val="en-GB"/>
        </w:rPr>
        <w:t>The needs for the 700 MHz frequency band were assessed at a public consultation on the implementation of the national roadmap for the utilisation of the VHF III and UHF bands held on 23 November 2017. According to market participants and potential government users, the 700 MHz frequency band is of particular importance for the introduction of 5G.</w:t>
      </w:r>
      <w:r>
        <w:rPr>
          <w:rStyle w:val="Lbjegyzet-hivatkozs"/>
          <w:lang w:val="en-GB"/>
        </w:rPr>
        <w:footnoteReference w:id="50"/>
      </w:r>
      <w:r>
        <w:rPr>
          <w:lang w:val="en-GB"/>
        </w:rPr>
        <w:t xml:space="preserve"> In the case of PPDR systems, 5G solutions are also considered for the implementation of BB PPDR, in addition to the provision of electronic communications services.</w:t>
      </w:r>
    </w:p>
    <w:p w14:paraId="295BCF60" w14:textId="17623F8D" w:rsidR="00A57A5F" w:rsidRDefault="00A57A5F" w:rsidP="00A57A5F">
      <w:pPr>
        <w:pStyle w:val="Behzottbekezdsnmhh"/>
        <w:ind w:firstLine="0"/>
      </w:pPr>
      <w:r>
        <w:rPr>
          <w:lang w:val="en-GB"/>
        </w:rPr>
        <w:t xml:space="preserve">The arrangement, current use and </w:t>
      </w:r>
      <w:r w:rsidR="00C86261">
        <w:rPr>
          <w:lang w:val="en-GB"/>
        </w:rPr>
        <w:t xml:space="preserve">options for </w:t>
      </w:r>
      <w:r>
        <w:rPr>
          <w:lang w:val="en-GB"/>
        </w:rPr>
        <w:t xml:space="preserve">future use of the 700 MHz frequency band are summarized in Figure 4.1 based on the current Hungarian regulations and the </w:t>
      </w:r>
      <w:r w:rsidR="00C86261">
        <w:rPr>
          <w:lang w:val="en-GB"/>
        </w:rPr>
        <w:t xml:space="preserve">results of </w:t>
      </w:r>
      <w:r>
        <w:rPr>
          <w:lang w:val="en-GB"/>
        </w:rPr>
        <w:t>already conducted competitive procedure.</w:t>
      </w:r>
    </w:p>
    <w:p w14:paraId="04580287" w14:textId="39375BD9" w:rsidR="00B941F6" w:rsidRDefault="00B941F6" w:rsidP="00B941F6">
      <w:pPr>
        <w:pStyle w:val="Behzottbekezdsnmhh"/>
        <w:jc w:val="center"/>
      </w:pPr>
      <w:r>
        <w:rPr>
          <w:noProof/>
          <w:lang w:eastAsia="hu-HU"/>
        </w:rPr>
        <w:drawing>
          <wp:inline distT="0" distB="0" distL="0" distR="0" wp14:anchorId="1BCB7697" wp14:editId="6CCDD07F">
            <wp:extent cx="5760720" cy="2187575"/>
            <wp:effectExtent l="0" t="0" r="0" b="317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0 MHz sávábra_angol.JPG"/>
                    <pic:cNvPicPr/>
                  </pic:nvPicPr>
                  <pic:blipFill>
                    <a:blip r:embed="rId21">
                      <a:extLst>
                        <a:ext uri="{28A0092B-C50C-407E-A947-70E740481C1C}">
                          <a14:useLocalDpi xmlns:a14="http://schemas.microsoft.com/office/drawing/2010/main" val="0"/>
                        </a:ext>
                      </a:extLst>
                    </a:blip>
                    <a:stretch>
                      <a:fillRect/>
                    </a:stretch>
                  </pic:blipFill>
                  <pic:spPr>
                    <a:xfrm>
                      <a:off x="0" y="0"/>
                      <a:ext cx="5760720" cy="2187575"/>
                    </a:xfrm>
                    <a:prstGeom prst="rect">
                      <a:avLst/>
                    </a:prstGeom>
                  </pic:spPr>
                </pic:pic>
              </a:graphicData>
            </a:graphic>
          </wp:inline>
        </w:drawing>
      </w:r>
    </w:p>
    <w:p w14:paraId="2EEF2766" w14:textId="0E578E8F" w:rsidR="00A57A5F" w:rsidRDefault="00A57A5F" w:rsidP="00A57A5F">
      <w:pPr>
        <w:pStyle w:val="Kpalrs"/>
        <w:jc w:val="center"/>
        <w:rPr>
          <w:noProof/>
        </w:rPr>
      </w:pPr>
      <w:r>
        <w:rPr>
          <w:noProof/>
          <w:lang w:val="en-GB"/>
        </w:rPr>
        <w:t xml:space="preserve">Figure 4.1: </w:t>
      </w:r>
      <w:r w:rsidR="00C86261">
        <w:rPr>
          <w:noProof/>
          <w:lang w:val="en-GB"/>
        </w:rPr>
        <w:t xml:space="preserve">Designated </w:t>
      </w:r>
      <w:r>
        <w:rPr>
          <w:noProof/>
          <w:lang w:val="en-GB"/>
        </w:rPr>
        <w:t xml:space="preserve">and planned use of the 700 MHz frequency band under current regulation </w:t>
      </w:r>
    </w:p>
    <w:p w14:paraId="20F07F4D" w14:textId="77777777" w:rsidR="00A57A5F" w:rsidRDefault="00A57A5F" w:rsidP="00A57A5F">
      <w:pPr>
        <w:pStyle w:val="Behzottbekezdsnmhh"/>
      </w:pPr>
    </w:p>
    <w:p w14:paraId="455070A2" w14:textId="77777777" w:rsidR="00A57A5F" w:rsidRDefault="00A57A5F" w:rsidP="00A57A5F">
      <w:pPr>
        <w:spacing w:after="200"/>
        <w:jc w:val="left"/>
        <w:rPr>
          <w:sz w:val="20"/>
          <w:szCs w:val="20"/>
        </w:rPr>
      </w:pPr>
      <w:r>
        <w:rPr>
          <w:lang w:val="en-GB"/>
        </w:rPr>
        <w:br w:type="page"/>
      </w:r>
    </w:p>
    <w:p w14:paraId="39FDD184" w14:textId="77777777" w:rsidR="00A57A5F" w:rsidRPr="00E8154E" w:rsidRDefault="00A57A5F" w:rsidP="00A57A5F">
      <w:pPr>
        <w:pStyle w:val="Cmsor1szmozottnmhh"/>
        <w:ind w:left="431" w:hanging="431"/>
      </w:pPr>
      <w:bookmarkStart w:id="22" w:name="_Toc98750391"/>
      <w:bookmarkStart w:id="23" w:name="_Toc473880732"/>
      <w:r>
        <w:rPr>
          <w:bCs/>
          <w:lang w:val="en-GB"/>
        </w:rPr>
        <w:lastRenderedPageBreak/>
        <w:t>Cross-border spectrum use and coordination</w:t>
      </w:r>
      <w:bookmarkEnd w:id="22"/>
      <w:r>
        <w:rPr>
          <w:bCs/>
          <w:lang w:val="en-GB"/>
        </w:rPr>
        <w:t xml:space="preserve"> </w:t>
      </w:r>
      <w:bookmarkEnd w:id="23"/>
    </w:p>
    <w:p w14:paraId="595B868C" w14:textId="1F40CADE" w:rsidR="00A57A5F" w:rsidRPr="00E8154E" w:rsidRDefault="00A57A5F" w:rsidP="00A57A5F">
      <w:pPr>
        <w:pStyle w:val="Behzottbekezdsnmhh"/>
      </w:pPr>
      <w:r>
        <w:rPr>
          <w:lang w:val="en-GB"/>
        </w:rPr>
        <w:t>Currently, the 694-790 MHz frequency band is used for MFCN by Hungary and by most of the neighbouring countries. The switch-off of terrestrial television broadcasting has not been completed in two of the countries concerned (Ukraine and Bosnia and Herzegovina), but the introduction of MFCN is expected in the longer term in those countries as well. Among the neighbouring countries, there are also aeronautical radionavigation systems in Ukraine.</w:t>
      </w:r>
      <w:r>
        <w:rPr>
          <w:rFonts w:ascii="Times New Roman" w:hAnsi="Times New Roman"/>
          <w:sz w:val="22"/>
          <w:szCs w:val="22"/>
          <w:lang w:val="en-GB"/>
        </w:rPr>
        <w:t xml:space="preserve"> </w:t>
      </w:r>
      <w:r>
        <w:rPr>
          <w:rStyle w:val="jlqj4b"/>
          <w:lang w:val="en-GB"/>
        </w:rPr>
        <w:t>On 14 December 2021, a decision was published in the Official Journal of the European Union, which formalised Ukraine’s commitment to release the 700 MHz frequency band for mobile use by the end of 2022.</w:t>
      </w:r>
      <w:r>
        <w:rPr>
          <w:vertAlign w:val="superscript"/>
          <w:lang w:val="en-GB"/>
        </w:rPr>
        <w:footnoteReference w:id="51"/>
      </w:r>
    </w:p>
    <w:p w14:paraId="2745A1A5" w14:textId="5004B194" w:rsidR="00A57A5F" w:rsidRPr="00E8154E" w:rsidRDefault="00A57A5F" w:rsidP="00A57A5F">
      <w:pPr>
        <w:pStyle w:val="Behzottbekezdsnmhh"/>
      </w:pPr>
      <w:r>
        <w:rPr>
          <w:lang w:val="en-GB"/>
        </w:rPr>
        <w:t>In the case of spectrum use</w:t>
      </w:r>
      <w:r w:rsidR="000D62D7">
        <w:rPr>
          <w:lang w:val="en-GB"/>
        </w:rPr>
        <w:t xml:space="preserve"> in </w:t>
      </w:r>
      <w:r w:rsidR="000D62D7" w:rsidRPr="000D62D7">
        <w:rPr>
          <w:lang w:val="en-GB"/>
        </w:rPr>
        <w:t>border areas</w:t>
      </w:r>
      <w:r>
        <w:rPr>
          <w:lang w:val="en-GB"/>
        </w:rPr>
        <w:t xml:space="preserve">, spectrum use is permitted only for stations which meet the requirements laid down in the currently applicable international coordination documents. </w:t>
      </w:r>
    </w:p>
    <w:p w14:paraId="3557094A" w14:textId="5F1D6C5B" w:rsidR="00A57A5F" w:rsidRPr="00E8154E" w:rsidRDefault="00A57A5F" w:rsidP="00A57A5F">
      <w:pPr>
        <w:pStyle w:val="Behzottbekezdsnmhh"/>
      </w:pPr>
      <w:r>
        <w:rPr>
          <w:lang w:val="en-GB"/>
        </w:rPr>
        <w:t xml:space="preserve">International coordination requirements for the introduction of the 700 MHz MFCN and PPDR have been developed in the CEPT </w:t>
      </w:r>
      <w:r w:rsidR="000D62D7">
        <w:rPr>
          <w:lang w:val="en-GB"/>
        </w:rPr>
        <w:t>c</w:t>
      </w:r>
      <w:r>
        <w:rPr>
          <w:lang w:val="en-GB"/>
        </w:rPr>
        <w:t>ompetent Working Groups. The coordination agreement</w:t>
      </w:r>
      <w:r>
        <w:rPr>
          <w:vertAlign w:val="superscript"/>
          <w:lang w:val="en-GB"/>
        </w:rPr>
        <w:footnoteReference w:id="52"/>
      </w:r>
      <w:r>
        <w:rPr>
          <w:lang w:val="en-GB"/>
        </w:rPr>
        <w:t xml:space="preserve"> based on Recommendation ECC/REC/(15)01</w:t>
      </w:r>
      <w:r>
        <w:rPr>
          <w:rStyle w:val="Lbjegyzet-hivatkozs"/>
          <w:lang w:val="en-GB"/>
        </w:rPr>
        <w:footnoteReference w:id="53"/>
      </w:r>
      <w:r>
        <w:rPr>
          <w:lang w:val="en-GB"/>
        </w:rPr>
        <w:t xml:space="preserve"> was signed by Hungary with neighbouring Austria, Slovenia, Croatia, Romania and Slovakia. Negotiations with Serbia are currently in progress.</w:t>
      </w:r>
    </w:p>
    <w:p w14:paraId="670C2742" w14:textId="31194AE8" w:rsidR="00A57A5F" w:rsidRPr="00E8154E" w:rsidRDefault="00A57A5F" w:rsidP="00A57A5F">
      <w:pPr>
        <w:pStyle w:val="Behzottbekezdsnmhh"/>
      </w:pPr>
      <w:r>
        <w:rPr>
          <w:lang w:val="en-GB"/>
        </w:rPr>
        <w:t xml:space="preserve">The coordination agreement is based on the limitations of the field strength level that can be used in the border </w:t>
      </w:r>
      <w:r w:rsidR="00FC2FA8">
        <w:rPr>
          <w:lang w:val="en-GB"/>
        </w:rPr>
        <w:t xml:space="preserve">area </w:t>
      </w:r>
      <w:r>
        <w:rPr>
          <w:lang w:val="en-GB"/>
        </w:rPr>
        <w:t xml:space="preserve">and the use of the </w:t>
      </w:r>
      <w:r w:rsidR="009513B7" w:rsidRPr="009513B7">
        <w:rPr>
          <w:lang w:val="en-GB"/>
        </w:rPr>
        <w:t xml:space="preserve">preferential </w:t>
      </w:r>
      <w:r>
        <w:rPr>
          <w:lang w:val="en-GB"/>
        </w:rPr>
        <w:t xml:space="preserve">codes; accordingly, if the countries concerned comply with the values set out in the agreement, no specific coordination is required. </w:t>
      </w:r>
    </w:p>
    <w:p w14:paraId="584B04D6" w14:textId="77777777" w:rsidR="00A57A5F" w:rsidRDefault="00A57A5F" w:rsidP="00A57A5F">
      <w:pPr>
        <w:pStyle w:val="Behzottbekezdsnmhh"/>
      </w:pPr>
      <w:r>
        <w:rPr>
          <w:lang w:val="en-GB"/>
        </w:rPr>
        <w:t>Hungary has already successfully concluded an agreement</w:t>
      </w:r>
      <w:r>
        <w:rPr>
          <w:vertAlign w:val="superscript"/>
          <w:lang w:val="en-GB"/>
        </w:rPr>
        <w:footnoteReference w:id="54"/>
      </w:r>
      <w:r>
        <w:rPr>
          <w:lang w:val="en-GB"/>
        </w:rPr>
        <w:t xml:space="preserve"> with Ukraine on the coordination procedure between MFCN and the aeronautical radionavigation service for the 700 MHz frequency band.  </w:t>
      </w:r>
    </w:p>
    <w:p w14:paraId="51057B3B" w14:textId="005D2DDB" w:rsidR="00CA5369" w:rsidRDefault="00CA5369">
      <w:pPr>
        <w:spacing w:after="200"/>
        <w:jc w:val="left"/>
        <w:rPr>
          <w:sz w:val="20"/>
          <w:szCs w:val="20"/>
        </w:rPr>
      </w:pPr>
      <w:r>
        <w:rPr>
          <w:lang w:val="en-GB"/>
        </w:rPr>
        <w:br w:type="page"/>
      </w:r>
    </w:p>
    <w:p w14:paraId="5A555914" w14:textId="77777777" w:rsidR="00A57A5F" w:rsidRPr="00AA62BB" w:rsidRDefault="00A57A5F" w:rsidP="00A57A5F">
      <w:pPr>
        <w:pStyle w:val="Cmsor1szmozottnmhh"/>
        <w:ind w:left="431" w:hanging="431"/>
      </w:pPr>
      <w:bookmarkStart w:id="24" w:name="_Toc98750392"/>
      <w:r>
        <w:rPr>
          <w:bCs/>
          <w:lang w:val="en-GB"/>
        </w:rPr>
        <w:lastRenderedPageBreak/>
        <w:t>Other potential interference issues</w:t>
      </w:r>
      <w:bookmarkEnd w:id="24"/>
    </w:p>
    <w:p w14:paraId="17473B85" w14:textId="7623567A" w:rsidR="00A57A5F" w:rsidRDefault="00A57A5F" w:rsidP="00A57A5F">
      <w:pPr>
        <w:pStyle w:val="Behzottbekezdsnmhh"/>
        <w:rPr>
          <w:rFonts w:eastAsia="Calibri" w:cs="Arial"/>
        </w:rPr>
      </w:pPr>
      <w:r>
        <w:rPr>
          <w:rFonts w:eastAsia="Calibri" w:cs="Arial"/>
          <w:lang w:val="en-GB"/>
        </w:rPr>
        <w:t xml:space="preserve">One of the main objectives of the regulation of the radio spectrum is to ensure that different services or applications are protected from interference. When introducing new technologies, special attention must be paid to protect radio applications </w:t>
      </w:r>
      <w:r w:rsidR="00345E7C">
        <w:rPr>
          <w:rFonts w:eastAsia="Calibri" w:cs="Arial"/>
          <w:lang w:val="en-GB"/>
        </w:rPr>
        <w:t xml:space="preserve">operating </w:t>
      </w:r>
      <w:r>
        <w:rPr>
          <w:rFonts w:eastAsia="Calibri" w:cs="Arial"/>
          <w:lang w:val="en-GB"/>
        </w:rPr>
        <w:t>in the same band or in adjacent bands and to avoid interference caused by them, while at the same time preparations must be made to avoid interference in the case of wired technologies.</w:t>
      </w:r>
    </w:p>
    <w:p w14:paraId="22C31C55" w14:textId="77777777" w:rsidR="00A57A5F" w:rsidRDefault="00A57A5F" w:rsidP="00A57A5F">
      <w:pPr>
        <w:pStyle w:val="Behzottbekezdsnmhh"/>
        <w:rPr>
          <w:rFonts w:eastAsia="Calibri" w:cs="Arial"/>
        </w:rPr>
      </w:pPr>
    </w:p>
    <w:p w14:paraId="3222B981" w14:textId="77777777" w:rsidR="00A57A5F" w:rsidRDefault="00A57A5F" w:rsidP="00A57A5F">
      <w:pPr>
        <w:pStyle w:val="Cmsor2szmozottnmhh"/>
        <w:ind w:left="578" w:hanging="578"/>
      </w:pPr>
      <w:bookmarkStart w:id="25" w:name="_Toc98750393"/>
      <w:r>
        <w:rPr>
          <w:bCs/>
          <w:lang w:val="en-GB"/>
        </w:rPr>
        <w:t>Terrestrial television broadcasting</w:t>
      </w:r>
      <w:bookmarkEnd w:id="25"/>
    </w:p>
    <w:p w14:paraId="405466CB" w14:textId="789FF5D7" w:rsidR="00A57A5F" w:rsidRDefault="00A57A5F" w:rsidP="00A57A5F">
      <w:pPr>
        <w:pStyle w:val="Behzottbekezdsnmhh"/>
      </w:pPr>
      <w:r>
        <w:rPr>
          <w:lang w:val="en-GB"/>
        </w:rPr>
        <w:t>In order to protect digital television broadcasting transmitters operating in the frequency range</w:t>
      </w:r>
      <w:r w:rsidR="00345E7C">
        <w:rPr>
          <w:lang w:val="en-GB"/>
        </w:rPr>
        <w:t xml:space="preserve"> below </w:t>
      </w:r>
      <w:r w:rsidR="00345E7C" w:rsidRPr="00345E7C">
        <w:rPr>
          <w:lang w:val="en-GB"/>
        </w:rPr>
        <w:t>700 MHz</w:t>
      </w:r>
      <w:r>
        <w:rPr>
          <w:lang w:val="en-GB"/>
        </w:rPr>
        <w:t xml:space="preserve">, the out-of-band </w:t>
      </w:r>
      <w:r w:rsidR="00461503">
        <w:rPr>
          <w:lang w:val="en-GB"/>
        </w:rPr>
        <w:t xml:space="preserve">emission </w:t>
      </w:r>
      <w:r>
        <w:rPr>
          <w:lang w:val="en-GB"/>
        </w:rPr>
        <w:t xml:space="preserve">limits have been set to ensure the protection of television channel 48 while respecting the guard bands. </w:t>
      </w:r>
    </w:p>
    <w:p w14:paraId="00F84068" w14:textId="37D2A605" w:rsidR="00A57A5F" w:rsidRDefault="00A57A5F" w:rsidP="00A57A5F">
      <w:pPr>
        <w:pStyle w:val="Behzottbekezdsnmhh"/>
      </w:pPr>
      <w:r>
        <w:rPr>
          <w:lang w:val="en-GB"/>
        </w:rPr>
        <w:t xml:space="preserve">Commission Implementing Decision (EU) 2016/687 </w:t>
      </w:r>
      <w:r w:rsidR="00F65B95">
        <w:rPr>
          <w:lang w:val="en-GB"/>
        </w:rPr>
        <w:t xml:space="preserve">specifies power </w:t>
      </w:r>
      <w:r>
        <w:rPr>
          <w:lang w:val="en-GB"/>
        </w:rPr>
        <w:t xml:space="preserve">limits for end-user stations to avoid interference caused by (out-of-band) unwanted emissions below 694 MHz. </w:t>
      </w:r>
      <w:r w:rsidR="00D0777E">
        <w:rPr>
          <w:lang w:val="en-GB"/>
        </w:rPr>
        <w:t xml:space="preserve">The </w:t>
      </w:r>
      <w:r>
        <w:rPr>
          <w:lang w:val="en-GB"/>
        </w:rPr>
        <w:t xml:space="preserve">unwanted emission </w:t>
      </w:r>
      <w:r w:rsidR="00D0777E">
        <w:rPr>
          <w:lang w:val="en-GB"/>
        </w:rPr>
        <w:t xml:space="preserve">limit </w:t>
      </w:r>
      <w:r w:rsidR="00D93D00">
        <w:rPr>
          <w:lang w:val="en-GB"/>
        </w:rPr>
        <w:t xml:space="preserve">of </w:t>
      </w:r>
      <w:r>
        <w:rPr>
          <w:lang w:val="en-GB"/>
        </w:rPr>
        <w:t xml:space="preserve">–42 dBm/8 MHz </w:t>
      </w:r>
      <w:r w:rsidR="00D93D00">
        <w:rPr>
          <w:lang w:val="en-GB"/>
        </w:rPr>
        <w:t xml:space="preserve">is based </w:t>
      </w:r>
      <w:r>
        <w:rPr>
          <w:lang w:val="en-GB"/>
        </w:rPr>
        <w:t xml:space="preserve">on DVB-T2 digital terrestrial television broadcasting </w:t>
      </w:r>
      <w:r w:rsidR="00D0777E">
        <w:rPr>
          <w:lang w:val="en-GB"/>
        </w:rPr>
        <w:t xml:space="preserve">and </w:t>
      </w:r>
      <w:r>
        <w:rPr>
          <w:lang w:val="en-GB"/>
        </w:rPr>
        <w:t>wireless broadband systems with 10 MHz channel bandwidth, with 18 MHz separation between the centre frequenc</w:t>
      </w:r>
      <w:r w:rsidR="00F543B1">
        <w:rPr>
          <w:lang w:val="en-GB"/>
        </w:rPr>
        <w:t>ies</w:t>
      </w:r>
      <w:r>
        <w:rPr>
          <w:lang w:val="en-GB"/>
        </w:rPr>
        <w:t xml:space="preserve"> of television broadcasting and wireless broadband systems (assuming 8 MHz TV channel, 9 MHz guard band and wireless broadband system</w:t>
      </w:r>
      <w:r w:rsidR="003C5642" w:rsidRPr="003C5642">
        <w:rPr>
          <w:sz w:val="22"/>
          <w:szCs w:val="22"/>
          <w:lang w:val="en-GB"/>
        </w:rPr>
        <w:t xml:space="preserve"> </w:t>
      </w:r>
      <w:r w:rsidR="003C5642" w:rsidRPr="003C5642">
        <w:rPr>
          <w:lang w:val="en-GB"/>
        </w:rPr>
        <w:t>with 10 MHz channel bandwidth</w:t>
      </w:r>
      <w:r>
        <w:rPr>
          <w:lang w:val="en-GB"/>
        </w:rPr>
        <w:t xml:space="preserve">). For wireless broadband systems with a channel bandwidth other than 10 MHz, mitigation techniques may need to be used (e.g. additional filtering for television, reduction of the </w:t>
      </w:r>
      <w:r w:rsidR="003C5642">
        <w:rPr>
          <w:lang w:val="en-GB"/>
        </w:rPr>
        <w:t xml:space="preserve">in-block power </w:t>
      </w:r>
      <w:r>
        <w:rPr>
          <w:lang w:val="en-GB"/>
        </w:rPr>
        <w:t>of end-user stations or reduction of the transmission bandwidth of end-user stations). It must also be taken into account that the limit values for unwanted out-of-block emissions are established on the basis of fixed television reception, so that, even if portable indoor reception is provided, it may be necessary to use mitigation techniques.</w:t>
      </w:r>
    </w:p>
    <w:p w14:paraId="4ECB9445" w14:textId="73531A4E" w:rsidR="00A57A5F" w:rsidRDefault="00A57A5F" w:rsidP="00A57A5F">
      <w:pPr>
        <w:pStyle w:val="Behzottbekezdsnmhh"/>
      </w:pPr>
      <w:r>
        <w:rPr>
          <w:lang w:val="en-GB"/>
        </w:rPr>
        <w:t xml:space="preserve">In the case of co-existence of wireless broadband systems and broadcasting, blocking of DVB-T receivers by base stations of mobile networks (e.g. in the case of </w:t>
      </w:r>
      <w:r w:rsidR="00FF44D5">
        <w:rPr>
          <w:lang w:val="en-GB"/>
        </w:rPr>
        <w:t xml:space="preserve">overdrive </w:t>
      </w:r>
      <w:r>
        <w:rPr>
          <w:lang w:val="en-GB"/>
        </w:rPr>
        <w:t xml:space="preserve">in antenna amplifiers) and interference of receivers of base stations by broadcasting transmitters may also occur, either due to the </w:t>
      </w:r>
      <w:r w:rsidR="00FF44D5">
        <w:rPr>
          <w:lang w:val="en-GB"/>
        </w:rPr>
        <w:t xml:space="preserve">in-band power </w:t>
      </w:r>
      <w:r>
        <w:rPr>
          <w:lang w:val="en-GB"/>
        </w:rPr>
        <w:t>of the transmitter or due to unwanted emissions. In such cases, the base stations (</w:t>
      </w:r>
      <w:r w:rsidR="00FF44D5">
        <w:rPr>
          <w:lang w:val="en-GB"/>
        </w:rPr>
        <w:t>land</w:t>
      </w:r>
      <w:r>
        <w:rPr>
          <w:lang w:val="en-GB"/>
        </w:rPr>
        <w:t xml:space="preserve">/central stations and repeater stations) must be designed and installed </w:t>
      </w:r>
      <w:r w:rsidR="00200B00">
        <w:rPr>
          <w:lang w:val="en-GB"/>
        </w:rPr>
        <w:t xml:space="preserve">in such a way that the </w:t>
      </w:r>
      <w:r>
        <w:rPr>
          <w:lang w:val="en-GB"/>
        </w:rPr>
        <w:t xml:space="preserve">interference-free operation </w:t>
      </w:r>
      <w:r w:rsidR="00200B00">
        <w:rPr>
          <w:lang w:val="en-GB"/>
        </w:rPr>
        <w:t xml:space="preserve">be ensured </w:t>
      </w:r>
      <w:r>
        <w:rPr>
          <w:lang w:val="en-GB"/>
        </w:rPr>
        <w:t>or, if necessary, appropriate mitigation techniques</w:t>
      </w:r>
      <w:r w:rsidR="00FF44D5">
        <w:rPr>
          <w:lang w:val="en-GB"/>
        </w:rPr>
        <w:t xml:space="preserve"> shall be used</w:t>
      </w:r>
      <w:r>
        <w:rPr>
          <w:lang w:val="en-GB"/>
        </w:rPr>
        <w:t>.</w:t>
      </w:r>
    </w:p>
    <w:p w14:paraId="730407A3" w14:textId="77777777" w:rsidR="00A57A5F" w:rsidRPr="00FB0D4C" w:rsidRDefault="00A57A5F" w:rsidP="00A57A5F">
      <w:pPr>
        <w:pStyle w:val="Behzottbekezdsnmhh"/>
      </w:pPr>
      <w:r>
        <w:rPr>
          <w:lang w:val="en-GB"/>
        </w:rPr>
        <w:t xml:space="preserve">If harmful interference occurs or is likely to occur despite full compliance with the technical requirements, all involved service providers must take the necessary measures and cooperate to resolve any interference issues that may arise as soon as possible. </w:t>
      </w:r>
    </w:p>
    <w:p w14:paraId="7CA5E515" w14:textId="56250936" w:rsidR="00A57A5F" w:rsidRDefault="00A57A5F" w:rsidP="00A57A5F">
      <w:pPr>
        <w:pStyle w:val="Behzottbekezdsnmhh"/>
      </w:pPr>
      <w:r>
        <w:rPr>
          <w:lang w:val="en-GB"/>
        </w:rPr>
        <w:t xml:space="preserve">If the BB-PPDR application (698-703/753-758 MHz), which can be implemented in the guard band, is implemented, </w:t>
      </w:r>
      <w:r w:rsidR="00AB1038">
        <w:rPr>
          <w:lang w:val="en-GB"/>
        </w:rPr>
        <w:t xml:space="preserve">use of </w:t>
      </w:r>
      <w:r>
        <w:rPr>
          <w:lang w:val="en-GB"/>
        </w:rPr>
        <w:t xml:space="preserve">the mitigation techniques proposed in ECC Report </w:t>
      </w:r>
      <w:r w:rsidR="00AB1038">
        <w:rPr>
          <w:lang w:val="en-GB"/>
        </w:rPr>
        <w:t xml:space="preserve">239 </w:t>
      </w:r>
      <w:r>
        <w:rPr>
          <w:lang w:val="en-GB"/>
        </w:rPr>
        <w:t>may be necessary to protect digital television operating below 694 MHz.</w:t>
      </w:r>
    </w:p>
    <w:p w14:paraId="035253FD" w14:textId="77777777" w:rsidR="00A57A5F" w:rsidRPr="00FC67F1" w:rsidRDefault="00A57A5F" w:rsidP="00A57A5F">
      <w:pPr>
        <w:pStyle w:val="Behzottbekezdsnmhh"/>
      </w:pPr>
    </w:p>
    <w:p w14:paraId="086CC00B" w14:textId="65DF4597" w:rsidR="00A57A5F" w:rsidRDefault="00A57A5F" w:rsidP="00A57A5F">
      <w:pPr>
        <w:pStyle w:val="Cmsor2szmozottnmhh"/>
        <w:ind w:left="578" w:hanging="578"/>
      </w:pPr>
      <w:bookmarkStart w:id="26" w:name="_Toc98750394"/>
      <w:r>
        <w:rPr>
          <w:bCs/>
          <w:lang w:val="en-GB"/>
        </w:rPr>
        <w:t>PMSE</w:t>
      </w:r>
      <w:bookmarkEnd w:id="26"/>
    </w:p>
    <w:p w14:paraId="4F102324" w14:textId="53462770" w:rsidR="00A57A5F" w:rsidRDefault="00A57A5F" w:rsidP="00A57A5F">
      <w:pPr>
        <w:pStyle w:val="Behzottbekezdsnmhh"/>
      </w:pPr>
      <w:r>
        <w:rPr>
          <w:lang w:val="en-GB"/>
        </w:rPr>
        <w:t xml:space="preserve">Based on the National Roadmap, we do not plan to use the 700 MHz frequency band for PMSE, and based on the NFFF Decree, PMSE equipment were allowed to operate in this band until 5 September 2020. The protection of PMSE devices operating in the band below 694 MHz is planned at least until 2030 in accordance with Decision (EU) 2017/899 of the European Parliament and of the Council. Commission Implementing Decision (EU) 2016/687 also provides that in the 700 MHz frequency band, terrestrial wireless broadband electronic communications services and other national options introduced in the frequency band </w:t>
      </w:r>
      <w:r w:rsidR="000633FB">
        <w:rPr>
          <w:lang w:val="en-GB"/>
        </w:rPr>
        <w:t xml:space="preserve">shall </w:t>
      </w:r>
      <w:r>
        <w:rPr>
          <w:lang w:val="en-GB"/>
        </w:rPr>
        <w:t xml:space="preserve">also ensure adequate protection of existing wireless </w:t>
      </w:r>
      <w:r w:rsidR="000633FB">
        <w:rPr>
          <w:lang w:val="en-GB"/>
        </w:rPr>
        <w:lastRenderedPageBreak/>
        <w:t xml:space="preserve">audio </w:t>
      </w:r>
      <w:r>
        <w:rPr>
          <w:lang w:val="en-GB"/>
        </w:rPr>
        <w:t>PMSE applications below 694 MHz in accordance with their regulatory status. In order to ensure the compatibility of wireless audio PMSE equipment and mobile electronic communications networks using adjacent frequency bands, it may be necessary to use solutions to reduce interference, such as those described in Commission Implementing Decision 2014/641/EU</w:t>
      </w:r>
      <w:r>
        <w:rPr>
          <w:vertAlign w:val="superscript"/>
          <w:lang w:val="en-GB"/>
        </w:rPr>
        <w:footnoteReference w:id="55"/>
      </w:r>
      <w:r>
        <w:rPr>
          <w:lang w:val="en-GB"/>
        </w:rPr>
        <w:t>.</w:t>
      </w:r>
    </w:p>
    <w:p w14:paraId="3920EEF1" w14:textId="77777777" w:rsidR="00A57A5F" w:rsidRPr="00966D74" w:rsidRDefault="00A57A5F" w:rsidP="00A57A5F">
      <w:pPr>
        <w:pStyle w:val="Szvegtrzs"/>
        <w:spacing w:before="120" w:after="120"/>
        <w:ind w:firstLine="357"/>
        <w:rPr>
          <w:rFonts w:eastAsia="Calibri" w:cs="Arial"/>
          <w:sz w:val="20"/>
        </w:rPr>
      </w:pPr>
    </w:p>
    <w:p w14:paraId="3F7B5A0F" w14:textId="77777777" w:rsidR="00A57A5F" w:rsidRPr="007712D5" w:rsidRDefault="00A57A5F" w:rsidP="00A57A5F">
      <w:pPr>
        <w:pStyle w:val="Cmsor2szmozottnmhh"/>
        <w:ind w:left="578" w:hanging="578"/>
      </w:pPr>
      <w:bookmarkStart w:id="27" w:name="_Toc98750395"/>
      <w:r>
        <w:rPr>
          <w:bCs/>
          <w:lang w:val="en-GB"/>
        </w:rPr>
        <w:t>Cable television</w:t>
      </w:r>
      <w:bookmarkEnd w:id="27"/>
    </w:p>
    <w:p w14:paraId="7A3AC85D" w14:textId="215D5F61" w:rsidR="00A57A5F" w:rsidRPr="00917A30" w:rsidRDefault="00A57A5F" w:rsidP="00A57A5F">
      <w:pPr>
        <w:pStyle w:val="Behzottbekezdsnmhh"/>
      </w:pPr>
      <w:r>
        <w:rPr>
          <w:lang w:val="en-GB"/>
        </w:rPr>
        <w:t xml:space="preserve">Based on the experience in the 800 MHz frequency band and the use of the 700 MHz frequency band, LTE terminal equipment may cause interference in the operation of set top boxes (image quality deterioration and data transmission errors) and interference </w:t>
      </w:r>
      <w:r w:rsidR="00990D53">
        <w:rPr>
          <w:lang w:val="en-GB"/>
        </w:rPr>
        <w:t xml:space="preserve">may be caused by </w:t>
      </w:r>
      <w:r>
        <w:rPr>
          <w:lang w:val="en-GB"/>
        </w:rPr>
        <w:t xml:space="preserve">LTE base stations installed in the vicinity. </w:t>
      </w:r>
    </w:p>
    <w:p w14:paraId="3C258C99" w14:textId="06EC2F67" w:rsidR="00CA5369" w:rsidRDefault="00A57A5F" w:rsidP="00A57A5F">
      <w:pPr>
        <w:pStyle w:val="Behzottbekezdsnmhh"/>
      </w:pPr>
      <w:r>
        <w:rPr>
          <w:lang w:val="en-GB"/>
        </w:rPr>
        <w:t xml:space="preserve">The </w:t>
      </w:r>
      <w:r w:rsidR="00F16658">
        <w:rPr>
          <w:lang w:val="en-GB"/>
        </w:rPr>
        <w:t>interference-free coexistence of</w:t>
      </w:r>
      <w:r>
        <w:rPr>
          <w:lang w:val="en-GB"/>
        </w:rPr>
        <w:t xml:space="preserve"> cable television networks </w:t>
      </w:r>
      <w:r w:rsidR="00F16658">
        <w:rPr>
          <w:lang w:val="en-GB"/>
        </w:rPr>
        <w:t xml:space="preserve">and broadband mobile systems </w:t>
      </w:r>
      <w:r>
        <w:rPr>
          <w:lang w:val="en-GB"/>
        </w:rPr>
        <w:t xml:space="preserve">operating in the 700 MHz frequency band </w:t>
      </w:r>
      <w:bookmarkStart w:id="28" w:name="_GoBack"/>
      <w:bookmarkEnd w:id="28"/>
      <w:r>
        <w:rPr>
          <w:lang w:val="en-GB"/>
        </w:rPr>
        <w:t xml:space="preserve">requires full compliance with the technical specifications (e.g. </w:t>
      </w:r>
      <w:r w:rsidR="00EF358B">
        <w:rPr>
          <w:lang w:val="en-GB"/>
        </w:rPr>
        <w:t xml:space="preserve">the use of </w:t>
      </w:r>
      <w:r>
        <w:rPr>
          <w:lang w:val="en-GB"/>
        </w:rPr>
        <w:t>quality devices</w:t>
      </w:r>
      <w:r w:rsidR="00EF358B">
        <w:rPr>
          <w:lang w:val="en-GB"/>
        </w:rPr>
        <w:t>, cables, modems</w:t>
      </w:r>
      <w:r>
        <w:rPr>
          <w:lang w:val="en-GB"/>
        </w:rPr>
        <w:t xml:space="preserve"> </w:t>
      </w:r>
      <w:r w:rsidR="00EF358B">
        <w:rPr>
          <w:lang w:val="en-GB"/>
        </w:rPr>
        <w:t xml:space="preserve">complying </w:t>
      </w:r>
      <w:r>
        <w:rPr>
          <w:lang w:val="en-GB"/>
        </w:rPr>
        <w:t xml:space="preserve">with standards, electromagnetic compatibility specifications, </w:t>
      </w:r>
      <w:r w:rsidRPr="00C625A6">
        <w:rPr>
          <w:lang w:val="en-GB"/>
        </w:rPr>
        <w:t>the establishment of</w:t>
      </w:r>
      <w:r w:rsidR="00C625A6">
        <w:rPr>
          <w:lang w:val="en-GB"/>
        </w:rPr>
        <w:t xml:space="preserve"> ports</w:t>
      </w:r>
      <w:r w:rsidRPr="00C625A6">
        <w:rPr>
          <w:lang w:val="en-GB"/>
        </w:rPr>
        <w:t>, the use of appropriate receivers)</w:t>
      </w:r>
      <w:r>
        <w:rPr>
          <w:lang w:val="en-GB"/>
        </w:rPr>
        <w:t xml:space="preserve"> and the careful </w:t>
      </w:r>
      <w:r w:rsidR="00C92903">
        <w:rPr>
          <w:lang w:val="en-GB"/>
        </w:rPr>
        <w:t xml:space="preserve">planning </w:t>
      </w:r>
      <w:r>
        <w:rPr>
          <w:lang w:val="en-GB"/>
        </w:rPr>
        <w:t xml:space="preserve">of the networks. In order to minimise interference, all relevant </w:t>
      </w:r>
      <w:r w:rsidR="00C92903">
        <w:rPr>
          <w:lang w:val="en-GB"/>
        </w:rPr>
        <w:t xml:space="preserve">service providers </w:t>
      </w:r>
      <w:r>
        <w:rPr>
          <w:lang w:val="en-GB"/>
        </w:rPr>
        <w:t xml:space="preserve">must take the necessary measures to inform customers properly (e.g. instructions for use, brochures) and cooperate to resolve any interference issues that may arise as soon as possible. </w:t>
      </w:r>
    </w:p>
    <w:p w14:paraId="55EC65D1" w14:textId="77777777" w:rsidR="00CA5369" w:rsidRDefault="00CA5369">
      <w:pPr>
        <w:spacing w:after="200"/>
        <w:jc w:val="left"/>
        <w:rPr>
          <w:sz w:val="20"/>
          <w:szCs w:val="20"/>
        </w:rPr>
      </w:pPr>
      <w:r>
        <w:rPr>
          <w:lang w:val="en-GB"/>
        </w:rPr>
        <w:br w:type="page"/>
      </w:r>
    </w:p>
    <w:p w14:paraId="078FAA51" w14:textId="77777777" w:rsidR="00A57A5F" w:rsidRDefault="00A57A5F" w:rsidP="00A57A5F">
      <w:pPr>
        <w:pStyle w:val="Cmsor1szmozottnmhh"/>
        <w:ind w:left="431" w:hanging="431"/>
      </w:pPr>
      <w:bookmarkStart w:id="29" w:name="_Toc473880733"/>
      <w:bookmarkStart w:id="30" w:name="_Toc98750396"/>
      <w:r>
        <w:rPr>
          <w:bCs/>
          <w:lang w:val="en-GB"/>
        </w:rPr>
        <w:lastRenderedPageBreak/>
        <w:t>Radio spectrum fees</w:t>
      </w:r>
      <w:bookmarkEnd w:id="29"/>
      <w:bookmarkEnd w:id="30"/>
    </w:p>
    <w:p w14:paraId="2D85AC02" w14:textId="2DE33D9D" w:rsidR="00A57A5F" w:rsidRPr="00E8154E" w:rsidRDefault="00A57A5F" w:rsidP="00A57A5F">
      <w:pPr>
        <w:pStyle w:val="Behzottbekezdsnmhh"/>
      </w:pPr>
      <w:r>
        <w:rPr>
          <w:lang w:val="en-GB"/>
        </w:rPr>
        <w:t xml:space="preserve">The method of calculation for regular radio spectrum fees is prescribed by Decree 1/2011 (III.31.) NMHH on frequency reservation and usage fees (hereinafter: Fees Decree). Pursuant to the NFFF Decree, </w:t>
      </w:r>
      <w:r w:rsidR="00EC0709" w:rsidRPr="00EC0709">
        <w:rPr>
          <w:lang w:val="en-GB"/>
        </w:rPr>
        <w:t xml:space="preserve">the right holder </w:t>
      </w:r>
      <w:r>
        <w:rPr>
          <w:lang w:val="en-GB"/>
        </w:rPr>
        <w:t>acquiring entitlements to radio spectrum use shall pay a monthly band fee, in the case of radio spectrum for service purposes acquired as a result of a competitive procedure, as a result of the extension of the entitlement to radio spectrum use, or as a result of the renewal of the entitlement to radio spectrum use, and resold after acquisition, during the term of the entitlement to radio spectrum use, starting from the earliest date of the validity of the radio licence determined in Section 22(3) of Decree 4/2011 (X. 6.) NMHH on the Rules of Auctioning and Tendering to Acquire Entitlements to Frequency Usage.</w:t>
      </w:r>
    </w:p>
    <w:p w14:paraId="7C24A69C" w14:textId="37489CE8" w:rsidR="00A57A5F" w:rsidRPr="00E8154E" w:rsidRDefault="00EC0709" w:rsidP="00A57A5F">
      <w:pPr>
        <w:pStyle w:val="Behzottbekezdsnmhh"/>
      </w:pPr>
      <w:r w:rsidRPr="00EC0709">
        <w:rPr>
          <w:lang w:val="en-GB"/>
        </w:rPr>
        <w:t>The calculation method for the band fee payable is set out in Section 20  entitled “Fees payable for bands within the scope of block management” and in Annex 9 of the Decree. For the determination of the band fee, the unit fee shall be multiplied by the sum of bands sold and acquired, expressed in kHz, and the band multiplier. In the case of duplex band, both parts of the band must be taken into account when determining the volume of bands sold and acquired.</w:t>
      </w:r>
      <w:r w:rsidR="00A57A5F">
        <w:rPr>
          <w:lang w:val="en-GB"/>
        </w:rPr>
        <w:t xml:space="preserve"> </w:t>
      </w:r>
    </w:p>
    <w:p w14:paraId="25189F5E" w14:textId="77777777" w:rsidR="00A57A5F" w:rsidRDefault="00A57A5F" w:rsidP="00A57A5F">
      <w:pPr>
        <w:pStyle w:val="Behzottbekezdsnmhh"/>
      </w:pPr>
      <w:r>
        <w:rPr>
          <w:lang w:val="en-GB"/>
        </w:rPr>
        <w:t xml:space="preserve">The factors determining the band fee for the 700 MHz frequency band are: </w:t>
      </w:r>
    </w:p>
    <w:p w14:paraId="3CA693D1" w14:textId="77B835BB" w:rsidR="00A57A5F" w:rsidRPr="00E8154E" w:rsidRDefault="00A57A5F" w:rsidP="00A57A5F">
      <w:pPr>
        <w:pStyle w:val="Listaszerbekezds"/>
        <w:numPr>
          <w:ilvl w:val="0"/>
          <w:numId w:val="41"/>
        </w:numPr>
        <w:autoSpaceDE w:val="0"/>
        <w:autoSpaceDN w:val="0"/>
        <w:adjustRightInd w:val="0"/>
        <w:spacing w:line="240" w:lineRule="auto"/>
        <w:rPr>
          <w:sz w:val="20"/>
          <w:szCs w:val="20"/>
        </w:rPr>
      </w:pPr>
      <w:r>
        <w:rPr>
          <w:sz w:val="20"/>
          <w:szCs w:val="20"/>
          <w:lang w:val="en-GB"/>
        </w:rPr>
        <w:t xml:space="preserve">for national band use, the band multiplier for the 694-790 </w:t>
      </w:r>
      <w:r w:rsidR="00592452">
        <w:rPr>
          <w:sz w:val="20"/>
          <w:szCs w:val="20"/>
          <w:lang w:val="en-GB"/>
        </w:rPr>
        <w:t>M</w:t>
      </w:r>
      <w:r>
        <w:rPr>
          <w:sz w:val="20"/>
          <w:szCs w:val="20"/>
          <w:lang w:val="en-GB"/>
        </w:rPr>
        <w:t xml:space="preserve">Hz frequency band is 1, </w:t>
      </w:r>
    </w:p>
    <w:p w14:paraId="5D819B61" w14:textId="057EA5CE" w:rsidR="00A57A5F" w:rsidRPr="00E8154E" w:rsidRDefault="00A57A5F" w:rsidP="00A57A5F">
      <w:pPr>
        <w:pStyle w:val="Listaszerbekezds"/>
        <w:numPr>
          <w:ilvl w:val="0"/>
          <w:numId w:val="41"/>
        </w:numPr>
        <w:autoSpaceDE w:val="0"/>
        <w:autoSpaceDN w:val="0"/>
        <w:adjustRightInd w:val="0"/>
        <w:spacing w:line="240" w:lineRule="auto"/>
        <w:rPr>
          <w:sz w:val="20"/>
          <w:szCs w:val="20"/>
        </w:rPr>
      </w:pPr>
      <w:r>
        <w:rPr>
          <w:sz w:val="20"/>
          <w:szCs w:val="20"/>
          <w:lang w:val="en-GB"/>
        </w:rPr>
        <w:t xml:space="preserve">unit </w:t>
      </w:r>
      <w:r w:rsidR="00EC0709" w:rsidRPr="00EC0709">
        <w:rPr>
          <w:sz w:val="20"/>
          <w:szCs w:val="20"/>
          <w:lang w:val="en-GB"/>
        </w:rPr>
        <w:t xml:space="preserve">fee is </w:t>
      </w:r>
      <w:r>
        <w:rPr>
          <w:sz w:val="20"/>
          <w:szCs w:val="20"/>
          <w:lang w:val="en-GB"/>
        </w:rPr>
        <w:t>6500 HUF/kHz/month.</w:t>
      </w:r>
    </w:p>
    <w:p w14:paraId="5032CC00" w14:textId="50EB16A8" w:rsidR="00A57A5F" w:rsidRDefault="00A57A5F" w:rsidP="00A57A5F">
      <w:pPr>
        <w:pStyle w:val="Behzottbekezdsnmhh"/>
      </w:pPr>
      <w:r>
        <w:rPr>
          <w:lang w:val="en-GB"/>
        </w:rPr>
        <w:t>The sub-bands of the 700 MHz frequency band planned for non-civil purposes are not covered by the Fees Decree as described in Section 1 (3) thereof.</w:t>
      </w:r>
    </w:p>
    <w:p w14:paraId="47C90E31" w14:textId="1AAB2F5D" w:rsidR="00A57A5F" w:rsidRPr="00CD2DE7" w:rsidRDefault="00A57A5F" w:rsidP="00A57A5F">
      <w:pPr>
        <w:pStyle w:val="Behzottbekezdsnmhh"/>
      </w:pPr>
      <w:r>
        <w:rPr>
          <w:lang w:val="en-GB"/>
        </w:rPr>
        <w:t xml:space="preserve">Pursuant to Section 20(4a) of the Fees Decree, </w:t>
      </w:r>
      <w:r w:rsidR="00EC0709" w:rsidRPr="00EC0709">
        <w:rPr>
          <w:lang w:val="en-GB"/>
        </w:rPr>
        <w:t xml:space="preserve">company </w:t>
      </w:r>
      <w:r>
        <w:rPr>
          <w:lang w:val="en-GB"/>
        </w:rPr>
        <w:t xml:space="preserve">acquiring entitlement to radio spectrum use in the frequency bands 708-733/763-788 MHz in competitive procedures launched after 15 March 2019 in order to build next generation mobile radio telephone networks shall be entitled to a discount of 50% from the band fee determined according to paragraph (2) for 10 years from the date on which the decision closing the procedure becomes final or the date of the conclusion of the administrative contract, if </w:t>
      </w:r>
      <w:r w:rsidR="00B87D56">
        <w:rPr>
          <w:lang w:val="en-GB"/>
        </w:rPr>
        <w:t xml:space="preserve">it </w:t>
      </w:r>
      <w:r>
        <w:rPr>
          <w:lang w:val="en-GB"/>
        </w:rPr>
        <w:t>claim the band discount in a statement of commitment to fulfil the conditions and requirements for the band fee discount, as specified in the documentation of the competitive procedure.</w:t>
      </w:r>
    </w:p>
    <w:p w14:paraId="073240C0" w14:textId="3444B643" w:rsidR="00A57A5F" w:rsidRPr="004F64F9" w:rsidRDefault="00A57A5F" w:rsidP="00A57A5F">
      <w:pPr>
        <w:pStyle w:val="Behzottbekezdsnmhh"/>
      </w:pPr>
      <w:r>
        <w:rPr>
          <w:lang w:val="en-GB"/>
        </w:rPr>
        <w:t xml:space="preserve">If the 703-708 MHz/758-769 MHz sub-band currently in its planned status in the 700 MHz band is distributed for MFCN, extending the possibility of the discount on the band fee to this </w:t>
      </w:r>
      <w:r w:rsidR="00EC0709" w:rsidRPr="00EC0709">
        <w:rPr>
          <w:lang w:val="en-GB"/>
        </w:rPr>
        <w:t>sub-band also</w:t>
      </w:r>
      <w:r>
        <w:rPr>
          <w:lang w:val="en-GB"/>
        </w:rPr>
        <w:t>, which requires an amendment to the Fees Decree, must be considered.</w:t>
      </w:r>
    </w:p>
    <w:p w14:paraId="54E1BA74" w14:textId="3FCA463B" w:rsidR="004669A3" w:rsidRPr="004F64F9" w:rsidRDefault="004669A3" w:rsidP="00447CA4">
      <w:pPr>
        <w:pStyle w:val="Cmsor3szmozottnmhh"/>
        <w:keepNext/>
        <w:numPr>
          <w:ilvl w:val="0"/>
          <w:numId w:val="0"/>
        </w:numPr>
        <w:ind w:left="720"/>
      </w:pPr>
    </w:p>
    <w:sectPr w:rsidR="004669A3" w:rsidRPr="004F64F9" w:rsidSect="00F420F3">
      <w:footerReference w:type="default" r:id="rId22"/>
      <w:headerReference w:type="first" r:id="rId23"/>
      <w:pgSz w:w="11906" w:h="16838"/>
      <w:pgMar w:top="1417" w:right="1417" w:bottom="1417" w:left="1417" w:header="141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D3C7E" w14:textId="77777777" w:rsidR="00E90334" w:rsidRDefault="00E90334" w:rsidP="006F446C">
      <w:pPr>
        <w:spacing w:after="0" w:line="240" w:lineRule="auto"/>
      </w:pPr>
      <w:r>
        <w:separator/>
      </w:r>
    </w:p>
  </w:endnote>
  <w:endnote w:type="continuationSeparator" w:id="0">
    <w:p w14:paraId="5DF8D8C9" w14:textId="77777777" w:rsidR="00E90334" w:rsidRDefault="00E90334" w:rsidP="006F4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charset w:val="00"/>
    <w:family w:val="auto"/>
    <w:pitch w:val="default"/>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470C5" w14:textId="77777777" w:rsidR="00D46E94" w:rsidRDefault="00D46E94">
    <w:r>
      <w:rPr>
        <w:noProof/>
        <w:lang w:eastAsia="hu-HU"/>
      </w:rPr>
      <mc:AlternateContent>
        <mc:Choice Requires="wps">
          <w:drawing>
            <wp:anchor distT="0" distB="0" distL="114300" distR="114300" simplePos="0" relativeHeight="251661312" behindDoc="0" locked="0" layoutInCell="1" allowOverlap="1" wp14:anchorId="4ED6D308" wp14:editId="226AADE7">
              <wp:simplePos x="0" y="0"/>
              <wp:positionH relativeFrom="column">
                <wp:posOffset>4997450</wp:posOffset>
              </wp:positionH>
              <wp:positionV relativeFrom="paragraph">
                <wp:posOffset>153035</wp:posOffset>
              </wp:positionV>
              <wp:extent cx="613410" cy="302260"/>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16"/>
                              <w:szCs w:val="16"/>
                            </w:rPr>
                            <w:id w:val="11965226"/>
                            <w:docPartObj>
                              <w:docPartGallery w:val="Page Numbers (Bottom of Page)"/>
                              <w:docPartUnique/>
                            </w:docPartObj>
                          </w:sdtPr>
                          <w:sdtEndPr/>
                          <w:sdtContent>
                            <w:p w14:paraId="6407772F" w14:textId="622ED47D" w:rsidR="00D46E94" w:rsidRPr="00D42662" w:rsidRDefault="00D46E94" w:rsidP="00A05B70">
                              <w:pPr>
                                <w:jc w:val="right"/>
                                <w:rPr>
                                  <w:sz w:val="16"/>
                                  <w:szCs w:val="16"/>
                                </w:rPr>
                              </w:pPr>
                              <w:r>
                                <w:rPr>
                                  <w:sz w:val="16"/>
                                  <w:szCs w:val="16"/>
                                  <w:lang w:val="en-GB"/>
                                </w:rPr>
                                <w:fldChar w:fldCharType="begin"/>
                              </w:r>
                              <w:r>
                                <w:rPr>
                                  <w:sz w:val="16"/>
                                  <w:szCs w:val="16"/>
                                  <w:lang w:val="en-GB"/>
                                </w:rPr>
                                <w:instrText xml:space="preserve"> PAGE   \* MERGEFORMAT </w:instrText>
                              </w:r>
                              <w:r>
                                <w:rPr>
                                  <w:sz w:val="16"/>
                                  <w:szCs w:val="16"/>
                                  <w:lang w:val="en-GB"/>
                                </w:rPr>
                                <w:fldChar w:fldCharType="separate"/>
                              </w:r>
                              <w:r w:rsidR="00B47F70">
                                <w:rPr>
                                  <w:noProof/>
                                  <w:sz w:val="16"/>
                                  <w:szCs w:val="16"/>
                                  <w:lang w:val="en-GB"/>
                                </w:rPr>
                                <w:t>21</w:t>
                              </w:r>
                              <w:r>
                                <w:rPr>
                                  <w:noProof/>
                                  <w:sz w:val="16"/>
                                  <w:szCs w:val="16"/>
                                  <w:lang w:val="en-GB"/>
                                </w:rPr>
                                <w:fldChar w:fldCharType="end"/>
                              </w:r>
                            </w:p>
                          </w:sdtContent>
                        </w:sdt>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ED6D308" id="_x0000_t202" coordsize="21600,21600" o:spt="202" path="m,l,21600r21600,l21600,xe">
              <v:stroke joinstyle="miter"/>
              <v:path gradientshapeok="t" o:connecttype="rect"/>
            </v:shapetype>
            <v:shape id="Text Box 2" o:spid="_x0000_s1026" type="#_x0000_t202" style="position:absolute;left:0;text-align:left;margin-left:393.5pt;margin-top:12.05pt;width:48.3pt;height:23.8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0b/swIAALg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QgjQTug6JGNBt3JEUW2O0OvU3B66MHNjHAMLLtKdX8vy28aCblqqNiyW6Xk0DBaQXahvelfXJ1w&#10;tAXZDB9lBWHozkgHNNaqs62DZiBAB5aeTszYVEo4jMNrEoKlBNN1EEWxY86n6fFyr7R5z2SH7CLD&#10;Coh34HR/r41NhqZHFxtLyIK3rSO/Fc8OwHE6gdBw1dpsEo7Ln0mQrBfrBfFIFK89EuS5d1usiBcX&#10;4XyWX+erVR7+snFDkja8qpiwYY66Csmf8XZQ+KSIk7K0bHll4WxKWm03q1ahPQVdF+5zLQfL2c1/&#10;noZrAtTyoqQwIsFdlHhFvJh7pCAzL5kHCy8Ik7skDkhC8uJ5SfdcsH8vCQ0ZTmbRbNLSOekXtQXu&#10;e10bTTtuYHK0vMvw4uREU6vAtagctYbydlpftMKmf24F0H0k2unVSnQSqxk3I6BYEW9k9QTKVRKU&#10;BSKEcQeLRqofGA0wOjKsv++oYhi1HwSoPwkJsbPGbchsHsFGXVo2lxYqSoDKsMFoWq7MNJ92veLb&#10;BiId39stvJiCOzWfszq8MxgPrqjDKLPz53LvvM4Dd/kbAAD//wMAUEsDBBQABgAIAAAAIQCuYepo&#10;3QAAAAkBAAAPAAAAZHJzL2Rvd25yZXYueG1sTI/BTsMwEETvSPyDtUjcqJOAmijEqSrUliNQIs5u&#10;vCQR8dqK3TT8PcsJjqMZzbypNosdxYxTGBwpSFcJCKTWmYE6Bc37/q4AEaImo0dHqOAbA2zq66tK&#10;l8Zd6A3nY+wEl1AotYI+Rl9KGdoerQ4r55HY+3ST1ZHl1Ekz6QuX21FmSbKWVg/EC732+NRj+3U8&#10;WwU++kP+PL28bnf7OWk+Dk02dDulbm+W7SOIiEv8C8MvPqNDzUwndyYTxKggL3L+EhVkDykIDhTF&#10;/RrEiZ00B1lX8v+D+gcAAP//AwBQSwECLQAUAAYACAAAACEAtoM4kv4AAADhAQAAEwAAAAAAAAAA&#10;AAAAAAAAAAAAW0NvbnRlbnRfVHlwZXNdLnhtbFBLAQItABQABgAIAAAAIQA4/SH/1gAAAJQBAAAL&#10;AAAAAAAAAAAAAAAAAC8BAABfcmVscy8ucmVsc1BLAQItABQABgAIAAAAIQBha0b/swIAALgFAAAO&#10;AAAAAAAAAAAAAAAAAC4CAABkcnMvZTJvRG9jLnhtbFBLAQItABQABgAIAAAAIQCuYepo3QAAAAkB&#10;AAAPAAAAAAAAAAAAAAAAAA0FAABkcnMvZG93bnJldi54bWxQSwUGAAAAAAQABADzAAAAFwYAAAAA&#10;" filled="f" stroked="f">
              <v:textbox style="mso-fit-shape-to-text:t">
                <w:txbxContent>
                  <w:sdt>
                    <w:sdtPr>
                      <w:rPr>
                        <w:sz w:val="16"/>
                        <w:szCs w:val="16"/>
                      </w:rPr>
                      <w:id w:val="11965226"/>
                      <w:docPartObj>
                        <w:docPartGallery w:val="Page Numbers (Bottom of Page)"/>
                        <w:docPartUnique/>
                      </w:docPartObj>
                    </w:sdtPr>
                    <w:sdtEndPr/>
                    <w:sdtContent>
                      <w:p w14:paraId="6407772F" w14:textId="622ED47D" w:rsidR="00D46E94" w:rsidRPr="00D42662" w:rsidRDefault="00D46E94" w:rsidP="00A05B70">
                        <w:pPr>
                          <w:jc w:val="right"/>
                          <w:rPr>
                            <w:sz w:val="16"/>
                            <w:szCs w:val="16"/>
                          </w:rPr>
                        </w:pPr>
                        <w:r>
                          <w:rPr>
                            <w:sz w:val="16"/>
                            <w:szCs w:val="16"/>
                            <w:lang w:val="en-GB"/>
                          </w:rPr>
                          <w:fldChar w:fldCharType="begin"/>
                        </w:r>
                        <w:r>
                          <w:rPr>
                            <w:sz w:val="16"/>
                            <w:szCs w:val="16"/>
                            <w:lang w:val="en-GB"/>
                          </w:rPr>
                          <w:instrText xml:space="preserve"> PAGE   \* MERGEFORMAT </w:instrText>
                        </w:r>
                        <w:r>
                          <w:rPr>
                            <w:sz w:val="16"/>
                            <w:szCs w:val="16"/>
                            <w:lang w:val="en-GB"/>
                          </w:rPr>
                          <w:fldChar w:fldCharType="separate"/>
                        </w:r>
                        <w:r w:rsidR="00B47F70">
                          <w:rPr>
                            <w:noProof/>
                            <w:sz w:val="16"/>
                            <w:szCs w:val="16"/>
                            <w:lang w:val="en-GB"/>
                          </w:rPr>
                          <w:t>21</w:t>
                        </w:r>
                        <w:r>
                          <w:rPr>
                            <w:noProof/>
                            <w:sz w:val="16"/>
                            <w:szCs w:val="16"/>
                            <w:lang w:val="en-GB"/>
                          </w:rPr>
                          <w:fldChar w:fldCharType="end"/>
                        </w:r>
                      </w:p>
                    </w:sdtContent>
                  </w:sdt>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D87ED" w14:textId="77777777" w:rsidR="00E90334" w:rsidRDefault="00E90334" w:rsidP="006F446C">
      <w:pPr>
        <w:spacing w:after="0" w:line="240" w:lineRule="auto"/>
      </w:pPr>
      <w:r>
        <w:separator/>
      </w:r>
    </w:p>
  </w:footnote>
  <w:footnote w:type="continuationSeparator" w:id="0">
    <w:p w14:paraId="0D503DFD" w14:textId="77777777" w:rsidR="00E90334" w:rsidRDefault="00E90334" w:rsidP="006F446C">
      <w:pPr>
        <w:spacing w:after="0" w:line="240" w:lineRule="auto"/>
      </w:pPr>
      <w:r>
        <w:continuationSeparator/>
      </w:r>
    </w:p>
  </w:footnote>
  <w:footnote w:id="1">
    <w:p w14:paraId="150FD83A" w14:textId="14CE99FC" w:rsidR="00D46E94" w:rsidRPr="0084499F" w:rsidRDefault="00D46E94" w:rsidP="0092764E">
      <w:pPr>
        <w:pStyle w:val="Lbjegyzetszveg"/>
        <w:tabs>
          <w:tab w:val="left" w:pos="0"/>
        </w:tabs>
        <w:rPr>
          <w:rStyle w:val="Lbjegyzet-hivatkozs"/>
          <w:rFonts w:ascii="Arial" w:hAnsi="Arial" w:cs="Arial"/>
          <w:szCs w:val="18"/>
        </w:rPr>
      </w:pPr>
      <w:r>
        <w:rPr>
          <w:rStyle w:val="Lbjegyzet-hivatkozs"/>
          <w:rFonts w:ascii="Arial" w:hAnsi="Arial" w:cs="Arial"/>
          <w:szCs w:val="18"/>
          <w:lang w:val="en-GB"/>
        </w:rPr>
        <w:footnoteRef/>
      </w:r>
      <w:r>
        <w:rPr>
          <w:rStyle w:val="Lbjegyzet-hivatkozs"/>
          <w:rFonts w:ascii="Arial" w:hAnsi="Arial" w:cs="Arial"/>
          <w:szCs w:val="18"/>
          <w:vertAlign w:val="baseline"/>
          <w:lang w:val="en-GB"/>
        </w:rPr>
        <w:t xml:space="preserve"> </w:t>
      </w:r>
      <w:r>
        <w:rPr>
          <w:rStyle w:val="Lbjegyzet-hivatkozs"/>
          <w:vertAlign w:val="baseline"/>
          <w:lang w:val="en-GB"/>
        </w:rPr>
        <w:t>MFCN:</w:t>
      </w:r>
      <w:r>
        <w:rPr>
          <w:rFonts w:ascii="Arial" w:hAnsi="Arial"/>
          <w:szCs w:val="18"/>
          <w:lang w:val="en-GB"/>
        </w:rPr>
        <w:t xml:space="preserve"> </w:t>
      </w:r>
      <w:r>
        <w:rPr>
          <w:rStyle w:val="Lbjegyzet-hivatkozs"/>
          <w:rFonts w:ascii="Arial" w:hAnsi="Arial" w:cs="Arial"/>
          <w:szCs w:val="18"/>
          <w:vertAlign w:val="baseline"/>
          <w:lang w:val="en-GB"/>
        </w:rPr>
        <w:t>Mobile/Fixed Communications Networks</w:t>
      </w:r>
      <w:r>
        <w:rPr>
          <w:rStyle w:val="Lbjegyzet-hivatkozs"/>
          <w:vertAlign w:val="baseline"/>
          <w:lang w:val="en-GB"/>
        </w:rPr>
        <w:t xml:space="preserve"> </w:t>
      </w:r>
      <w:r>
        <w:rPr>
          <w:lang w:val="en-GB"/>
        </w:rPr>
        <w:t xml:space="preserve">-  </w:t>
      </w:r>
      <w:r>
        <w:rPr>
          <w:rFonts w:ascii="Arial" w:hAnsi="Arial"/>
          <w:szCs w:val="18"/>
          <w:lang w:val="en-GB"/>
        </w:rPr>
        <w:t xml:space="preserve">In the context of convergence of fixed and mobile wireless communications services, the CEPT regulation introduced the </w:t>
      </w:r>
      <w:r w:rsidRPr="00384FE6">
        <w:rPr>
          <w:rFonts w:ascii="Arial" w:hAnsi="Arial"/>
          <w:szCs w:val="18"/>
          <w:lang w:val="en-GB"/>
        </w:rPr>
        <w:t xml:space="preserve">umbrella </w:t>
      </w:r>
      <w:r>
        <w:rPr>
          <w:rFonts w:ascii="Arial" w:hAnsi="Arial"/>
          <w:szCs w:val="18"/>
          <w:lang w:val="en-GB"/>
        </w:rPr>
        <w:t>term MFCN (Mobile/Fixed Communications Networks).</w:t>
      </w:r>
      <w:r>
        <w:rPr>
          <w:rFonts w:ascii="Arial" w:hAnsi="Arial"/>
          <w:szCs w:val="18"/>
          <w:vertAlign w:val="superscript"/>
          <w:lang w:val="en-GB"/>
        </w:rPr>
        <w:t xml:space="preserve"> </w:t>
      </w:r>
      <w:r>
        <w:rPr>
          <w:rFonts w:ascii="Arial" w:hAnsi="Arial"/>
          <w:szCs w:val="18"/>
          <w:lang w:val="en-GB"/>
        </w:rPr>
        <w:t>This includes IMT (International Mobile Telecommunication) systems as used by the ITU.</w:t>
      </w:r>
      <w:r>
        <w:rPr>
          <w:rFonts w:ascii="Arial" w:hAnsi="Arial"/>
          <w:szCs w:val="18"/>
          <w:vertAlign w:val="superscript"/>
          <w:lang w:val="en-GB"/>
        </w:rPr>
        <w:t xml:space="preserve"> </w:t>
      </w:r>
    </w:p>
  </w:footnote>
  <w:footnote w:id="2">
    <w:p w14:paraId="1BE6D6A1" w14:textId="65541E7A" w:rsidR="00D46E94" w:rsidRPr="0084499F" w:rsidRDefault="00D46E94" w:rsidP="00A369CF">
      <w:pPr>
        <w:pStyle w:val="Lbjegyzetszveg"/>
        <w:tabs>
          <w:tab w:val="left" w:pos="0"/>
        </w:tabs>
        <w:rPr>
          <w:rStyle w:val="Lbjegyzet-hivatkozs"/>
        </w:rPr>
      </w:pPr>
      <w:r>
        <w:rPr>
          <w:rStyle w:val="Lbjegyzet-hivatkozs"/>
          <w:rFonts w:ascii="Arial" w:hAnsi="Arial" w:cs="Arial"/>
          <w:szCs w:val="18"/>
          <w:lang w:val="en-GB"/>
        </w:rPr>
        <w:footnoteRef/>
      </w:r>
      <w:r w:rsidRPr="00EC0709">
        <w:rPr>
          <w:rStyle w:val="Lbjegyzet-hivatkozs"/>
          <w:vertAlign w:val="baseline"/>
        </w:rPr>
        <w:t>BB-PPDR:</w:t>
      </w:r>
      <w:r w:rsidRPr="00EC0709">
        <w:rPr>
          <w:rFonts w:ascii="Arial" w:hAnsi="Arial" w:cs="Arial"/>
          <w:szCs w:val="18"/>
        </w:rPr>
        <w:t xml:space="preserve"> </w:t>
      </w:r>
      <w:r w:rsidRPr="00EC0709">
        <w:rPr>
          <w:rStyle w:val="Lbjegyzet-hivatkozs"/>
          <w:vertAlign w:val="baseline"/>
        </w:rPr>
        <w:t>Broadband</w:t>
      </w:r>
      <w:r w:rsidRPr="00EC0709">
        <w:rPr>
          <w:rStyle w:val="Lbjegyzet-hivatkozs"/>
        </w:rPr>
        <w:t xml:space="preserve"> </w:t>
      </w:r>
      <w:r w:rsidRPr="00EC0709">
        <w:rPr>
          <w:rStyle w:val="Lbjegyzet-hivatkozs"/>
          <w:vertAlign w:val="baseline"/>
        </w:rPr>
        <w:t>Public Protection and Disaster Relief</w:t>
      </w:r>
    </w:p>
  </w:footnote>
  <w:footnote w:id="3">
    <w:p w14:paraId="01C4A2C1" w14:textId="77777777" w:rsidR="00D46E94" w:rsidRPr="004A459F" w:rsidRDefault="00D46E94" w:rsidP="00A369CF">
      <w:pPr>
        <w:pStyle w:val="Lbjegyzetszveg"/>
        <w:tabs>
          <w:tab w:val="left" w:pos="0"/>
        </w:tabs>
        <w:rPr>
          <w:rStyle w:val="Lbjegyzet-hivatkozs"/>
        </w:rPr>
      </w:pPr>
      <w:r>
        <w:rPr>
          <w:rStyle w:val="Lbjegyzet-hivatkozs"/>
          <w:lang w:val="en-GB"/>
        </w:rPr>
        <w:footnoteRef/>
      </w:r>
      <w:r>
        <w:rPr>
          <w:rStyle w:val="Lbjegyzet-hivatkozs"/>
          <w:vertAlign w:val="baseline"/>
          <w:lang w:val="en-GB"/>
        </w:rPr>
        <w:t xml:space="preserve"> SDL:</w:t>
      </w:r>
      <w:r>
        <w:rPr>
          <w:rStyle w:val="Lbjegyzet-hivatkozs"/>
          <w:lang w:val="en-GB"/>
        </w:rPr>
        <w:t xml:space="preserve"> </w:t>
      </w:r>
      <w:r>
        <w:rPr>
          <w:rStyle w:val="Lbjegyzet-hivatkozs"/>
          <w:vertAlign w:val="baseline"/>
          <w:lang w:val="en-GB"/>
        </w:rPr>
        <w:t>Supplemental Downlink</w:t>
      </w:r>
    </w:p>
  </w:footnote>
  <w:footnote w:id="4">
    <w:p w14:paraId="6FA4656E" w14:textId="77777777" w:rsidR="00D46E94" w:rsidRPr="00CF1845" w:rsidRDefault="00D46E94" w:rsidP="007F66E7">
      <w:pPr>
        <w:pStyle w:val="Lbjegyzetszveg"/>
        <w:tabs>
          <w:tab w:val="left" w:pos="0"/>
        </w:tabs>
        <w:rPr>
          <w:rStyle w:val="Lbjegyzet-hivatkozs"/>
          <w:rFonts w:ascii="Arial" w:hAnsi="Arial" w:cs="Arial"/>
          <w:szCs w:val="18"/>
        </w:rPr>
      </w:pPr>
      <w:r>
        <w:rPr>
          <w:rStyle w:val="Lbjegyzet-hivatkozs"/>
          <w:rFonts w:ascii="Arial" w:hAnsi="Arial" w:cs="Arial"/>
          <w:szCs w:val="18"/>
          <w:lang w:val="en-GB"/>
        </w:rPr>
        <w:footnoteRef/>
      </w:r>
      <w:r>
        <w:rPr>
          <w:rStyle w:val="Lbjegyzet-hivatkozs"/>
          <w:rFonts w:ascii="Arial" w:hAnsi="Arial" w:cs="Arial"/>
          <w:szCs w:val="18"/>
          <w:vertAlign w:val="baseline"/>
          <w:lang w:val="en-GB"/>
        </w:rPr>
        <w:t xml:space="preserve"> PMSE:</w:t>
      </w:r>
      <w:r>
        <w:rPr>
          <w:rStyle w:val="Lbjegyzet-hivatkozs"/>
          <w:rFonts w:ascii="Arial" w:hAnsi="Arial" w:cs="Arial"/>
          <w:szCs w:val="18"/>
          <w:lang w:val="en-GB"/>
        </w:rPr>
        <w:t xml:space="preserve"> </w:t>
      </w:r>
      <w:r>
        <w:rPr>
          <w:rStyle w:val="Lbjegyzet-hivatkozs"/>
          <w:rFonts w:ascii="Arial" w:hAnsi="Arial" w:cs="Arial"/>
          <w:szCs w:val="18"/>
          <w:vertAlign w:val="baseline"/>
          <w:lang w:val="en-GB"/>
        </w:rPr>
        <w:t>Programme Making and Special Events</w:t>
      </w:r>
    </w:p>
  </w:footnote>
  <w:footnote w:id="5">
    <w:p w14:paraId="10D42A52" w14:textId="77777777" w:rsidR="00D46E94" w:rsidRPr="007A6D52" w:rsidRDefault="00D46E94" w:rsidP="00A369CF">
      <w:pPr>
        <w:pStyle w:val="Lbjegyzetszveg"/>
        <w:tabs>
          <w:tab w:val="left" w:pos="0"/>
        </w:tabs>
        <w:rPr>
          <w:rStyle w:val="Lbjegyzet-hivatkozs"/>
        </w:rPr>
      </w:pPr>
      <w:r>
        <w:rPr>
          <w:rStyle w:val="Lbjegyzet-hivatkozs"/>
          <w:lang w:val="en-GB"/>
        </w:rPr>
        <w:footnoteRef/>
      </w:r>
      <w:r>
        <w:rPr>
          <w:rStyle w:val="Lbjegyzet-hivatkozs"/>
          <w:vertAlign w:val="baseline"/>
          <w:lang w:val="en-GB"/>
        </w:rPr>
        <w:t xml:space="preserve"> M2M:</w:t>
      </w:r>
      <w:r>
        <w:rPr>
          <w:rStyle w:val="Lbjegyzet-hivatkozs"/>
          <w:lang w:val="en-GB"/>
        </w:rPr>
        <w:t xml:space="preserve"> </w:t>
      </w:r>
      <w:r>
        <w:rPr>
          <w:rStyle w:val="Lbjegyzet-hivatkozs"/>
          <w:vertAlign w:val="baseline"/>
          <w:lang w:val="en-GB"/>
        </w:rPr>
        <w:t>Machine to Machine</w:t>
      </w:r>
      <w:r>
        <w:rPr>
          <w:rStyle w:val="Lbjegyzet-hivatkozs"/>
          <w:lang w:val="en-GB"/>
        </w:rPr>
        <w:t xml:space="preserve"> </w:t>
      </w:r>
    </w:p>
  </w:footnote>
  <w:footnote w:id="6">
    <w:p w14:paraId="0A355839" w14:textId="77777777" w:rsidR="00D46E94" w:rsidRDefault="00D46E94" w:rsidP="00572F49">
      <w:pPr>
        <w:pStyle w:val="Lbjegyzetszveg"/>
        <w:tabs>
          <w:tab w:val="left" w:pos="0"/>
        </w:tabs>
      </w:pPr>
      <w:r>
        <w:rPr>
          <w:rStyle w:val="Lbjegyzet-hivatkozs"/>
          <w:rFonts w:ascii="Arial" w:hAnsi="Arial" w:cs="Arial"/>
          <w:szCs w:val="18"/>
          <w:lang w:val="en-GB"/>
        </w:rPr>
        <w:footnoteRef/>
      </w:r>
      <w:r>
        <w:rPr>
          <w:rStyle w:val="Lbjegyzet-hivatkozs"/>
          <w:rFonts w:ascii="Arial" w:hAnsi="Arial"/>
          <w:szCs w:val="18"/>
          <w:vertAlign w:val="baseline"/>
          <w:lang w:val="en-GB"/>
        </w:rPr>
        <w:t xml:space="preserve"> the National Roadmap for the use of the VHF III band (174-230 MHz) and the UHF band (470-790 MHz), </w:t>
      </w:r>
      <w:r>
        <w:rPr>
          <w:rStyle w:val="Lbjegyzet-hivatkozs"/>
          <w:vertAlign w:val="baseline"/>
          <w:lang w:val="en-GB"/>
        </w:rPr>
        <w:t>published by the NMHH</w:t>
      </w:r>
      <w:r>
        <w:rPr>
          <w:rStyle w:val="Lbjegyzet-hivatkozs"/>
          <w:rFonts w:ascii="Arial" w:hAnsi="Arial"/>
          <w:szCs w:val="18"/>
          <w:vertAlign w:val="baseline"/>
          <w:lang w:val="en-GB"/>
        </w:rPr>
        <w:t xml:space="preserve"> on its website on 8 September 2017:</w:t>
      </w:r>
      <w:r>
        <w:rPr>
          <w:rStyle w:val="Lbjegyzet-hivatkozs"/>
          <w:rFonts w:ascii="Arial" w:hAnsi="Arial"/>
          <w:szCs w:val="18"/>
          <w:lang w:val="en-GB"/>
        </w:rPr>
        <w:t xml:space="preserve"> </w:t>
      </w:r>
      <w:hyperlink r:id="rId1" w:history="1">
        <w:r>
          <w:rPr>
            <w:rStyle w:val="Lbjegyzet-hivatkozs"/>
            <w:rFonts w:ascii="Arial" w:hAnsi="Arial"/>
            <w:szCs w:val="18"/>
            <w:vertAlign w:val="baseline"/>
            <w:lang w:val="en-GB"/>
          </w:rPr>
          <w:t>http://nmhh.hu/dokumentum/189921/uhf_nemzeti_utemterv.pdf</w:t>
        </w:r>
      </w:hyperlink>
      <w:r>
        <w:rPr>
          <w:rStyle w:val="Lbjegyzet-hivatkozs"/>
          <w:rFonts w:ascii="Arial" w:hAnsi="Arial"/>
          <w:szCs w:val="18"/>
          <w:lang w:val="en-GB"/>
        </w:rPr>
        <w:t xml:space="preserve"> </w:t>
      </w:r>
    </w:p>
  </w:footnote>
  <w:footnote w:id="7">
    <w:p w14:paraId="1EF25B27" w14:textId="77777777" w:rsidR="00D46E94" w:rsidRPr="00093654" w:rsidRDefault="00D46E94" w:rsidP="00A35380">
      <w:pPr>
        <w:pStyle w:val="Lbjegyzetszveg"/>
      </w:pPr>
      <w:r w:rsidRPr="00A35380">
        <w:rPr>
          <w:rStyle w:val="Lbjegyzet-hivatkozs"/>
          <w:lang w:val="en-GB"/>
        </w:rPr>
        <w:footnoteRef/>
      </w:r>
      <w:r w:rsidRPr="001D115B">
        <w:rPr>
          <w:rStyle w:val="Lbjegyzet-hivatkozs"/>
          <w:rFonts w:ascii="Arial" w:hAnsi="Arial" w:cs="Arial"/>
          <w:szCs w:val="18"/>
          <w:vertAlign w:val="baseline"/>
        </w:rPr>
        <w:t>(EU) 2016/687:</w:t>
      </w:r>
      <w:r w:rsidRPr="00554DE0">
        <w:rPr>
          <w:rStyle w:val="Lbjegyzet-hivatkozs"/>
          <w:rFonts w:ascii="Arial" w:hAnsi="Arial" w:cs="Arial"/>
          <w:szCs w:val="18"/>
        </w:rPr>
        <w:t xml:space="preserve"> </w:t>
      </w:r>
      <w:r w:rsidRPr="00554DE0">
        <w:rPr>
          <w:rStyle w:val="Lbjegyzet-hivatkozs"/>
          <w:rFonts w:ascii="Arial" w:hAnsi="Arial" w:cs="Arial"/>
          <w:szCs w:val="18"/>
          <w:vertAlign w:val="baseline"/>
        </w:rPr>
        <w:t>Commission Implementing Decision (EU) 2016/687 of 28 April 2016 on the harmonisation of the 694</w:t>
      </w:r>
      <w:r w:rsidRPr="000D7303">
        <w:rPr>
          <w:rFonts w:ascii="Arial" w:hAnsi="Arial" w:cs="Arial"/>
          <w:szCs w:val="18"/>
        </w:rPr>
        <w:t>-</w:t>
      </w:r>
      <w:r w:rsidRPr="000D7303">
        <w:rPr>
          <w:rStyle w:val="Lbjegyzet-hivatkozs"/>
          <w:rFonts w:ascii="Arial" w:hAnsi="Arial" w:cs="Arial"/>
          <w:szCs w:val="18"/>
          <w:vertAlign w:val="baseline"/>
        </w:rPr>
        <w:t>790 MHz frequency band for terrestrial systems capable of providing wireless broadband electronic c</w:t>
      </w:r>
      <w:r w:rsidRPr="00093654">
        <w:rPr>
          <w:rStyle w:val="Lbjegyzet-hivatkozs"/>
          <w:rFonts w:ascii="Arial" w:hAnsi="Arial" w:cs="Arial"/>
          <w:szCs w:val="18"/>
          <w:vertAlign w:val="baseline"/>
        </w:rPr>
        <w:t>ommunications services and for flexible national use in the Union</w:t>
      </w:r>
    </w:p>
  </w:footnote>
  <w:footnote w:id="8">
    <w:p w14:paraId="5911D9F7" w14:textId="23A21066" w:rsidR="00D46E94" w:rsidRPr="00163AC8" w:rsidRDefault="00D46E94" w:rsidP="0055639E">
      <w:pPr>
        <w:pStyle w:val="Lbjegyzetszveg"/>
      </w:pPr>
      <w:r>
        <w:rPr>
          <w:rStyle w:val="Lbjegyzet-hivatkozs"/>
          <w:lang w:val="en-GB"/>
        </w:rPr>
        <w:footnoteRef/>
      </w:r>
      <w:r>
        <w:rPr>
          <w:lang w:val="en-GB"/>
        </w:rPr>
        <w:t xml:space="preserve"> </w:t>
      </w:r>
      <w:r>
        <w:rPr>
          <w:rStyle w:val="Lbjegyzet-hivatkozs"/>
          <w:rFonts w:ascii="Arial" w:hAnsi="Arial" w:cs="Arial"/>
          <w:szCs w:val="18"/>
          <w:vertAlign w:val="baseline"/>
          <w:lang w:val="en-GB"/>
        </w:rPr>
        <w:t>(EU) 2017/899:</w:t>
      </w:r>
      <w:r>
        <w:rPr>
          <w:rStyle w:val="Lbjegyzet-hivatkozs"/>
          <w:rFonts w:ascii="Arial" w:hAnsi="Arial" w:cs="Arial"/>
          <w:szCs w:val="18"/>
          <w:lang w:val="en-GB"/>
        </w:rPr>
        <w:t xml:space="preserve"> </w:t>
      </w:r>
      <w:r>
        <w:rPr>
          <w:lang w:val="en-GB"/>
        </w:rPr>
        <w:t>Decision (EU) 2017/899 of the European Parliament and of the Council of 17 May 2017 on the use of the 470-790 MHz frequency band in the Union</w:t>
      </w:r>
    </w:p>
  </w:footnote>
  <w:footnote w:id="9">
    <w:p w14:paraId="2794E099" w14:textId="77777777" w:rsidR="00D46E94" w:rsidRPr="00247A9A" w:rsidRDefault="00D46E94" w:rsidP="00080C5C">
      <w:pPr>
        <w:pStyle w:val="Default"/>
        <w:rPr>
          <w:rStyle w:val="Lbjegyzet-hivatkozs"/>
          <w:rFonts w:cstheme="minorHAnsi"/>
          <w:sz w:val="22"/>
          <w:szCs w:val="18"/>
        </w:rPr>
      </w:pPr>
      <w:r>
        <w:rPr>
          <w:rStyle w:val="Lbjegyzet-hivatkozs"/>
          <w:rFonts w:asciiTheme="minorHAnsi" w:hAnsiTheme="minorHAnsi" w:cstheme="minorBidi"/>
          <w:color w:val="auto"/>
          <w:sz w:val="20"/>
          <w:szCs w:val="18"/>
          <w:lang w:val="en-GB"/>
        </w:rPr>
        <w:footnoteRef/>
      </w:r>
      <w:r>
        <w:rPr>
          <w:rStyle w:val="Lbjegyzet-hivatkozs"/>
          <w:rFonts w:asciiTheme="minorHAnsi" w:hAnsiTheme="minorHAnsi" w:cstheme="minorBidi"/>
          <w:color w:val="auto"/>
          <w:sz w:val="20"/>
          <w:szCs w:val="18"/>
          <w:vertAlign w:val="baseline"/>
          <w:lang w:val="en-GB"/>
        </w:rPr>
        <w:t xml:space="preserve"> Communication from the Commission to the European Parliament, the Council, the European Economic and Social Committee and the Committee of the Regions - 5G for Europe: An Action Plan (COM(2016) 588</w:t>
      </w:r>
      <w:r>
        <w:rPr>
          <w:rStyle w:val="Lbjegyzet-hivatkozs"/>
          <w:rFonts w:asciiTheme="minorHAnsi" w:hAnsiTheme="minorHAnsi" w:cstheme="minorBidi"/>
          <w:color w:val="auto"/>
          <w:sz w:val="20"/>
          <w:szCs w:val="18"/>
          <w:lang w:val="en-GB"/>
        </w:rPr>
        <w:t xml:space="preserve"> </w:t>
      </w:r>
    </w:p>
  </w:footnote>
  <w:footnote w:id="10">
    <w:p w14:paraId="15791BA9" w14:textId="77777777" w:rsidR="00D46E94" w:rsidRPr="00247A9A" w:rsidRDefault="00D46E94" w:rsidP="00080C5C">
      <w:pPr>
        <w:pStyle w:val="Lbjegyzetszveg"/>
        <w:jc w:val="both"/>
        <w:rPr>
          <w:rStyle w:val="Lbjegyzet-hivatkozs"/>
          <w:szCs w:val="18"/>
        </w:rPr>
      </w:pPr>
      <w:r>
        <w:rPr>
          <w:rStyle w:val="Lbjegyzet-hivatkozs"/>
          <w:szCs w:val="18"/>
          <w:lang w:val="en-GB"/>
        </w:rPr>
        <w:footnoteRef/>
      </w:r>
      <w:r w:rsidRPr="00EC0709">
        <w:rPr>
          <w:rStyle w:val="Lbjegyzet-hivatkozs"/>
          <w:szCs w:val="18"/>
          <w:vertAlign w:val="baseline"/>
        </w:rPr>
        <w:t xml:space="preserve"> </w:t>
      </w:r>
      <w:r w:rsidRPr="00EC0709">
        <w:rPr>
          <w:rStyle w:val="Lbjegyzet-hivatkozs"/>
          <w:vertAlign w:val="baseline"/>
        </w:rPr>
        <w:t>RADIO SPECTRUM POLICY GROUP STRATEGIC ROADMAP TOWARDS 5G FOR EUROPE Opinion on spectrum related aspects for next-generation wireless systems (5G), 9</w:t>
      </w:r>
      <w:r w:rsidRPr="00EC0709">
        <w:rPr>
          <w:rFonts w:ascii="Arial" w:hAnsi="Arial" w:cs="Arial"/>
          <w:b/>
          <w:bCs/>
          <w:szCs w:val="18"/>
        </w:rPr>
        <w:t xml:space="preserve"> </w:t>
      </w:r>
      <w:r w:rsidRPr="00EC0709">
        <w:rPr>
          <w:rStyle w:val="Lbjegyzet-hivatkozs"/>
          <w:rFonts w:ascii="Arial" w:hAnsi="Arial" w:cs="Arial"/>
          <w:szCs w:val="18"/>
          <w:vertAlign w:val="baseline"/>
        </w:rPr>
        <w:t>November 2016</w:t>
      </w:r>
    </w:p>
  </w:footnote>
  <w:footnote w:id="11">
    <w:p w14:paraId="5554C728" w14:textId="77777777" w:rsidR="00D46E94" w:rsidRPr="00B941DA" w:rsidRDefault="00D46E94" w:rsidP="00AC75E9">
      <w:pPr>
        <w:pStyle w:val="Lbjegyzetszveg"/>
        <w:tabs>
          <w:tab w:val="left" w:pos="0"/>
        </w:tabs>
        <w:rPr>
          <w:rStyle w:val="Lbjegyzet-hivatkozs"/>
        </w:rPr>
      </w:pPr>
      <w:r>
        <w:rPr>
          <w:rStyle w:val="Lbjegyzet-hivatkozs"/>
          <w:rFonts w:ascii="Arial" w:hAnsi="Arial" w:cs="Arial"/>
          <w:szCs w:val="18"/>
          <w:lang w:val="en-GB"/>
        </w:rPr>
        <w:footnoteRef/>
      </w:r>
      <w:r>
        <w:rPr>
          <w:rStyle w:val="Lbjegyzet-hivatkozs"/>
          <w:vertAlign w:val="baseline"/>
          <w:lang w:val="en-GB"/>
        </w:rPr>
        <w:t xml:space="preserve"> International Mobile Telecommunications </w:t>
      </w:r>
      <w:r>
        <w:rPr>
          <w:rStyle w:val="Lbjegyzet-hivatkozs"/>
          <w:rFonts w:ascii="Arial" w:hAnsi="Arial" w:cs="Arial"/>
          <w:szCs w:val="18"/>
          <w:vertAlign w:val="baseline"/>
          <w:lang w:val="en-GB"/>
        </w:rPr>
        <w:t>2020</w:t>
      </w:r>
    </w:p>
  </w:footnote>
  <w:footnote w:id="12">
    <w:p w14:paraId="30691B34" w14:textId="7AB1BAD4" w:rsidR="00D46E94" w:rsidRPr="0084499F" w:rsidRDefault="00D46E94" w:rsidP="00AC75E9">
      <w:pPr>
        <w:pStyle w:val="Lbjegyzetszveg"/>
        <w:rPr>
          <w:rStyle w:val="Lbjegyzet-hivatkozs"/>
        </w:rPr>
      </w:pPr>
      <w:r>
        <w:rPr>
          <w:rStyle w:val="Lbjegyzet-hivatkozs"/>
          <w:lang w:val="en-GB"/>
        </w:rPr>
        <w:footnoteRef/>
      </w:r>
      <w:r w:rsidRPr="00B47F70">
        <w:rPr>
          <w:rStyle w:val="Lbjegyzet-hivatkozs"/>
          <w:vertAlign w:val="baseline"/>
        </w:rPr>
        <w:t xml:space="preserve"> RSPG:</w:t>
      </w:r>
      <w:r w:rsidRPr="00B47F70">
        <w:rPr>
          <w:rStyle w:val="Lbjegyzet-hivatkozs"/>
        </w:rPr>
        <w:t xml:space="preserve"> </w:t>
      </w:r>
      <w:r w:rsidRPr="00B47F70">
        <w:rPr>
          <w:rStyle w:val="Lbjegyzet-hivatkozs"/>
          <w:vertAlign w:val="baseline"/>
        </w:rPr>
        <w:t xml:space="preserve">Radio Spectrum Policy Group </w:t>
      </w:r>
      <w:r w:rsidRPr="00B47F70">
        <w:t>(</w:t>
      </w:r>
      <w:r w:rsidRPr="00B47F70">
        <w:rPr>
          <w:rStyle w:val="Lbjegyzet-hivatkozs"/>
          <w:vertAlign w:val="baseline"/>
        </w:rPr>
        <w:t>The Radio Spectrum Policy Group (RSPG), established by Commission Decision 2002/622/EC of 26 July 2002 establishing a Radio Spectrum Policy Group, is an advisory group dealing with European strategic issues of the radio spectrum</w:t>
      </w:r>
      <w:r>
        <w:rPr>
          <w:rStyle w:val="Lbjegyzet-hivatkozs"/>
          <w:vertAlign w:val="baseline"/>
        </w:rPr>
        <w:t>)</w:t>
      </w:r>
      <w:r w:rsidRPr="00B47F70">
        <w:rPr>
          <w:rStyle w:val="Lbjegyzet-hivatkozs"/>
          <w:vertAlign w:val="baseline"/>
        </w:rPr>
        <w:t>.</w:t>
      </w:r>
    </w:p>
  </w:footnote>
  <w:footnote w:id="13">
    <w:p w14:paraId="4B457348" w14:textId="77777777" w:rsidR="00D46E94" w:rsidRPr="0084499F" w:rsidRDefault="00D46E94" w:rsidP="00AC75E9">
      <w:pPr>
        <w:pStyle w:val="Lbjegyzetszveg"/>
        <w:tabs>
          <w:tab w:val="left" w:pos="0"/>
        </w:tabs>
        <w:rPr>
          <w:rStyle w:val="Lbjegyzet-hivatkozs"/>
        </w:rPr>
      </w:pPr>
      <w:r>
        <w:rPr>
          <w:rStyle w:val="Lbjegyzet-hivatkozs"/>
          <w:rFonts w:ascii="Arial" w:hAnsi="Arial" w:cs="Arial"/>
          <w:szCs w:val="18"/>
          <w:lang w:val="en-GB"/>
        </w:rPr>
        <w:footnoteRef/>
      </w:r>
      <w:r w:rsidRPr="00EC0709">
        <w:rPr>
          <w:rStyle w:val="Lbjegyzet-hivatkozs"/>
          <w:rFonts w:ascii="Arial" w:hAnsi="Arial" w:cs="Arial"/>
          <w:szCs w:val="18"/>
          <w:vertAlign w:val="baseline"/>
        </w:rPr>
        <w:t xml:space="preserve"> </w:t>
      </w:r>
      <w:r w:rsidRPr="00EC0709">
        <w:rPr>
          <w:rFonts w:ascii="Arial" w:hAnsi="Arial" w:cs="Arial"/>
          <w:szCs w:val="18"/>
        </w:rPr>
        <w:t xml:space="preserve"> </w:t>
      </w:r>
      <w:r w:rsidRPr="00EC0709">
        <w:rPr>
          <w:rStyle w:val="Lbjegyzet-hivatkozs"/>
          <w:vertAlign w:val="baseline"/>
        </w:rPr>
        <w:t>RADIO SPECTRUM POLICY GROUP STRATEGIC ROADMAP TOWARDS 5G FOR EUROPE Opinion on spectrum related aspects for next-generation wireless systems (5G), 9 November 2016</w:t>
      </w:r>
    </w:p>
  </w:footnote>
  <w:footnote w:id="14">
    <w:p w14:paraId="3932DEEA" w14:textId="1B5BE509" w:rsidR="00D46E94" w:rsidRPr="0084499F" w:rsidRDefault="00D46E94" w:rsidP="007D4158">
      <w:pPr>
        <w:pStyle w:val="Lbjegyzetszveg"/>
        <w:tabs>
          <w:tab w:val="left" w:pos="0"/>
        </w:tabs>
        <w:rPr>
          <w:rStyle w:val="Lbjegyzet-hivatkozs"/>
          <w:rFonts w:ascii="Arial" w:hAnsi="Arial" w:cs="Arial"/>
          <w:szCs w:val="18"/>
        </w:rPr>
      </w:pPr>
      <w:r>
        <w:rPr>
          <w:rStyle w:val="Lbjegyzet-hivatkozs"/>
          <w:rFonts w:ascii="Arial" w:hAnsi="Arial" w:cs="Arial"/>
          <w:szCs w:val="18"/>
          <w:lang w:val="en-GB"/>
        </w:rPr>
        <w:footnoteRef/>
      </w:r>
      <w:r>
        <w:rPr>
          <w:rStyle w:val="Lbjegyzet-hivatkozs"/>
          <w:rFonts w:ascii="Arial" w:hAnsi="Arial" w:cs="Arial"/>
          <w:szCs w:val="18"/>
          <w:vertAlign w:val="baseline"/>
          <w:lang w:val="en-GB"/>
        </w:rPr>
        <w:t xml:space="preserve"> ITU:</w:t>
      </w:r>
      <w:r>
        <w:rPr>
          <w:rStyle w:val="Lbjegyzet-hivatkozs"/>
          <w:rFonts w:ascii="Arial" w:hAnsi="Arial" w:cs="Arial"/>
          <w:szCs w:val="18"/>
          <w:lang w:val="en-GB"/>
        </w:rPr>
        <w:t xml:space="preserve"> </w:t>
      </w:r>
      <w:r>
        <w:rPr>
          <w:rStyle w:val="Lbjegyzet-hivatkozs"/>
          <w:rFonts w:ascii="Arial" w:hAnsi="Arial" w:cs="Arial"/>
          <w:szCs w:val="18"/>
          <w:vertAlign w:val="baseline"/>
          <w:lang w:val="en-GB"/>
        </w:rPr>
        <w:t>International Telecommunication Union</w:t>
      </w:r>
    </w:p>
  </w:footnote>
  <w:footnote w:id="15">
    <w:p w14:paraId="6F9E8C0D" w14:textId="77777777" w:rsidR="00D46E94" w:rsidRPr="00CF1845" w:rsidRDefault="00D46E94" w:rsidP="007D4158">
      <w:pPr>
        <w:pStyle w:val="Lbjegyzetszveg"/>
        <w:tabs>
          <w:tab w:val="left" w:pos="0"/>
        </w:tabs>
        <w:rPr>
          <w:rStyle w:val="Lbjegyzet-hivatkozs"/>
          <w:rFonts w:ascii="Arial" w:hAnsi="Arial" w:cs="Arial"/>
          <w:szCs w:val="18"/>
        </w:rPr>
      </w:pPr>
      <w:r>
        <w:rPr>
          <w:rStyle w:val="Lbjegyzet-hivatkozs"/>
          <w:rFonts w:ascii="Arial" w:hAnsi="Arial" w:cs="Arial"/>
          <w:szCs w:val="18"/>
          <w:lang w:val="en-GB"/>
        </w:rPr>
        <w:footnoteRef/>
      </w:r>
      <w:r>
        <w:rPr>
          <w:rStyle w:val="Lbjegyzet-hivatkozs"/>
          <w:rFonts w:ascii="Arial" w:hAnsi="Arial" w:cs="Arial"/>
          <w:szCs w:val="18"/>
          <w:vertAlign w:val="baseline"/>
          <w:lang w:val="en-GB"/>
        </w:rPr>
        <w:t xml:space="preserve"> CEPT:</w:t>
      </w:r>
      <w:r>
        <w:rPr>
          <w:rStyle w:val="Lbjegyzet-hivatkozs"/>
          <w:rFonts w:ascii="Arial" w:hAnsi="Arial" w:cs="Arial"/>
          <w:szCs w:val="18"/>
          <w:lang w:val="en-GB"/>
        </w:rPr>
        <w:t xml:space="preserve"> </w:t>
      </w:r>
      <w:r>
        <w:rPr>
          <w:rStyle w:val="Lbjegyzet-hivatkozs"/>
          <w:rFonts w:ascii="Arial" w:hAnsi="Arial" w:cs="Arial"/>
          <w:szCs w:val="18"/>
          <w:vertAlign w:val="baseline"/>
          <w:lang w:val="en-GB"/>
        </w:rPr>
        <w:t>Conférence européenne des Administrations des postes et des télécommunications - European Conference of Postal and Telecommunications Administrations</w:t>
      </w:r>
    </w:p>
  </w:footnote>
  <w:footnote w:id="16">
    <w:p w14:paraId="306FAEC8" w14:textId="77777777" w:rsidR="00D46E94" w:rsidRPr="00CF1845" w:rsidRDefault="00D46E94" w:rsidP="007D4158">
      <w:pPr>
        <w:pStyle w:val="Lbjegyzetszveg"/>
        <w:tabs>
          <w:tab w:val="left" w:pos="0"/>
        </w:tabs>
        <w:rPr>
          <w:rStyle w:val="Lbjegyzet-hivatkozs"/>
          <w:rFonts w:ascii="Arial" w:hAnsi="Arial" w:cs="Arial"/>
          <w:szCs w:val="18"/>
        </w:rPr>
      </w:pPr>
      <w:r>
        <w:rPr>
          <w:rStyle w:val="Lbjegyzet-hivatkozs"/>
          <w:rFonts w:ascii="Arial" w:hAnsi="Arial" w:cs="Arial"/>
          <w:szCs w:val="18"/>
          <w:lang w:val="en-GB"/>
        </w:rPr>
        <w:footnoteRef/>
      </w:r>
      <w:r>
        <w:rPr>
          <w:rStyle w:val="Lbjegyzet-hivatkozs"/>
          <w:rFonts w:ascii="Arial" w:hAnsi="Arial" w:cs="Arial"/>
          <w:szCs w:val="18"/>
          <w:vertAlign w:val="baseline"/>
          <w:lang w:val="en-GB"/>
        </w:rPr>
        <w:t xml:space="preserve"> RSPG:</w:t>
      </w:r>
      <w:r>
        <w:rPr>
          <w:rStyle w:val="Lbjegyzet-hivatkozs"/>
          <w:rFonts w:ascii="Arial" w:hAnsi="Arial" w:cs="Arial"/>
          <w:szCs w:val="18"/>
          <w:lang w:val="en-GB"/>
        </w:rPr>
        <w:t xml:space="preserve"> </w:t>
      </w:r>
      <w:r>
        <w:rPr>
          <w:rStyle w:val="Lbjegyzet-hivatkozs"/>
          <w:rFonts w:ascii="Arial" w:hAnsi="Arial" w:cs="Arial"/>
          <w:szCs w:val="18"/>
          <w:vertAlign w:val="baseline"/>
          <w:lang w:val="en-GB"/>
        </w:rPr>
        <w:t>Radio Spectrum Policy Group</w:t>
      </w:r>
    </w:p>
  </w:footnote>
  <w:footnote w:id="17">
    <w:p w14:paraId="47910366" w14:textId="77777777" w:rsidR="00D46E94" w:rsidRPr="00CF1845" w:rsidRDefault="00D46E94" w:rsidP="007D4158">
      <w:pPr>
        <w:pStyle w:val="Lbjegyzetszveg"/>
        <w:tabs>
          <w:tab w:val="left" w:pos="0"/>
        </w:tabs>
        <w:rPr>
          <w:rStyle w:val="Lbjegyzet-hivatkozs"/>
          <w:rFonts w:ascii="Arial" w:hAnsi="Arial" w:cs="Arial"/>
          <w:szCs w:val="18"/>
        </w:rPr>
      </w:pPr>
      <w:r>
        <w:rPr>
          <w:rStyle w:val="Lbjegyzet-hivatkozs"/>
          <w:rFonts w:ascii="Arial" w:hAnsi="Arial" w:cs="Arial"/>
          <w:szCs w:val="18"/>
          <w:lang w:val="en-GB"/>
        </w:rPr>
        <w:footnoteRef/>
      </w:r>
      <w:r>
        <w:rPr>
          <w:rStyle w:val="Lbjegyzet-hivatkozs"/>
          <w:rFonts w:ascii="Arial" w:hAnsi="Arial" w:cs="Arial"/>
          <w:szCs w:val="18"/>
          <w:vertAlign w:val="baseline"/>
          <w:lang w:val="en-GB"/>
        </w:rPr>
        <w:t xml:space="preserve"> RSC:</w:t>
      </w:r>
      <w:r>
        <w:rPr>
          <w:rStyle w:val="Lbjegyzet-hivatkozs"/>
          <w:rFonts w:ascii="Arial" w:hAnsi="Arial" w:cs="Arial"/>
          <w:szCs w:val="18"/>
          <w:lang w:val="en-GB"/>
        </w:rPr>
        <w:t xml:space="preserve"> </w:t>
      </w:r>
      <w:r>
        <w:rPr>
          <w:rStyle w:val="Lbjegyzet-hivatkozs"/>
          <w:rFonts w:ascii="Arial" w:hAnsi="Arial" w:cs="Arial"/>
          <w:szCs w:val="18"/>
          <w:vertAlign w:val="baseline"/>
          <w:lang w:val="en-GB"/>
        </w:rPr>
        <w:t>Radio Spectrum Committee</w:t>
      </w:r>
    </w:p>
  </w:footnote>
  <w:footnote w:id="18">
    <w:p w14:paraId="213C4A9B" w14:textId="3451CDE7" w:rsidR="00D46E94" w:rsidRPr="00382B4B" w:rsidRDefault="00D46E94" w:rsidP="00007470">
      <w:pPr>
        <w:keepNext/>
        <w:keepLines/>
        <w:spacing w:after="0" w:line="240" w:lineRule="auto"/>
        <w:rPr>
          <w:rFonts w:ascii="Arial" w:hAnsi="Arial" w:cs="Arial"/>
        </w:rPr>
      </w:pPr>
      <w:r>
        <w:rPr>
          <w:rStyle w:val="Lbjegyzet-hivatkozs"/>
          <w:rFonts w:ascii="Arial" w:hAnsi="Arial"/>
          <w:szCs w:val="18"/>
          <w:lang w:val="en-GB"/>
        </w:rPr>
        <w:footnoteRef/>
      </w:r>
      <w:r w:rsidRPr="00EC0709">
        <w:rPr>
          <w:rFonts w:ascii="Arial" w:hAnsi="Arial"/>
        </w:rPr>
        <w:t xml:space="preserve"> </w:t>
      </w:r>
      <w:r w:rsidRPr="00EC0709">
        <w:rPr>
          <w:rStyle w:val="Lbjegyzet-hivatkozs"/>
          <w:sz w:val="20"/>
          <w:szCs w:val="18"/>
          <w:vertAlign w:val="baseline"/>
        </w:rPr>
        <w:t xml:space="preserve">GE06 - </w:t>
      </w:r>
      <w:r w:rsidRPr="00EC0709">
        <w:rPr>
          <w:rStyle w:val="Lbjegyzet-hivatkozs"/>
          <w:rFonts w:ascii="Arial" w:hAnsi="Arial"/>
          <w:szCs w:val="18"/>
          <w:vertAlign w:val="baseline"/>
        </w:rPr>
        <w:t>Final Acts of the Regional Radiocommunication Conference for planning of the digital terrestrial broadcasting service in parts of Regions 1 and 3, in the frequency bands 174-230 MHz and 470</w:t>
      </w:r>
      <w:r w:rsidRPr="00EC0709">
        <w:rPr>
          <w:rStyle w:val="Lbjegyzet-hivatkozs"/>
          <w:rFonts w:ascii="Arial" w:hAnsi="Arial"/>
          <w:szCs w:val="18"/>
          <w:vertAlign w:val="baseline"/>
        </w:rPr>
        <w:noBreakHyphen/>
        <w:t>862 MHz (RRC</w:t>
      </w:r>
      <w:r w:rsidRPr="00EC0709">
        <w:rPr>
          <w:rStyle w:val="Lbjegyzet-hivatkozs"/>
          <w:rFonts w:ascii="Arial" w:hAnsi="Arial"/>
          <w:szCs w:val="18"/>
          <w:vertAlign w:val="baseline"/>
        </w:rPr>
        <w:noBreakHyphen/>
        <w:t>06), Geneva, 2006</w:t>
      </w:r>
    </w:p>
  </w:footnote>
  <w:footnote w:id="19">
    <w:p w14:paraId="2106DB07" w14:textId="379117BD" w:rsidR="00D46E94" w:rsidRPr="00382B4B" w:rsidRDefault="00D46E94" w:rsidP="00007470">
      <w:pPr>
        <w:keepNext/>
        <w:keepLines/>
        <w:spacing w:after="0" w:line="240" w:lineRule="auto"/>
        <w:rPr>
          <w:rFonts w:ascii="Arial" w:hAnsi="Arial" w:cs="Arial"/>
        </w:rPr>
      </w:pPr>
      <w:r>
        <w:rPr>
          <w:rStyle w:val="Lbjegyzet-hivatkozs"/>
          <w:rFonts w:ascii="Arial" w:hAnsi="Arial"/>
          <w:szCs w:val="18"/>
          <w:lang w:val="en-GB"/>
        </w:rPr>
        <w:footnoteRef/>
      </w:r>
      <w:r w:rsidRPr="00EC0709">
        <w:rPr>
          <w:rFonts w:ascii="Arial" w:hAnsi="Arial"/>
        </w:rPr>
        <w:t xml:space="preserve"> </w:t>
      </w:r>
      <w:r w:rsidRPr="0037206C">
        <w:rPr>
          <w:rFonts w:ascii="Arial" w:hAnsi="Arial"/>
          <w:szCs w:val="18"/>
        </w:rPr>
        <w:t>Regional Radiocommunication Conference (RRC</w:t>
      </w:r>
      <w:r w:rsidRPr="0037206C">
        <w:rPr>
          <w:rFonts w:ascii="Arial" w:hAnsi="Arial"/>
          <w:szCs w:val="18"/>
        </w:rPr>
        <w:noBreakHyphen/>
        <w:t>06), Geneva, 2006</w:t>
      </w:r>
    </w:p>
  </w:footnote>
  <w:footnote w:id="20">
    <w:p w14:paraId="1F0D504B" w14:textId="544872BE" w:rsidR="00D46E94" w:rsidRPr="00CA309E" w:rsidRDefault="00D46E94" w:rsidP="00CA309E">
      <w:pPr>
        <w:keepNext/>
        <w:keepLines/>
        <w:spacing w:after="0" w:line="240" w:lineRule="auto"/>
        <w:rPr>
          <w:rStyle w:val="Lbjegyzet-hivatkozs"/>
          <w:rFonts w:ascii="Arial" w:hAnsi="Arial"/>
          <w:szCs w:val="18"/>
        </w:rPr>
      </w:pPr>
      <w:r>
        <w:rPr>
          <w:rStyle w:val="Lbjegyzet-hivatkozs"/>
          <w:rFonts w:ascii="Arial" w:hAnsi="Arial" w:cs="Arial"/>
          <w:szCs w:val="18"/>
          <w:lang w:val="en-GB"/>
        </w:rPr>
        <w:footnoteRef/>
      </w:r>
      <w:r w:rsidRPr="00B47F70">
        <w:rPr>
          <w:rStyle w:val="Lbjegyzet-hivatkozs"/>
          <w:rFonts w:ascii="Arial" w:hAnsi="Arial" w:cs="Arial"/>
          <w:szCs w:val="18"/>
          <w:vertAlign w:val="baseline"/>
        </w:rPr>
        <w:t xml:space="preserve"> Europe, Afri</w:t>
      </w:r>
      <w:r w:rsidRPr="00B47F70">
        <w:rPr>
          <w:rFonts w:ascii="Arial" w:hAnsi="Arial" w:cs="Arial"/>
          <w:szCs w:val="18"/>
        </w:rPr>
        <w:t>c</w:t>
      </w:r>
      <w:r w:rsidRPr="00B47F70">
        <w:rPr>
          <w:rStyle w:val="Lbjegyzet-hivatkozs"/>
          <w:rFonts w:ascii="Arial" w:hAnsi="Arial" w:cs="Arial"/>
          <w:szCs w:val="18"/>
          <w:vertAlign w:val="baseline"/>
        </w:rPr>
        <w:t>a and certain parts of Asia</w:t>
      </w:r>
    </w:p>
  </w:footnote>
  <w:footnote w:id="21">
    <w:p w14:paraId="2B2D298B" w14:textId="235BD7C0" w:rsidR="00D46E94" w:rsidRPr="00CA309E" w:rsidRDefault="00D46E94" w:rsidP="00CA309E">
      <w:pPr>
        <w:keepNext/>
        <w:keepLines/>
        <w:spacing w:after="0" w:line="240" w:lineRule="auto"/>
        <w:rPr>
          <w:rStyle w:val="Lbjegyzet-hivatkozs"/>
          <w:rFonts w:ascii="Arial" w:hAnsi="Arial"/>
          <w:szCs w:val="18"/>
        </w:rPr>
      </w:pPr>
      <w:r>
        <w:rPr>
          <w:rStyle w:val="Lbjegyzet-hivatkozs"/>
          <w:lang w:val="en-GB"/>
        </w:rPr>
        <w:footnoteRef/>
      </w:r>
      <w:r>
        <w:rPr>
          <w:rStyle w:val="Lbjegyzet-hivatkozs"/>
          <w:rFonts w:ascii="Arial" w:hAnsi="Arial"/>
          <w:szCs w:val="18"/>
          <w:vertAlign w:val="baseline"/>
          <w:lang w:val="en-GB"/>
        </w:rPr>
        <w:t xml:space="preserve"> World Radiocommunication Conference 2015</w:t>
      </w:r>
    </w:p>
  </w:footnote>
  <w:footnote w:id="22">
    <w:p w14:paraId="5CCE224A" w14:textId="2DBDAF35" w:rsidR="00D46E94" w:rsidRPr="00F22714" w:rsidRDefault="00D46E94" w:rsidP="00CA309E">
      <w:pPr>
        <w:keepNext/>
        <w:keepLines/>
        <w:spacing w:after="0" w:line="240" w:lineRule="auto"/>
        <w:rPr>
          <w:rStyle w:val="Lbjegyzet-hivatkozs"/>
          <w:rFonts w:ascii="Arial" w:hAnsi="Arial" w:cs="Arial"/>
          <w:szCs w:val="18"/>
        </w:rPr>
      </w:pPr>
      <w:r>
        <w:rPr>
          <w:rStyle w:val="Lbjegyzet-hivatkozs"/>
          <w:rFonts w:ascii="Arial" w:hAnsi="Arial"/>
          <w:szCs w:val="18"/>
          <w:lang w:val="en-GB"/>
        </w:rPr>
        <w:footnoteRef/>
      </w:r>
      <w:r>
        <w:rPr>
          <w:rStyle w:val="Lbjegyzet-hivatkozs"/>
          <w:rFonts w:ascii="Arial" w:hAnsi="Arial"/>
          <w:szCs w:val="18"/>
          <w:vertAlign w:val="baseline"/>
          <w:lang w:val="en-GB"/>
        </w:rPr>
        <w:t xml:space="preserve"> RESOLUTION 760 (WRC-15) Provisions relating to the use of the frequency band 694-790 MHz in Region 1 by the mobile, except aeronautical mobile, </w:t>
      </w:r>
      <w:r>
        <w:rPr>
          <w:rStyle w:val="Lbjegyzet-hivatkozs"/>
          <w:rFonts w:ascii="Arial" w:hAnsi="Arial" w:cs="Arial"/>
          <w:szCs w:val="18"/>
          <w:vertAlign w:val="baseline"/>
          <w:lang w:val="en-GB"/>
        </w:rPr>
        <w:t>service and by other services</w:t>
      </w:r>
    </w:p>
  </w:footnote>
  <w:footnote w:id="23">
    <w:p w14:paraId="78CD7D12" w14:textId="73B3E029" w:rsidR="00D46E94" w:rsidRPr="00EB4239" w:rsidRDefault="00D46E94" w:rsidP="00112F85">
      <w:pPr>
        <w:pStyle w:val="Lbjegyzetszveg"/>
        <w:tabs>
          <w:tab w:val="left" w:pos="0"/>
        </w:tabs>
        <w:rPr>
          <w:rStyle w:val="Lbjegyzet-hivatkozs"/>
          <w:rFonts w:ascii="Arial" w:hAnsi="Arial" w:cstheme="minorHAnsi"/>
          <w:sz w:val="22"/>
          <w:szCs w:val="18"/>
          <w:vertAlign w:val="baseline"/>
          <w:lang w:val="en-GB"/>
        </w:rPr>
      </w:pPr>
      <w:r w:rsidRPr="00F22714">
        <w:rPr>
          <w:rStyle w:val="Lbjegyzet-hivatkozs"/>
          <w:rFonts w:ascii="Arial" w:hAnsi="Arial" w:cs="Arial"/>
          <w:szCs w:val="18"/>
          <w:lang w:val="en-GB"/>
        </w:rPr>
        <w:footnoteRef/>
      </w:r>
      <w:r w:rsidRPr="00EB4239">
        <w:rPr>
          <w:rStyle w:val="Lbjegyzet-hivatkozs"/>
          <w:rFonts w:ascii="Arial" w:hAnsi="Arial" w:cs="Arial"/>
          <w:szCs w:val="18"/>
          <w:lang w:val="en-GB"/>
        </w:rPr>
        <w:t xml:space="preserve"> </w:t>
      </w:r>
      <w:r w:rsidRPr="00EB4239">
        <w:rPr>
          <w:rStyle w:val="Lbjegyzet-hivatkozs"/>
          <w:rFonts w:ascii="Arial" w:hAnsi="Arial" w:cstheme="minorHAnsi"/>
          <w:sz w:val="22"/>
          <w:szCs w:val="18"/>
          <w:vertAlign w:val="baseline"/>
          <w:lang w:val="en-GB"/>
        </w:rPr>
        <w:t>RESOLUTION 224 (REV.WRC-15); Frequency bands for the terrestrial component of International Mobile Telecommunications below 1 GHz</w:t>
      </w:r>
    </w:p>
  </w:footnote>
  <w:footnote w:id="24">
    <w:p w14:paraId="6C5C0224" w14:textId="77777777" w:rsidR="00D46E94" w:rsidRPr="00247A9A" w:rsidRDefault="00D46E94" w:rsidP="00EE5A4C">
      <w:pPr>
        <w:pStyle w:val="Lbjegyzetszveg"/>
        <w:jc w:val="both"/>
        <w:rPr>
          <w:rStyle w:val="Lbjegyzet-hivatkozs"/>
          <w:szCs w:val="18"/>
        </w:rPr>
      </w:pPr>
      <w:r>
        <w:rPr>
          <w:rStyle w:val="Lbjegyzet-hivatkozs"/>
          <w:szCs w:val="18"/>
          <w:lang w:val="en-GB"/>
        </w:rPr>
        <w:footnoteRef/>
      </w:r>
      <w:r>
        <w:rPr>
          <w:rStyle w:val="Lbjegyzet-hivatkozs"/>
          <w:szCs w:val="18"/>
          <w:vertAlign w:val="baseline"/>
          <w:lang w:val="en-GB"/>
        </w:rPr>
        <w:t xml:space="preserve"> IMT:</w:t>
      </w:r>
      <w:r>
        <w:rPr>
          <w:rStyle w:val="Lbjegyzet-hivatkozs"/>
          <w:szCs w:val="18"/>
          <w:lang w:val="en-GB"/>
        </w:rPr>
        <w:t xml:space="preserve"> </w:t>
      </w:r>
      <w:r>
        <w:rPr>
          <w:rStyle w:val="Lbjegyzet-hivatkozs"/>
          <w:szCs w:val="18"/>
          <w:vertAlign w:val="baseline"/>
          <w:lang w:val="en-GB"/>
        </w:rPr>
        <w:t>International Mobile Telecommunications</w:t>
      </w:r>
    </w:p>
  </w:footnote>
  <w:footnote w:id="25">
    <w:p w14:paraId="20CB2221" w14:textId="77777777" w:rsidR="00D46E94" w:rsidRPr="00A138B7" w:rsidRDefault="00D46E94" w:rsidP="00B11DDE">
      <w:pPr>
        <w:autoSpaceDE w:val="0"/>
        <w:autoSpaceDN w:val="0"/>
        <w:adjustRightInd w:val="0"/>
        <w:spacing w:after="0" w:line="240" w:lineRule="auto"/>
        <w:jc w:val="left"/>
        <w:rPr>
          <w:rStyle w:val="Lbjegyzet-hivatkozs"/>
          <w:rFonts w:cstheme="minorBidi"/>
          <w:sz w:val="20"/>
          <w:szCs w:val="20"/>
        </w:rPr>
      </w:pPr>
      <w:r>
        <w:rPr>
          <w:rStyle w:val="Lbjegyzet-hivatkozs"/>
          <w:rFonts w:ascii="Arial" w:hAnsi="Arial" w:cs="Arial"/>
          <w:sz w:val="20"/>
          <w:szCs w:val="18"/>
          <w:lang w:val="en-GB"/>
        </w:rPr>
        <w:footnoteRef/>
      </w:r>
      <w:r>
        <w:rPr>
          <w:rStyle w:val="Lbjegyzet-hivatkozs"/>
          <w:rFonts w:ascii="Arial" w:hAnsi="Arial" w:cs="Arial"/>
          <w:sz w:val="20"/>
          <w:szCs w:val="18"/>
          <w:vertAlign w:val="baseline"/>
          <w:lang w:val="en-GB"/>
        </w:rPr>
        <w:t xml:space="preserve"> RESOLUTION 749 (REV.WRC-15) Use of the frequency band 790-862 MHz in countries of Region 1 and the Islamic Republic of Iran by mobile applications and by other services</w:t>
      </w:r>
    </w:p>
  </w:footnote>
  <w:footnote w:id="26">
    <w:p w14:paraId="2BE919FD" w14:textId="77777777" w:rsidR="00D46E94" w:rsidRPr="005D04F4" w:rsidRDefault="00D46E94" w:rsidP="00BE7933">
      <w:pPr>
        <w:pStyle w:val="Lbjegyzetszveg"/>
        <w:jc w:val="both"/>
        <w:rPr>
          <w:rStyle w:val="Lbjegyzet-hivatkozs"/>
          <w:szCs w:val="18"/>
        </w:rPr>
      </w:pPr>
      <w:r>
        <w:rPr>
          <w:rStyle w:val="Lbjegyzet-hivatkozs"/>
          <w:rFonts w:ascii="Arial" w:hAnsi="Arial" w:cs="Arial"/>
          <w:lang w:val="en-GB"/>
        </w:rPr>
        <w:footnoteRef/>
      </w:r>
      <w:r w:rsidRPr="00EC0709">
        <w:rPr>
          <w:rFonts w:ascii="Arial" w:hAnsi="Arial" w:cs="Arial"/>
        </w:rPr>
        <w:t xml:space="preserve"> </w:t>
      </w:r>
      <w:r w:rsidRPr="00EC0709">
        <w:rPr>
          <w:rStyle w:val="Lbjegyzet-hivatkozs"/>
          <w:szCs w:val="18"/>
          <w:vertAlign w:val="baseline"/>
        </w:rPr>
        <w:t>Recommendation ITU-R M.1036-5 (10/2015) Frequency arrangements for implementation of the terrestrial component of International Mobile Telecommunications (IMT) in the bands identified for IMT in the Radio Regulations (RR</w:t>
      </w:r>
      <w:r w:rsidRPr="00EC0709">
        <w:rPr>
          <w:rStyle w:val="Lbjegyzet-hivatkozs"/>
          <w:rFonts w:ascii="Arial" w:hAnsi="Arial" w:cs="Arial"/>
          <w:szCs w:val="18"/>
          <w:vertAlign w:val="baseline"/>
        </w:rPr>
        <w:t>)</w:t>
      </w:r>
    </w:p>
  </w:footnote>
  <w:footnote w:id="27">
    <w:p w14:paraId="2896DC1F" w14:textId="77777777" w:rsidR="00D46E94" w:rsidRPr="003C2C85" w:rsidRDefault="00D46E94" w:rsidP="002A763E">
      <w:pPr>
        <w:pStyle w:val="Lbjegyzetszveg"/>
        <w:tabs>
          <w:tab w:val="left" w:pos="0"/>
        </w:tabs>
        <w:rPr>
          <w:rStyle w:val="Lbjegyzet-hivatkozs"/>
          <w:rFonts w:ascii="Arial" w:hAnsi="Arial" w:cs="Arial"/>
          <w:szCs w:val="18"/>
        </w:rPr>
      </w:pPr>
      <w:r>
        <w:rPr>
          <w:rStyle w:val="Lbjegyzet-hivatkozs"/>
          <w:rFonts w:ascii="Arial" w:hAnsi="Arial" w:cs="Arial"/>
          <w:szCs w:val="18"/>
          <w:lang w:val="en-GB"/>
        </w:rPr>
        <w:footnoteRef/>
      </w:r>
      <w:r>
        <w:rPr>
          <w:rStyle w:val="Lbjegyzet-hivatkozs"/>
          <w:rFonts w:ascii="Arial" w:hAnsi="Arial" w:cs="Arial"/>
          <w:szCs w:val="18"/>
          <w:vertAlign w:val="baseline"/>
          <w:lang w:val="en-GB"/>
        </w:rPr>
        <w:t xml:space="preserve"> </w:t>
      </w:r>
      <w:r>
        <w:rPr>
          <w:rStyle w:val="Lbjegyzet-hivatkozs"/>
          <w:vertAlign w:val="baseline"/>
          <w:lang w:val="en-GB"/>
        </w:rPr>
        <w:t>ARNS:</w:t>
      </w:r>
      <w:r>
        <w:rPr>
          <w:rStyle w:val="Lbjegyzet-hivatkozs"/>
          <w:lang w:val="en-GB"/>
        </w:rPr>
        <w:t xml:space="preserve"> </w:t>
      </w:r>
      <w:r>
        <w:rPr>
          <w:rStyle w:val="Lbjegyzet-hivatkozs"/>
          <w:rFonts w:ascii="Arial" w:hAnsi="Arial" w:cs="Arial"/>
          <w:szCs w:val="18"/>
          <w:vertAlign w:val="baseline"/>
          <w:lang w:val="en-GB"/>
        </w:rPr>
        <w:t>Aeronautical Radionavigation Service</w:t>
      </w:r>
    </w:p>
  </w:footnote>
  <w:footnote w:id="28">
    <w:p w14:paraId="382601D6" w14:textId="0D456E9C" w:rsidR="00D46E94" w:rsidRPr="00391CF1" w:rsidRDefault="00D46E94" w:rsidP="00CA309E">
      <w:pPr>
        <w:autoSpaceDE w:val="0"/>
        <w:autoSpaceDN w:val="0"/>
        <w:adjustRightInd w:val="0"/>
        <w:spacing w:after="0" w:line="240" w:lineRule="auto"/>
        <w:jc w:val="left"/>
        <w:rPr>
          <w:rStyle w:val="Lbjegyzet-hivatkozs"/>
          <w:rFonts w:cstheme="minorBidi"/>
          <w:sz w:val="20"/>
          <w:szCs w:val="20"/>
        </w:rPr>
      </w:pPr>
      <w:r>
        <w:rPr>
          <w:rStyle w:val="Lbjegyzet-hivatkozs"/>
          <w:rFonts w:cstheme="minorBidi"/>
          <w:sz w:val="20"/>
          <w:szCs w:val="20"/>
          <w:lang w:val="en-GB"/>
        </w:rPr>
        <w:footnoteRef/>
      </w:r>
      <w:r>
        <w:rPr>
          <w:rStyle w:val="Lbjegyzet-hivatkozs"/>
          <w:rFonts w:cstheme="minorBidi"/>
          <w:sz w:val="20"/>
          <w:szCs w:val="20"/>
          <w:vertAlign w:val="baseline"/>
          <w:lang w:val="en-GB"/>
        </w:rPr>
        <w:t xml:space="preserve"> RESOLUTION 646 (REV. WRC-19) Public protection and disaster relief</w:t>
      </w:r>
    </w:p>
  </w:footnote>
  <w:footnote w:id="29">
    <w:p w14:paraId="7D976779" w14:textId="2186988E" w:rsidR="00D46E94" w:rsidRPr="00391CF1" w:rsidRDefault="00D46E94" w:rsidP="00CA309E">
      <w:pPr>
        <w:autoSpaceDE w:val="0"/>
        <w:autoSpaceDN w:val="0"/>
        <w:adjustRightInd w:val="0"/>
        <w:spacing w:after="0" w:line="240" w:lineRule="auto"/>
        <w:jc w:val="left"/>
      </w:pPr>
      <w:r>
        <w:rPr>
          <w:rStyle w:val="Lbjegyzet-hivatkozs"/>
          <w:rFonts w:cstheme="minorBidi"/>
          <w:sz w:val="20"/>
          <w:szCs w:val="20"/>
          <w:lang w:val="en-GB"/>
        </w:rPr>
        <w:footnoteRef/>
      </w:r>
      <w:r>
        <w:rPr>
          <w:rStyle w:val="Lbjegyzet-hivatkozs"/>
          <w:rFonts w:cstheme="minorBidi"/>
          <w:sz w:val="20"/>
          <w:szCs w:val="20"/>
          <w:vertAlign w:val="baseline"/>
          <w:lang w:val="en-GB"/>
        </w:rPr>
        <w:t xml:space="preserve"> Public Protection and Disaster Relief</w:t>
      </w:r>
    </w:p>
  </w:footnote>
  <w:footnote w:id="30">
    <w:p w14:paraId="43D96ADB" w14:textId="3F4F49D0" w:rsidR="00D46E94" w:rsidRDefault="00D46E94" w:rsidP="00391CF1">
      <w:pPr>
        <w:autoSpaceDE w:val="0"/>
        <w:autoSpaceDN w:val="0"/>
        <w:adjustRightInd w:val="0"/>
        <w:spacing w:after="0" w:line="240" w:lineRule="auto"/>
        <w:jc w:val="left"/>
      </w:pPr>
      <w:r>
        <w:rPr>
          <w:rStyle w:val="Lbjegyzet-hivatkozs"/>
          <w:rFonts w:cstheme="minorBidi"/>
          <w:sz w:val="20"/>
          <w:szCs w:val="20"/>
          <w:lang w:val="en-GB"/>
        </w:rPr>
        <w:footnoteRef/>
      </w:r>
      <w:r w:rsidRPr="00EC0709">
        <w:rPr>
          <w:rStyle w:val="Lbjegyzet-hivatkozs"/>
          <w:rFonts w:cstheme="minorBidi"/>
          <w:sz w:val="20"/>
          <w:szCs w:val="20"/>
          <w:vertAlign w:val="baseline"/>
        </w:rPr>
        <w:t xml:space="preserve"> M.2015 :</w:t>
      </w:r>
      <w:r w:rsidRPr="00EC0709">
        <w:rPr>
          <w:rStyle w:val="Lbjegyzet-hivatkozs"/>
          <w:rFonts w:cstheme="minorBidi"/>
          <w:sz w:val="20"/>
          <w:szCs w:val="20"/>
        </w:rPr>
        <w:t xml:space="preserve"> </w:t>
      </w:r>
      <w:r w:rsidRPr="00EC0709">
        <w:rPr>
          <w:rStyle w:val="Lbjegyzet-hivatkozs"/>
          <w:rFonts w:cstheme="minorBidi"/>
          <w:sz w:val="20"/>
          <w:szCs w:val="20"/>
          <w:vertAlign w:val="baseline"/>
        </w:rPr>
        <w:t>Frequency arrangements for public protection and disaster relief radiocommunication systems in accordance with Resolution 646 (Rev.WRC-15) - https://www.itu.int/rec/R-REC-M.2015-2-201801-I/en</w:t>
      </w:r>
      <w:r w:rsidRPr="00EC0709">
        <w:rPr>
          <w:rFonts w:cstheme="minorBidi"/>
          <w:sz w:val="20"/>
          <w:szCs w:val="20"/>
        </w:rPr>
        <w:t xml:space="preserve"> </w:t>
      </w:r>
    </w:p>
  </w:footnote>
  <w:footnote w:id="31">
    <w:p w14:paraId="55994A02" w14:textId="77777777" w:rsidR="00D46E94" w:rsidRPr="009C4D07" w:rsidRDefault="00D46E94" w:rsidP="00D47085">
      <w:pPr>
        <w:pStyle w:val="Lbjegyzetszveg"/>
        <w:tabs>
          <w:tab w:val="left" w:pos="0"/>
        </w:tabs>
        <w:rPr>
          <w:rStyle w:val="Lbjegyzet-hivatkozs"/>
          <w:szCs w:val="18"/>
        </w:rPr>
      </w:pPr>
      <w:r>
        <w:rPr>
          <w:rStyle w:val="Lbjegyzet-hivatkozs"/>
          <w:rFonts w:ascii="Arial" w:hAnsi="Arial" w:cs="Arial"/>
          <w:szCs w:val="18"/>
          <w:lang w:val="en-GB"/>
        </w:rPr>
        <w:footnoteRef/>
      </w:r>
      <w:r>
        <w:rPr>
          <w:rStyle w:val="Lbjegyzet-hivatkozs"/>
          <w:rFonts w:ascii="Arial" w:hAnsi="Arial" w:cs="Arial"/>
          <w:szCs w:val="18"/>
          <w:vertAlign w:val="baseline"/>
          <w:lang w:val="en-GB"/>
        </w:rPr>
        <w:t xml:space="preserve"> Mandate to CEPT to develop harmonised technical conditions for the 694-790 MHz ('700 MHz') frequency band in the EU for the provision of wireless broadband and other uses in support of EU spectrum policy objectives</w:t>
      </w:r>
    </w:p>
  </w:footnote>
  <w:footnote w:id="32">
    <w:p w14:paraId="6BEB18B4" w14:textId="77777777" w:rsidR="00D46E94" w:rsidRPr="0026291A" w:rsidRDefault="00D46E94" w:rsidP="000C3435">
      <w:pPr>
        <w:pStyle w:val="Default"/>
        <w:rPr>
          <w:rStyle w:val="Lbjegyzet-hivatkozs"/>
          <w:szCs w:val="18"/>
        </w:rPr>
      </w:pPr>
      <w:r>
        <w:rPr>
          <w:rStyle w:val="Lbjegyzet-hivatkozs"/>
          <w:rFonts w:asciiTheme="minorHAnsi" w:hAnsiTheme="minorHAnsi" w:cstheme="minorBidi"/>
          <w:color w:val="auto"/>
          <w:sz w:val="20"/>
          <w:szCs w:val="20"/>
          <w:lang w:val="en-GB"/>
        </w:rPr>
        <w:footnoteRef/>
      </w:r>
      <w:r>
        <w:rPr>
          <w:rStyle w:val="Lbjegyzet-hivatkozs"/>
          <w:rFonts w:asciiTheme="minorHAnsi" w:hAnsiTheme="minorHAnsi" w:cstheme="minorBidi"/>
          <w:color w:val="auto"/>
          <w:sz w:val="20"/>
          <w:szCs w:val="20"/>
          <w:vertAlign w:val="baseline"/>
          <w:lang w:val="en-GB"/>
        </w:rPr>
        <w:t xml:space="preserve"> CEPT Report 53 -  Report A from CEPT to the European Commission in response to the Mandate “To develop harmonised technical conditions for the 694-790 MHz ('700 MHz') frequency band in the EU for the provision of wireless broadband and other uses in support of EU spectrum policy objectives” (Report approved on 28 November 2014 by the ECC)</w:t>
      </w:r>
      <w:r>
        <w:rPr>
          <w:rStyle w:val="Lbjegyzet-hivatkozs"/>
          <w:rFonts w:asciiTheme="minorHAnsi" w:hAnsiTheme="minorHAnsi" w:cstheme="minorBidi"/>
          <w:color w:val="auto"/>
          <w:sz w:val="20"/>
          <w:szCs w:val="20"/>
          <w:lang w:val="en-GB"/>
        </w:rPr>
        <w:t xml:space="preserve"> </w:t>
      </w:r>
    </w:p>
  </w:footnote>
  <w:footnote w:id="33">
    <w:p w14:paraId="351F907A" w14:textId="77777777" w:rsidR="00D46E94" w:rsidRPr="0026291A" w:rsidRDefault="00D46E94" w:rsidP="00E8411E">
      <w:pPr>
        <w:pStyle w:val="Lbjegyzetszveg"/>
        <w:tabs>
          <w:tab w:val="left" w:pos="0"/>
        </w:tabs>
        <w:rPr>
          <w:rStyle w:val="Lbjegyzet-hivatkozs"/>
          <w:szCs w:val="18"/>
        </w:rPr>
      </w:pPr>
      <w:r>
        <w:rPr>
          <w:rStyle w:val="Lbjegyzet-hivatkozs"/>
          <w:rFonts w:ascii="Arial" w:hAnsi="Arial" w:cs="Arial"/>
          <w:szCs w:val="18"/>
          <w:lang w:val="en-GB"/>
        </w:rPr>
        <w:footnoteRef/>
      </w:r>
      <w:r>
        <w:rPr>
          <w:rStyle w:val="Lbjegyzet-hivatkozs"/>
          <w:rFonts w:ascii="Arial" w:hAnsi="Arial" w:cs="Arial"/>
          <w:szCs w:val="18"/>
          <w:vertAlign w:val="baseline"/>
          <w:lang w:val="en-GB"/>
        </w:rPr>
        <w:t xml:space="preserve"> </w:t>
      </w:r>
      <w:r>
        <w:rPr>
          <w:rStyle w:val="Lbjegyzet-hivatkozs"/>
          <w:vertAlign w:val="baseline"/>
          <w:lang w:val="en-GB"/>
        </w:rPr>
        <w:t>CEPT Report 53 -  Report B from CEPT to the European Commission in response to the Mandate “To develop harmonised technical conditions for the 694-790 MHz ('700 MHz') frequency band in the EU for the provision of wireless broadband and other uses in support of EU spectrum policy objectives” (Report approved on 28 November 2014 by the ECC)</w:t>
      </w:r>
    </w:p>
  </w:footnote>
  <w:footnote w:id="34">
    <w:p w14:paraId="16F65F21" w14:textId="77777777" w:rsidR="00D46E94" w:rsidRPr="00160B3A" w:rsidRDefault="00D46E94" w:rsidP="00160B3A">
      <w:pPr>
        <w:spacing w:after="0"/>
        <w:ind w:left="312" w:hanging="312"/>
        <w:rPr>
          <w:rStyle w:val="Lbjegyzet-hivatkozs"/>
          <w:rFonts w:ascii="Arial" w:hAnsi="Arial" w:cs="Arial"/>
          <w:sz w:val="20"/>
          <w:szCs w:val="18"/>
        </w:rPr>
      </w:pPr>
      <w:r>
        <w:rPr>
          <w:rStyle w:val="Lbjegyzet-hivatkozs"/>
          <w:rFonts w:cstheme="minorBidi"/>
          <w:sz w:val="20"/>
          <w:szCs w:val="20"/>
          <w:lang w:val="en-GB"/>
        </w:rPr>
        <w:footnoteRef/>
      </w:r>
      <w:r>
        <w:rPr>
          <w:rStyle w:val="Lbjegyzet-hivatkozs"/>
          <w:rFonts w:cstheme="minorBidi"/>
          <w:sz w:val="20"/>
          <w:szCs w:val="20"/>
          <w:vertAlign w:val="baseline"/>
          <w:lang w:val="en-GB"/>
        </w:rPr>
        <w:t xml:space="preserve"> ECC</w:t>
      </w:r>
      <w:r>
        <w:rPr>
          <w:rStyle w:val="Lbjegyzet-hivatkozs"/>
          <w:rFonts w:cstheme="minorBidi"/>
          <w:szCs w:val="20"/>
          <w:vertAlign w:val="baseline"/>
          <w:lang w:val="en-GB"/>
        </w:rPr>
        <w:t>:</w:t>
      </w:r>
      <w:r>
        <w:rPr>
          <w:rStyle w:val="Lbjegyzet-hivatkozs"/>
          <w:rFonts w:cstheme="minorBidi"/>
          <w:szCs w:val="20"/>
          <w:lang w:val="en-GB"/>
        </w:rPr>
        <w:t xml:space="preserve"> </w:t>
      </w:r>
      <w:r>
        <w:rPr>
          <w:rStyle w:val="Lbjegyzet-hivatkozs"/>
          <w:rFonts w:cstheme="minorBidi"/>
          <w:sz w:val="20"/>
          <w:szCs w:val="20"/>
          <w:vertAlign w:val="baseline"/>
          <w:lang w:val="en-GB"/>
        </w:rPr>
        <w:t>Electronic Communications Committee</w:t>
      </w:r>
    </w:p>
  </w:footnote>
  <w:footnote w:id="35">
    <w:p w14:paraId="04AC416B" w14:textId="29D66675" w:rsidR="00D46E94" w:rsidRPr="00A663FF" w:rsidRDefault="00D46E94" w:rsidP="00BC30A3">
      <w:pPr>
        <w:pStyle w:val="Lbjegyzetszveg"/>
        <w:tabs>
          <w:tab w:val="left" w:pos="0"/>
        </w:tabs>
        <w:rPr>
          <w:rStyle w:val="Lbjegyzet-hivatkozs"/>
        </w:rPr>
      </w:pPr>
      <w:r>
        <w:rPr>
          <w:rStyle w:val="Lbjegyzet-hivatkozs"/>
          <w:rFonts w:ascii="Arial" w:hAnsi="Arial" w:cs="Arial"/>
          <w:szCs w:val="18"/>
          <w:lang w:val="en-GB"/>
        </w:rPr>
        <w:footnoteRef/>
      </w:r>
      <w:r w:rsidRPr="00EC0709">
        <w:rPr>
          <w:rStyle w:val="Lbjegyzet-hivatkozs"/>
          <w:rFonts w:ascii="Arial" w:hAnsi="Arial" w:cs="Arial"/>
          <w:szCs w:val="18"/>
          <w:vertAlign w:val="baseline"/>
        </w:rPr>
        <w:t xml:space="preserve"> </w:t>
      </w:r>
      <w:r w:rsidRPr="00EC0709">
        <w:rPr>
          <w:rStyle w:val="Lbjegyzet-hivatkozs"/>
          <w:vertAlign w:val="baseline"/>
        </w:rPr>
        <w:t>ECC Decision (15)01 Harmonised technical conditions for mobile/fixed communications networks (MFCN) in the band 694-790 MHz including a paired frequency arrangement (Frequency Division Duplex 2x30 MHz) and an optional unpaired frequency arrangement (Supplemental Downlink) (06 March 2015)</w:t>
      </w:r>
      <w:r w:rsidRPr="00EC0709">
        <w:t xml:space="preserve"> </w:t>
      </w:r>
    </w:p>
  </w:footnote>
  <w:footnote w:id="36">
    <w:p w14:paraId="5F5663D6" w14:textId="77777777" w:rsidR="00D46E94" w:rsidRPr="00A046D5" w:rsidRDefault="00D46E94" w:rsidP="008B3873">
      <w:pPr>
        <w:pStyle w:val="Lbjegyzetszveg"/>
        <w:tabs>
          <w:tab w:val="left" w:pos="0"/>
        </w:tabs>
        <w:rPr>
          <w:rStyle w:val="Lbjegyzet-hivatkozs"/>
        </w:rPr>
      </w:pPr>
      <w:r>
        <w:rPr>
          <w:rStyle w:val="Lbjegyzet-hivatkozs"/>
          <w:lang w:val="en-GB"/>
        </w:rPr>
        <w:footnoteRef/>
      </w:r>
      <w:r>
        <w:rPr>
          <w:rStyle w:val="Lbjegyzet-hivatkozs"/>
          <w:vertAlign w:val="baseline"/>
          <w:lang w:val="en-GB"/>
        </w:rPr>
        <w:t xml:space="preserve"> ECC Report 199:</w:t>
      </w:r>
      <w:r>
        <w:rPr>
          <w:rStyle w:val="Lbjegyzet-hivatkozs"/>
          <w:lang w:val="en-GB"/>
        </w:rPr>
        <w:t xml:space="preserve"> </w:t>
      </w:r>
      <w:r>
        <w:rPr>
          <w:rStyle w:val="Lbjegyzet-hivatkozs"/>
          <w:vertAlign w:val="baseline"/>
          <w:lang w:val="en-GB"/>
        </w:rPr>
        <w:t>User requirements and spectrum needs for future European broadband PPDR systems (Wide Area Networks) (May 2013)</w:t>
      </w:r>
      <w:r>
        <w:rPr>
          <w:rStyle w:val="Lbjegyzet-hivatkozs"/>
          <w:lang w:val="en-GB"/>
        </w:rPr>
        <w:t xml:space="preserve"> </w:t>
      </w:r>
    </w:p>
  </w:footnote>
  <w:footnote w:id="37">
    <w:p w14:paraId="1040EAE7" w14:textId="77777777" w:rsidR="00D46E94" w:rsidRPr="00A046D5" w:rsidRDefault="00D46E94" w:rsidP="00EF48FA">
      <w:pPr>
        <w:pStyle w:val="Lbjegyzetszveg"/>
        <w:tabs>
          <w:tab w:val="left" w:pos="0"/>
        </w:tabs>
        <w:rPr>
          <w:rStyle w:val="Lbjegyzet-hivatkozs"/>
        </w:rPr>
      </w:pPr>
      <w:r>
        <w:rPr>
          <w:rStyle w:val="Lbjegyzet-hivatkozs"/>
          <w:lang w:val="en-GB"/>
        </w:rPr>
        <w:footnoteRef/>
      </w:r>
      <w:r>
        <w:rPr>
          <w:rStyle w:val="Lbjegyzet-hivatkozs"/>
          <w:vertAlign w:val="baseline"/>
          <w:lang w:val="en-GB"/>
        </w:rPr>
        <w:t xml:space="preserve"> BB-PPDR WAN:</w:t>
      </w:r>
      <w:r>
        <w:rPr>
          <w:rStyle w:val="Lbjegyzet-hivatkozs"/>
          <w:lang w:val="en-GB"/>
        </w:rPr>
        <w:t xml:space="preserve"> </w:t>
      </w:r>
      <w:r>
        <w:rPr>
          <w:rStyle w:val="Lbjegyzet-hivatkozs"/>
          <w:vertAlign w:val="baseline"/>
          <w:lang w:val="en-GB"/>
        </w:rPr>
        <w:t>Broadband Public Protection and Disaster Relief Wide Area Network</w:t>
      </w:r>
    </w:p>
  </w:footnote>
  <w:footnote w:id="38">
    <w:p w14:paraId="25805173" w14:textId="77777777" w:rsidR="00D46E94" w:rsidRPr="00A046D5" w:rsidRDefault="00D46E94" w:rsidP="00F5233D">
      <w:pPr>
        <w:pStyle w:val="Lbjegyzetszveg"/>
        <w:tabs>
          <w:tab w:val="left" w:pos="0"/>
        </w:tabs>
        <w:rPr>
          <w:rStyle w:val="Lbjegyzet-hivatkozs"/>
        </w:rPr>
      </w:pPr>
      <w:r>
        <w:rPr>
          <w:rStyle w:val="Lbjegyzet-hivatkozs"/>
          <w:lang w:val="en-GB"/>
        </w:rPr>
        <w:footnoteRef/>
      </w:r>
      <w:r>
        <w:rPr>
          <w:rStyle w:val="Lbjegyzet-hivatkozs"/>
          <w:vertAlign w:val="baseline"/>
          <w:lang w:val="en-GB"/>
        </w:rPr>
        <w:t xml:space="preserve"> ECC Report 218:</w:t>
      </w:r>
      <w:r>
        <w:rPr>
          <w:rStyle w:val="Lbjegyzet-hivatkozs"/>
          <w:lang w:val="en-GB"/>
        </w:rPr>
        <w:t xml:space="preserve">  </w:t>
      </w:r>
      <w:r>
        <w:rPr>
          <w:rStyle w:val="Lbjegyzet-hivatkozs"/>
          <w:vertAlign w:val="baseline"/>
          <w:lang w:val="en-GB"/>
        </w:rPr>
        <w:t>Harmonised conditions and spectrum bands for the implementation of future European Broadband Public Protection and Disaster Relief (BB-PPDR) systems (Approved October 2015)</w:t>
      </w:r>
    </w:p>
  </w:footnote>
  <w:footnote w:id="39">
    <w:p w14:paraId="46C15EBA" w14:textId="77777777" w:rsidR="00D46E94" w:rsidRPr="00A046D5" w:rsidRDefault="00D46E94" w:rsidP="008E6B8C">
      <w:pPr>
        <w:pStyle w:val="Lbjegyzetszveg"/>
        <w:tabs>
          <w:tab w:val="left" w:pos="0"/>
        </w:tabs>
        <w:rPr>
          <w:rStyle w:val="Lbjegyzet-hivatkozs"/>
        </w:rPr>
      </w:pPr>
      <w:r>
        <w:rPr>
          <w:rStyle w:val="Lbjegyzet-hivatkozs"/>
          <w:lang w:val="en-GB"/>
        </w:rPr>
        <w:footnoteRef/>
      </w:r>
      <w:r>
        <w:rPr>
          <w:rStyle w:val="Lbjegyzet-hivatkozs"/>
          <w:vertAlign w:val="baseline"/>
          <w:lang w:val="en-GB"/>
        </w:rPr>
        <w:t xml:space="preserve"> ECC Report 239 Compatibility and sharing studies for BB PPDR systems operating in the 700 MHz range (Approved 30 September 2015)</w:t>
      </w:r>
    </w:p>
  </w:footnote>
  <w:footnote w:id="40">
    <w:p w14:paraId="035BD705" w14:textId="77777777" w:rsidR="00D46E94" w:rsidRPr="00C82D82" w:rsidRDefault="00D46E94" w:rsidP="005F2A11">
      <w:pPr>
        <w:spacing w:after="0" w:line="240" w:lineRule="auto"/>
        <w:rPr>
          <w:rStyle w:val="Lbjegyzet-hivatkozs"/>
          <w:rFonts w:cstheme="minorBidi"/>
          <w:sz w:val="20"/>
          <w:szCs w:val="20"/>
        </w:rPr>
      </w:pPr>
      <w:r>
        <w:rPr>
          <w:rStyle w:val="Lbjegyzet-hivatkozs"/>
          <w:rFonts w:cstheme="minorBidi"/>
          <w:sz w:val="20"/>
          <w:szCs w:val="20"/>
          <w:lang w:val="en-GB"/>
        </w:rPr>
        <w:footnoteRef/>
      </w:r>
      <w:r>
        <w:rPr>
          <w:rStyle w:val="Lbjegyzet-hivatkozs"/>
          <w:rFonts w:cstheme="minorBidi"/>
          <w:sz w:val="20"/>
          <w:szCs w:val="20"/>
          <w:vertAlign w:val="baseline"/>
          <w:lang w:val="en-GB"/>
        </w:rPr>
        <w:t xml:space="preserve"> ECC Decision (16)02:</w:t>
      </w:r>
      <w:r>
        <w:rPr>
          <w:rStyle w:val="Lbjegyzet-hivatkozs"/>
          <w:rFonts w:cstheme="minorBidi"/>
          <w:sz w:val="20"/>
          <w:szCs w:val="20"/>
          <w:lang w:val="en-GB"/>
        </w:rPr>
        <w:t xml:space="preserve"> </w:t>
      </w:r>
      <w:r>
        <w:rPr>
          <w:rStyle w:val="Lbjegyzet-hivatkozs"/>
          <w:rFonts w:cstheme="minorBidi"/>
          <w:sz w:val="20"/>
          <w:szCs w:val="20"/>
          <w:vertAlign w:val="baseline"/>
          <w:lang w:val="en-GB"/>
        </w:rPr>
        <w:t>Harmonised technical conditions and frequency bands for the implementation of Broadband Public Protection and Disaster Relief (BB-PPDR) systems (Approved 17 June 2016)</w:t>
      </w:r>
    </w:p>
  </w:footnote>
  <w:footnote w:id="41">
    <w:p w14:paraId="75549F4C" w14:textId="77777777" w:rsidR="00D46E94" w:rsidRPr="00A663FF" w:rsidRDefault="00D46E94" w:rsidP="006E5791">
      <w:pPr>
        <w:pStyle w:val="Lbjegyzetszveg"/>
        <w:tabs>
          <w:tab w:val="left" w:pos="0"/>
        </w:tabs>
        <w:rPr>
          <w:rStyle w:val="Lbjegyzet-hivatkozs"/>
        </w:rPr>
      </w:pPr>
      <w:r>
        <w:rPr>
          <w:rStyle w:val="Lbjegyzet-hivatkozs"/>
          <w:lang w:val="en-GB"/>
        </w:rPr>
        <w:footnoteRef/>
      </w:r>
      <w:r>
        <w:rPr>
          <w:rStyle w:val="Lbjegyzet-hivatkozs"/>
          <w:vertAlign w:val="baseline"/>
          <w:lang w:val="en-GB"/>
        </w:rPr>
        <w:t xml:space="preserve"> ECC Report 242:</w:t>
      </w:r>
      <w:r>
        <w:rPr>
          <w:rStyle w:val="Lbjegyzet-hivatkozs"/>
          <w:lang w:val="en-GB"/>
        </w:rPr>
        <w:t xml:space="preserve">  </w:t>
      </w:r>
      <w:r>
        <w:rPr>
          <w:rStyle w:val="Lbjegyzet-hivatkozs"/>
          <w:vertAlign w:val="baseline"/>
          <w:lang w:val="en-GB"/>
        </w:rPr>
        <w:t>Compatibility and sharing studies for M2M applications in the 733-736 MHz/788-791 MHz band (Approved 04 March 2016)</w:t>
      </w:r>
    </w:p>
  </w:footnote>
  <w:footnote w:id="42">
    <w:p w14:paraId="4A702790" w14:textId="77777777" w:rsidR="00D46E94" w:rsidRPr="00DA3396" w:rsidRDefault="00D46E94" w:rsidP="00B81BDE">
      <w:pPr>
        <w:pStyle w:val="Lbjegyzetszveg"/>
        <w:tabs>
          <w:tab w:val="left" w:pos="0"/>
        </w:tabs>
        <w:rPr>
          <w:rStyle w:val="Lbjegyzet-hivatkozs"/>
        </w:rPr>
      </w:pPr>
      <w:r>
        <w:rPr>
          <w:rStyle w:val="Lbjegyzet-hivatkozs"/>
          <w:lang w:val="en-GB"/>
        </w:rPr>
        <w:footnoteRef/>
      </w:r>
      <w:r>
        <w:rPr>
          <w:rStyle w:val="Lbjegyzet-hivatkozs"/>
          <w:vertAlign w:val="baseline"/>
          <w:lang w:val="en-GB"/>
        </w:rPr>
        <w:t xml:space="preserve"> Draft ECC Report 266:</w:t>
      </w:r>
      <w:r>
        <w:rPr>
          <w:rStyle w:val="Lbjegyzet-hivatkozs"/>
          <w:lang w:val="en-GB"/>
        </w:rPr>
        <w:t xml:space="preserve"> </w:t>
      </w:r>
      <w:r>
        <w:rPr>
          <w:rStyle w:val="Lbjegyzet-hivatkozs"/>
          <w:vertAlign w:val="baseline"/>
          <w:lang w:val="en-GB"/>
        </w:rPr>
        <w:t>The suitability of the current ECC regulatory framework for the future usage of Wideband and Narrowband M2M in the frequency bands 700 MHz, 800 MHz, 900 MHz, 1800 MHz, 2100 MHz, 2300MHz, 2600 MHz, 3400-3600 MHz and 3600-3800 MHz</w:t>
      </w:r>
    </w:p>
  </w:footnote>
  <w:footnote w:id="43">
    <w:p w14:paraId="4BAA8A04" w14:textId="77777777" w:rsidR="00D46E94" w:rsidRPr="00A663FF" w:rsidRDefault="00D46E94" w:rsidP="001C5208">
      <w:pPr>
        <w:pStyle w:val="Lbjegyzetszveg"/>
        <w:tabs>
          <w:tab w:val="left" w:pos="0"/>
        </w:tabs>
        <w:rPr>
          <w:rStyle w:val="Lbjegyzet-hivatkozs"/>
        </w:rPr>
      </w:pPr>
      <w:r>
        <w:rPr>
          <w:rStyle w:val="Lbjegyzet-hivatkozs"/>
          <w:lang w:val="en-GB"/>
        </w:rPr>
        <w:footnoteRef/>
      </w:r>
      <w:r>
        <w:rPr>
          <w:rStyle w:val="Lbjegyzet-hivatkozs"/>
          <w:vertAlign w:val="baseline"/>
          <w:lang w:val="en-GB"/>
        </w:rPr>
        <w:t xml:space="preserve"> ECC Report 221: Adjacent band compatibility between MFCN and PMSE audio applications in the 700 MHz frequency band (Approved September 2014)</w:t>
      </w:r>
      <w:r>
        <w:rPr>
          <w:rStyle w:val="Lbjegyzet-hivatkozs"/>
          <w:lang w:val="en-GB"/>
        </w:rPr>
        <w:t xml:space="preserve"> </w:t>
      </w:r>
    </w:p>
  </w:footnote>
  <w:footnote w:id="44">
    <w:p w14:paraId="687D98F6" w14:textId="6DC7AD69" w:rsidR="00D46E94" w:rsidRPr="00880924" w:rsidRDefault="00D46E94" w:rsidP="002E7F47">
      <w:pPr>
        <w:pStyle w:val="Lbjegyzetszveg"/>
        <w:tabs>
          <w:tab w:val="left" w:pos="0"/>
        </w:tabs>
        <w:rPr>
          <w:rStyle w:val="Lbjegyzet-hivatkozs"/>
        </w:rPr>
      </w:pPr>
      <w:r>
        <w:rPr>
          <w:rStyle w:val="Lbjegyzet-hivatkozs"/>
          <w:lang w:val="en-GB"/>
        </w:rPr>
        <w:footnoteRef/>
      </w:r>
      <w:r>
        <w:rPr>
          <w:rStyle w:val="Lbjegyzet-hivatkozs"/>
          <w:vertAlign w:val="baseline"/>
          <w:lang w:val="en-GB"/>
        </w:rPr>
        <w:t xml:space="preserve"> ECC Recommendation (15)01 Cross-border coordination for mobile / fixed communications networks (MFCN) in the frequency bands: 694-790 MHz, 1452-1492 MHz, 3400-3600 MHz and 3600-3800 MHz (Approved 13 February 2015, latest amendment on 14 February 2020)</w:t>
      </w:r>
    </w:p>
  </w:footnote>
  <w:footnote w:id="45">
    <w:p w14:paraId="35620995" w14:textId="47B1782B" w:rsidR="00D46E94" w:rsidRPr="00552D12" w:rsidRDefault="00D46E94" w:rsidP="002E7F47">
      <w:pPr>
        <w:pStyle w:val="Lbjegyzetszveg"/>
        <w:tabs>
          <w:tab w:val="left" w:pos="0"/>
        </w:tabs>
        <w:rPr>
          <w:rStyle w:val="Lbjegyzet-hivatkozs"/>
          <w:szCs w:val="18"/>
        </w:rPr>
      </w:pPr>
      <w:r>
        <w:rPr>
          <w:rStyle w:val="Lbjegyzet-hivatkozs"/>
          <w:lang w:val="en-GB"/>
        </w:rPr>
        <w:footnoteRef/>
      </w:r>
      <w:r>
        <w:rPr>
          <w:rStyle w:val="Lbjegyzet-hivatkozs"/>
          <w:vertAlign w:val="baseline"/>
          <w:lang w:val="en-GB"/>
        </w:rPr>
        <w:t xml:space="preserve"> ECC Recommendation (16)03 Cross-border coordination for Broadband Public Protection and Disaster Relief (BB-PPDR) systems in the frequency band 698 to 791 MHz Approved 17 October 2016</w:t>
      </w:r>
    </w:p>
  </w:footnote>
  <w:footnote w:id="46">
    <w:p w14:paraId="321F6BCA" w14:textId="77777777" w:rsidR="00D46E94" w:rsidRDefault="00D46E94" w:rsidP="00A57A5F">
      <w:pPr>
        <w:pStyle w:val="Lbjegyzetszveg"/>
      </w:pPr>
      <w:r>
        <w:rPr>
          <w:rStyle w:val="Lbjegyzet-hivatkozs"/>
          <w:szCs w:val="18"/>
          <w:lang w:val="en-GB"/>
        </w:rPr>
        <w:footnoteRef/>
      </w:r>
      <w:r>
        <w:rPr>
          <w:rStyle w:val="Lbjegyzet-hivatkozs"/>
          <w:szCs w:val="18"/>
          <w:vertAlign w:val="baseline"/>
          <w:lang w:val="en-GB"/>
        </w:rPr>
        <w:t>Decision No 243/2012/EU of the European Parliament and of the Council of 14 March 2012 establishing a multiannual radio spectrum policy programme</w:t>
      </w:r>
    </w:p>
  </w:footnote>
  <w:footnote w:id="47">
    <w:p w14:paraId="3F4C01AD" w14:textId="60F755ED" w:rsidR="00D46E94" w:rsidRPr="006F28FF" w:rsidRDefault="00D46E94" w:rsidP="00A57A5F">
      <w:pPr>
        <w:pStyle w:val="Lbjegyzetszveg"/>
        <w:tabs>
          <w:tab w:val="left" w:pos="0"/>
        </w:tabs>
        <w:rPr>
          <w:rStyle w:val="Lbjegyzet-hivatkozs"/>
          <w:rFonts w:ascii="Arial" w:hAnsi="Arial"/>
          <w:szCs w:val="18"/>
        </w:rPr>
      </w:pPr>
      <w:r>
        <w:rPr>
          <w:rStyle w:val="Lbjegyzet-hivatkozs"/>
          <w:rFonts w:ascii="Arial" w:hAnsi="Arial" w:cs="Arial"/>
          <w:szCs w:val="18"/>
          <w:lang w:val="en-GB"/>
        </w:rPr>
        <w:footnoteRef/>
      </w:r>
      <w:r>
        <w:rPr>
          <w:rStyle w:val="Lbjegyzet-hivatkozs"/>
          <w:rFonts w:ascii="Arial" w:hAnsi="Arial" w:cs="Arial"/>
          <w:szCs w:val="18"/>
          <w:vertAlign w:val="baseline"/>
          <w:lang w:val="en-GB"/>
        </w:rPr>
        <w:t xml:space="preserve"> Commission Implementing Decision (EU) 2016/687 of 28 April 2016 on the harmonisation of the 694-790 MHz frequency band for terrestrial systems capable of providing wireless broadband electronic communications services and for flexible national use in the Union</w:t>
      </w:r>
    </w:p>
  </w:footnote>
  <w:footnote w:id="48">
    <w:p w14:paraId="61E92316" w14:textId="77777777" w:rsidR="00D46E94" w:rsidRPr="006F28FF" w:rsidRDefault="00D46E94" w:rsidP="00A57A5F">
      <w:pPr>
        <w:pStyle w:val="Lbjegyzetszveg"/>
        <w:tabs>
          <w:tab w:val="left" w:pos="0"/>
        </w:tabs>
        <w:rPr>
          <w:rStyle w:val="Lbjegyzet-hivatkozs"/>
          <w:rFonts w:ascii="Arial" w:hAnsi="Arial"/>
          <w:szCs w:val="18"/>
        </w:rPr>
      </w:pPr>
      <w:r>
        <w:rPr>
          <w:rStyle w:val="Lbjegyzet-hivatkozs"/>
          <w:rFonts w:ascii="Arial" w:hAnsi="Arial" w:cs="Arial"/>
          <w:szCs w:val="18"/>
          <w:lang w:val="en-GB"/>
        </w:rPr>
        <w:footnoteRef/>
      </w:r>
      <w:r>
        <w:rPr>
          <w:rStyle w:val="Lbjegyzet-hivatkozs"/>
          <w:rFonts w:ascii="Arial" w:hAnsi="Arial" w:cs="Arial"/>
          <w:szCs w:val="18"/>
          <w:vertAlign w:val="baseline"/>
          <w:lang w:val="en-GB"/>
        </w:rPr>
        <w:t xml:space="preserve"> </w:t>
      </w:r>
      <w:r>
        <w:rPr>
          <w:rStyle w:val="Lbjegyzet-hivatkozs"/>
          <w:rFonts w:ascii="Arial" w:hAnsi="Arial"/>
          <w:szCs w:val="18"/>
          <w:vertAlign w:val="baseline"/>
          <w:lang w:val="en-GB"/>
        </w:rPr>
        <w:t>Decision (EU) 2017/899 of the European Parliament and of the Council of 17 May 2017 on the use of the 470-790 MHz frequency band in the Union</w:t>
      </w:r>
    </w:p>
  </w:footnote>
  <w:footnote w:id="49">
    <w:p w14:paraId="47F3E9A5" w14:textId="77777777" w:rsidR="00D46E94" w:rsidRPr="0020145B" w:rsidRDefault="00D46E94" w:rsidP="00A57A5F">
      <w:pPr>
        <w:pStyle w:val="Lbjegyzetszveg"/>
        <w:rPr>
          <w:sz w:val="18"/>
        </w:rPr>
      </w:pPr>
      <w:r>
        <w:rPr>
          <w:rStyle w:val="Lbjegyzet-hivatkozs"/>
          <w:lang w:val="en-GB"/>
        </w:rPr>
        <w:footnoteRef/>
      </w:r>
      <w:r w:rsidRPr="00EC0709">
        <w:t xml:space="preserve"> </w:t>
      </w:r>
      <w:r w:rsidRPr="00EC0709">
        <w:rPr>
          <w:rStyle w:val="Lbjegyzet-hivatkozs"/>
          <w:sz w:val="18"/>
          <w:szCs w:val="18"/>
          <w:vertAlign w:val="baseline"/>
        </w:rPr>
        <w:t>Yettel as of 1 March 2022.</w:t>
      </w:r>
    </w:p>
  </w:footnote>
  <w:footnote w:id="50">
    <w:p w14:paraId="735732EF" w14:textId="77777777" w:rsidR="00D46E94" w:rsidRDefault="00D46E94" w:rsidP="00A57A5F">
      <w:pPr>
        <w:pStyle w:val="Lbjegyzetszveg"/>
      </w:pPr>
      <w:r>
        <w:rPr>
          <w:rStyle w:val="Lbjegyzet-hivatkozs"/>
          <w:lang w:val="en-GB"/>
        </w:rPr>
        <w:footnoteRef/>
      </w:r>
      <w:hyperlink r:id="rId2" w:history="1">
        <w:r w:rsidRPr="00EC0709">
          <w:rPr>
            <w:rStyle w:val="Hiperhivatkozs"/>
            <w:sz w:val="16"/>
            <w:szCs w:val="16"/>
          </w:rPr>
          <w:t>https://nmhh.hu/cikk/191649/Osszefoglalo_a_VHF_III_es_az_UHF_sav_hasznositasarol_szolo_nemzeti_utemterv_vegrehajtasaval_osszefuggo_feladatokrol</w:t>
        </w:r>
      </w:hyperlink>
    </w:p>
  </w:footnote>
  <w:footnote w:id="51">
    <w:p w14:paraId="62F40F59" w14:textId="77777777" w:rsidR="00D46E94" w:rsidRPr="00985078" w:rsidRDefault="00D46E94" w:rsidP="00372C7A">
      <w:pPr>
        <w:pStyle w:val="Lbjegyzetszveg"/>
        <w:rPr>
          <w:rFonts w:ascii="Times New Roman" w:hAnsi="Times New Roman" w:cs="Times New Roman"/>
        </w:rPr>
      </w:pPr>
      <w:r>
        <w:rPr>
          <w:rStyle w:val="Lbjegyzet-hivatkozs"/>
          <w:rFonts w:ascii="Times New Roman" w:hAnsi="Times New Roman" w:cs="Times New Roman"/>
          <w:lang w:val="en-GB"/>
        </w:rPr>
        <w:footnoteRef/>
      </w:r>
      <w:r w:rsidRPr="00EC0709">
        <w:t xml:space="preserve"> </w:t>
      </w:r>
      <w:hyperlink r:id="rId3" w:history="1">
        <w:r w:rsidRPr="00EC0709">
          <w:rPr>
            <w:rStyle w:val="Hiperhivatkozs"/>
            <w:rFonts w:ascii="Times New Roman" w:hAnsi="Times New Roman" w:cs="Times New Roman"/>
          </w:rPr>
          <w:t>https://eur-lex.europa.eu/eli/dec/2021/2219/oj</w:t>
        </w:r>
      </w:hyperlink>
      <w:r w:rsidRPr="00EC0709">
        <w:rPr>
          <w:rFonts w:ascii="Times New Roman" w:hAnsi="Times New Roman" w:cs="Times New Roman"/>
        </w:rPr>
        <w:t xml:space="preserve"> </w:t>
      </w:r>
    </w:p>
  </w:footnote>
  <w:footnote w:id="52">
    <w:p w14:paraId="75FF866E" w14:textId="77777777" w:rsidR="00D46E94" w:rsidRPr="00247A9A" w:rsidRDefault="00D46E94" w:rsidP="00A57A5F">
      <w:pPr>
        <w:pStyle w:val="Lbjegyzetszveg"/>
        <w:jc w:val="both"/>
        <w:rPr>
          <w:rStyle w:val="Lbjegyzet-hivatkozs"/>
          <w:szCs w:val="18"/>
        </w:rPr>
      </w:pPr>
      <w:r>
        <w:rPr>
          <w:rStyle w:val="Lbjegyzet-hivatkozs"/>
          <w:szCs w:val="18"/>
          <w:lang w:val="en-GB"/>
        </w:rPr>
        <w:footnoteRef/>
      </w:r>
      <w:r>
        <w:rPr>
          <w:rStyle w:val="Lbjegyzet-hivatkozs"/>
          <w:szCs w:val="18"/>
          <w:vertAlign w:val="baseline"/>
          <w:lang w:val="en-GB"/>
        </w:rPr>
        <w:t xml:space="preserve"> Technical Arrangement on border coordination for terrestrial systems capable of providing electronic communications services</w:t>
      </w:r>
      <w:r>
        <w:rPr>
          <w:rStyle w:val="Lbjegyzet-hivatkozs"/>
          <w:vertAlign w:val="baseline"/>
          <w:lang w:val="en-GB"/>
        </w:rPr>
        <w:t xml:space="preserve"> </w:t>
      </w:r>
      <w:r>
        <w:rPr>
          <w:rStyle w:val="Lbjegyzet-hivatkozs"/>
          <w:szCs w:val="18"/>
          <w:vertAlign w:val="baseline"/>
          <w:lang w:val="en-GB"/>
        </w:rPr>
        <w:t>in the 700 MHz frequency band (Budapest, 15th February 2018)</w:t>
      </w:r>
    </w:p>
  </w:footnote>
  <w:footnote w:id="53">
    <w:p w14:paraId="7349EC6A" w14:textId="77777777" w:rsidR="00D46E94" w:rsidRPr="00C82D82" w:rsidRDefault="00D46E94" w:rsidP="00A57A5F">
      <w:pPr>
        <w:pStyle w:val="Lbjegyzetszveg"/>
      </w:pPr>
      <w:r>
        <w:rPr>
          <w:rStyle w:val="Lbjegyzet-hivatkozs"/>
          <w:szCs w:val="18"/>
          <w:lang w:val="en-GB"/>
        </w:rPr>
        <w:footnoteRef/>
      </w:r>
      <w:r>
        <w:rPr>
          <w:rStyle w:val="Lbjegyzet-hivatkozs"/>
          <w:szCs w:val="18"/>
          <w:vertAlign w:val="baseline"/>
          <w:lang w:val="en-GB"/>
        </w:rPr>
        <w:t xml:space="preserve"> ECC Recommendation of 13 February 2015 on cross-border coordination for mobile/fixed communications networks (MFCN) in the frequency bands:</w:t>
      </w:r>
      <w:r>
        <w:rPr>
          <w:rStyle w:val="Lbjegyzet-hivatkozs"/>
          <w:szCs w:val="18"/>
          <w:lang w:val="en-GB"/>
        </w:rPr>
        <w:t xml:space="preserve"> </w:t>
      </w:r>
      <w:r>
        <w:rPr>
          <w:rStyle w:val="Lbjegyzet-hivatkozs"/>
          <w:szCs w:val="18"/>
          <w:vertAlign w:val="baseline"/>
          <w:lang w:val="en-GB"/>
        </w:rPr>
        <w:t>694-790 MHz, 1452-1492 MHz, 3400-3600 MHz and 3600-3800 MHz.</w:t>
      </w:r>
      <w:r>
        <w:rPr>
          <w:rStyle w:val="Lbjegyzet-hivatkozs"/>
          <w:szCs w:val="18"/>
          <w:lang w:val="en-GB"/>
        </w:rPr>
        <w:t xml:space="preserve"> </w:t>
      </w:r>
      <w:r>
        <w:rPr>
          <w:rStyle w:val="Lbjegyzet-hivatkozs"/>
          <w:szCs w:val="18"/>
          <w:vertAlign w:val="baseline"/>
          <w:lang w:val="en-GB"/>
        </w:rPr>
        <w:t>(Amended on 5 February 2016 and 14 February 2020)</w:t>
      </w:r>
    </w:p>
  </w:footnote>
  <w:footnote w:id="54">
    <w:p w14:paraId="66D527C3" w14:textId="77777777" w:rsidR="00D46E94" w:rsidRPr="00247A9A" w:rsidRDefault="00D46E94" w:rsidP="00A57A5F">
      <w:pPr>
        <w:pStyle w:val="Szvegtrzs3"/>
        <w:spacing w:after="0" w:line="240" w:lineRule="auto"/>
        <w:rPr>
          <w:rStyle w:val="Lbjegyzet-hivatkozs"/>
          <w:szCs w:val="18"/>
        </w:rPr>
      </w:pPr>
      <w:r>
        <w:rPr>
          <w:rStyle w:val="Lbjegyzet-hivatkozs"/>
          <w:rFonts w:cstheme="minorBidi"/>
          <w:sz w:val="20"/>
          <w:szCs w:val="18"/>
          <w:lang w:val="en-GB"/>
        </w:rPr>
        <w:footnoteRef/>
      </w:r>
      <w:r>
        <w:rPr>
          <w:rStyle w:val="Lbjegyzet-hivatkozs"/>
          <w:rFonts w:cstheme="minorBidi"/>
          <w:sz w:val="20"/>
          <w:szCs w:val="18"/>
          <w:vertAlign w:val="baseline"/>
          <w:lang w:val="en-GB"/>
        </w:rPr>
        <w:t xml:space="preserve"> TECHNICAL ARRANGEMENT concerning the use of the frequency band 694-790 MHz for terrestrial systems in the border areas of Hungary and Ukraine, </w:t>
      </w:r>
      <w:r>
        <w:rPr>
          <w:rStyle w:val="Lbjegyzet-hivatkozs"/>
          <w:szCs w:val="18"/>
          <w:vertAlign w:val="baseline"/>
          <w:lang w:val="en-GB"/>
        </w:rPr>
        <w:t>(</w:t>
      </w:r>
      <w:r>
        <w:rPr>
          <w:rStyle w:val="Lbjegyzet-hivatkozs"/>
          <w:rFonts w:cstheme="minorBidi"/>
          <w:sz w:val="20"/>
          <w:szCs w:val="18"/>
          <w:vertAlign w:val="baseline"/>
          <w:lang w:val="en-GB"/>
        </w:rPr>
        <w:t>October 2015)</w:t>
      </w:r>
    </w:p>
  </w:footnote>
  <w:footnote w:id="55">
    <w:p w14:paraId="1A636325" w14:textId="0BA83E7E" w:rsidR="00D46E94" w:rsidRPr="00B941DA" w:rsidRDefault="00D46E94" w:rsidP="00A57A5F">
      <w:pPr>
        <w:pStyle w:val="Lbjegyzetszveg"/>
        <w:tabs>
          <w:tab w:val="left" w:pos="0"/>
        </w:tabs>
        <w:rPr>
          <w:rStyle w:val="Lbjegyzet-hivatkozs"/>
          <w:rFonts w:ascii="Arial" w:hAnsi="Arial" w:cs="Arial"/>
          <w:szCs w:val="18"/>
        </w:rPr>
      </w:pPr>
      <w:r>
        <w:rPr>
          <w:rStyle w:val="Lbjegyzet-hivatkozs"/>
          <w:rFonts w:ascii="Arial" w:hAnsi="Arial" w:cs="Arial"/>
          <w:szCs w:val="18"/>
          <w:lang w:val="en-GB"/>
        </w:rPr>
        <w:footnoteRef/>
      </w:r>
      <w:r>
        <w:rPr>
          <w:rStyle w:val="Lbjegyzet-hivatkozs"/>
          <w:rFonts w:ascii="Arial" w:hAnsi="Arial" w:cs="Arial"/>
          <w:szCs w:val="18"/>
          <w:vertAlign w:val="baseline"/>
          <w:lang w:val="en-GB"/>
        </w:rPr>
        <w:t>COMMISSION IMPLEMENTING DECISION of 1 September 2014 on harmonised technical conditions of radio spectrum use by wireless audio programme making and special events equipment in the Union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8ED13" w14:textId="77777777" w:rsidR="00D46E94" w:rsidRPr="00752166" w:rsidRDefault="00D46E94" w:rsidP="00752166">
    <w:pPr>
      <w:pStyle w:val="lfej"/>
    </w:pPr>
    <w:r>
      <w:rPr>
        <w:noProof/>
        <w:lang w:eastAsia="hu-HU"/>
      </w:rPr>
      <w:drawing>
        <wp:anchor distT="0" distB="0" distL="114300" distR="114300" simplePos="0" relativeHeight="251673600" behindDoc="1" locked="0" layoutInCell="1" allowOverlap="1" wp14:anchorId="719E4225" wp14:editId="5F5C6D5E">
          <wp:simplePos x="0" y="0"/>
          <wp:positionH relativeFrom="page">
            <wp:posOffset>0</wp:posOffset>
          </wp:positionH>
          <wp:positionV relativeFrom="page">
            <wp:posOffset>0</wp:posOffset>
          </wp:positionV>
          <wp:extent cx="7554867" cy="1080655"/>
          <wp:effectExtent l="19050" t="0" r="7983" b="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1">
                    <a:extLst>
                      <a:ext uri="{28A0092B-C50C-407E-A947-70E740481C1C}">
                        <a14:useLocalDpi xmlns:a14="http://schemas.microsoft.com/office/drawing/2010/main" val="0"/>
                      </a:ext>
                    </a:extLst>
                  </a:blip>
                  <a:stretch>
                    <a:fillRect/>
                  </a:stretch>
                </pic:blipFill>
                <pic:spPr>
                  <a:xfrm>
                    <a:off x="0" y="0"/>
                    <a:ext cx="7560000" cy="107767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17D5"/>
    <w:multiLevelType w:val="hybridMultilevel"/>
    <w:tmpl w:val="D87483C8"/>
    <w:lvl w:ilvl="0" w:tplc="040E0001">
      <w:start w:val="1"/>
      <w:numFmt w:val="bullet"/>
      <w:lvlText w:val=""/>
      <w:lvlJc w:val="left"/>
      <w:pPr>
        <w:ind w:left="717" w:hanging="360"/>
      </w:pPr>
      <w:rPr>
        <w:rFonts w:ascii="Symbol" w:hAnsi="Symbol"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1" w15:restartNumberingAfterBreak="0">
    <w:nsid w:val="0F880C87"/>
    <w:multiLevelType w:val="hybridMultilevel"/>
    <w:tmpl w:val="47D4DFCC"/>
    <w:lvl w:ilvl="0" w:tplc="040E0001">
      <w:start w:val="1"/>
      <w:numFmt w:val="bullet"/>
      <w:lvlText w:val=""/>
      <w:lvlJc w:val="left"/>
      <w:pPr>
        <w:ind w:left="717" w:hanging="360"/>
      </w:pPr>
      <w:rPr>
        <w:rFonts w:ascii="Symbol" w:hAnsi="Symbol"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2" w15:restartNumberingAfterBreak="0">
    <w:nsid w:val="103A2EF0"/>
    <w:multiLevelType w:val="multilevel"/>
    <w:tmpl w:val="040E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3" w15:restartNumberingAfterBreak="0">
    <w:nsid w:val="14AD5A22"/>
    <w:multiLevelType w:val="hybridMultilevel"/>
    <w:tmpl w:val="C26674A6"/>
    <w:lvl w:ilvl="0" w:tplc="F2C621B0">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F215F1"/>
    <w:multiLevelType w:val="hybridMultilevel"/>
    <w:tmpl w:val="D3CA989C"/>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5" w15:restartNumberingAfterBreak="0">
    <w:nsid w:val="212F4188"/>
    <w:multiLevelType w:val="multilevel"/>
    <w:tmpl w:val="557277BA"/>
    <w:lvl w:ilvl="0">
      <w:start w:val="1"/>
      <w:numFmt w:val="decimal"/>
      <w:pStyle w:val="ECCAnnex-heading1"/>
      <w:suff w:val="space"/>
      <w:lvlText w:val="ANNEX %1:"/>
      <w:lvlJc w:val="left"/>
      <w:pPr>
        <w:ind w:left="0" w:firstLine="0"/>
      </w:pPr>
      <w:rPr>
        <w:rFonts w:ascii="Arial" w:hAnsi="Arial" w:cs="Times New Roman" w:hint="default"/>
        <w:b/>
        <w:bCs w:val="0"/>
        <w:i w:val="0"/>
        <w:iCs w:val="0"/>
        <w:smallCaps w:val="0"/>
        <w:strike w:val="0"/>
        <w:dstrike w:val="0"/>
        <w:vanish w:val="0"/>
        <w:webHidden w:val="0"/>
        <w:color w:val="D2232A"/>
        <w:spacing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718" w:hanging="576"/>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CCAnnexheading3"/>
      <w:lvlText w:val="A%1.%2.%3"/>
      <w:lvlJc w:val="left"/>
      <w:pPr>
        <w:tabs>
          <w:tab w:val="num" w:pos="720"/>
        </w:tabs>
        <w:ind w:left="720" w:hanging="720"/>
      </w:pPr>
    </w:lvl>
    <w:lvl w:ilvl="3">
      <w:start w:val="1"/>
      <w:numFmt w:val="decimal"/>
      <w:pStyle w:val="ECCAnnexheading4"/>
      <w:lvlText w:val="A%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3064FBD"/>
    <w:multiLevelType w:val="hybridMultilevel"/>
    <w:tmpl w:val="3146AE02"/>
    <w:lvl w:ilvl="0" w:tplc="30F0B694">
      <w:start w:val="1"/>
      <w:numFmt w:val="upperLetter"/>
      <w:pStyle w:val="Felsorols1nmhh"/>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A8A3C1C"/>
    <w:multiLevelType w:val="multilevel"/>
    <w:tmpl w:val="BA6C48F0"/>
    <w:lvl w:ilvl="0">
      <w:start w:val="1"/>
      <w:numFmt w:val="ordinal"/>
      <w:pStyle w:val="Cmsor1szmozottnmhh"/>
      <w:lvlText w:val="%1"/>
      <w:lvlJc w:val="left"/>
      <w:pPr>
        <w:ind w:left="999" w:hanging="432"/>
      </w:pPr>
      <w:rPr>
        <w:rFonts w:hint="default"/>
      </w:rPr>
    </w:lvl>
    <w:lvl w:ilvl="1">
      <w:start w:val="1"/>
      <w:numFmt w:val="ordinal"/>
      <w:pStyle w:val="Cmsor2szmozottnmhh"/>
      <w:lvlText w:val="%1%2"/>
      <w:lvlJc w:val="left"/>
      <w:pPr>
        <w:ind w:left="6956" w:hanging="576"/>
      </w:pPr>
      <w:rPr>
        <w:rFonts w:hint="default"/>
      </w:rPr>
    </w:lvl>
    <w:lvl w:ilvl="2">
      <w:start w:val="1"/>
      <w:numFmt w:val="ordinal"/>
      <w:pStyle w:val="Cmsor3szmozottnmhh"/>
      <w:lvlText w:val="%1%2%3"/>
      <w:lvlJc w:val="left"/>
      <w:pPr>
        <w:ind w:left="720" w:hanging="720"/>
      </w:pPr>
      <w:rPr>
        <w:rFonts w:hint="default"/>
      </w:rPr>
    </w:lvl>
    <w:lvl w:ilvl="3">
      <w:start w:val="1"/>
      <w:numFmt w:val="ordinal"/>
      <w:pStyle w:val="Cmsor4szmozottnmhh"/>
      <w:lvlText w:val="%1%2%3%4"/>
      <w:lvlJc w:val="left"/>
      <w:pPr>
        <w:ind w:left="864" w:hanging="864"/>
      </w:pPr>
      <w:rPr>
        <w:rFonts w:hint="default"/>
      </w:rPr>
    </w:lvl>
    <w:lvl w:ilvl="4">
      <w:start w:val="1"/>
      <w:numFmt w:val="ordinal"/>
      <w:lvlText w:val="%1%2%3%4%5"/>
      <w:lvlJc w:val="left"/>
      <w:pPr>
        <w:ind w:left="1008" w:hanging="1008"/>
      </w:pPr>
      <w:rPr>
        <w:rFonts w:hint="default"/>
      </w:rPr>
    </w:lvl>
    <w:lvl w:ilvl="5">
      <w:start w:val="1"/>
      <w:numFmt w:val="ordinal"/>
      <w:lvlText w:val="%1%2%3%4%5%6"/>
      <w:lvlJc w:val="left"/>
      <w:pPr>
        <w:ind w:left="1152" w:hanging="1152"/>
      </w:pPr>
      <w:rPr>
        <w:rFonts w:hint="default"/>
      </w:rPr>
    </w:lvl>
    <w:lvl w:ilvl="6">
      <w:start w:val="1"/>
      <w:numFmt w:val="ordinal"/>
      <w:lvlText w:val="%1%2%3%4%5%6%7"/>
      <w:lvlJc w:val="left"/>
      <w:pPr>
        <w:ind w:left="1296" w:hanging="1296"/>
      </w:pPr>
      <w:rPr>
        <w:rFonts w:hint="default"/>
      </w:rPr>
    </w:lvl>
    <w:lvl w:ilvl="7">
      <w:start w:val="1"/>
      <w:numFmt w:val="ordinal"/>
      <w:lvlText w:val="%1%2%3%4%5%6%7%8"/>
      <w:lvlJc w:val="left"/>
      <w:pPr>
        <w:ind w:left="1440" w:hanging="1440"/>
      </w:pPr>
      <w:rPr>
        <w:rFonts w:hint="default"/>
      </w:rPr>
    </w:lvl>
    <w:lvl w:ilvl="8">
      <w:start w:val="1"/>
      <w:numFmt w:val="ordinal"/>
      <w:lvlText w:val="%1%2%3%4%5%6%7%8%9"/>
      <w:lvlJc w:val="left"/>
      <w:pPr>
        <w:ind w:left="1584" w:hanging="1584"/>
      </w:pPr>
      <w:rPr>
        <w:rFonts w:hint="default"/>
      </w:rPr>
    </w:lvl>
  </w:abstractNum>
  <w:abstractNum w:abstractNumId="8" w15:restartNumberingAfterBreak="0">
    <w:nsid w:val="2BF1719E"/>
    <w:multiLevelType w:val="hybridMultilevel"/>
    <w:tmpl w:val="2A9E379A"/>
    <w:lvl w:ilvl="0" w:tplc="040E0001">
      <w:start w:val="1"/>
      <w:numFmt w:val="bullet"/>
      <w:lvlText w:val=""/>
      <w:lvlJc w:val="left"/>
      <w:pPr>
        <w:ind w:left="717" w:hanging="360"/>
      </w:pPr>
      <w:rPr>
        <w:rFonts w:ascii="Symbol" w:hAnsi="Symbol"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9" w15:restartNumberingAfterBreak="0">
    <w:nsid w:val="338E038C"/>
    <w:multiLevelType w:val="multilevel"/>
    <w:tmpl w:val="602E1908"/>
    <w:lvl w:ilvl="0">
      <w:start w:val="1"/>
      <w:numFmt w:val="decimal"/>
      <w:pStyle w:val="Felsorols2nmh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DE731B"/>
    <w:multiLevelType w:val="hybridMultilevel"/>
    <w:tmpl w:val="6BC0067A"/>
    <w:lvl w:ilvl="0" w:tplc="040E0001">
      <w:start w:val="1"/>
      <w:numFmt w:val="bullet"/>
      <w:lvlText w:val=""/>
      <w:lvlJc w:val="left"/>
      <w:pPr>
        <w:ind w:left="717" w:hanging="360"/>
      </w:pPr>
      <w:rPr>
        <w:rFonts w:ascii="Symbol" w:hAnsi="Symbol"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11" w15:restartNumberingAfterBreak="0">
    <w:nsid w:val="3D8C6474"/>
    <w:multiLevelType w:val="hybridMultilevel"/>
    <w:tmpl w:val="FD345F46"/>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2" w15:restartNumberingAfterBreak="0">
    <w:nsid w:val="3E6733BA"/>
    <w:multiLevelType w:val="hybridMultilevel"/>
    <w:tmpl w:val="1DEC5400"/>
    <w:lvl w:ilvl="0" w:tplc="FBFEE8A4">
      <w:start w:val="1"/>
      <w:numFmt w:val="bullet"/>
      <w:pStyle w:val="Lista2nmhh"/>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FF12EEE"/>
    <w:multiLevelType w:val="hybridMultilevel"/>
    <w:tmpl w:val="1F6CD6AE"/>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404269F2"/>
    <w:multiLevelType w:val="multilevel"/>
    <w:tmpl w:val="837E14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27E184A"/>
    <w:multiLevelType w:val="hybridMultilevel"/>
    <w:tmpl w:val="F51A9A3A"/>
    <w:lvl w:ilvl="0" w:tplc="599AD8DA">
      <w:start w:val="1"/>
      <w:numFmt w:val="bullet"/>
      <w:pStyle w:val="ECCParBulleted"/>
      <w:lvlText w:val=""/>
      <w:lvlJc w:val="left"/>
      <w:pPr>
        <w:tabs>
          <w:tab w:val="num" w:pos="360"/>
        </w:tabs>
        <w:ind w:left="360" w:hanging="360"/>
      </w:pPr>
      <w:rPr>
        <w:rFonts w:ascii="Wingdings" w:hAnsi="Wingdings" w:hint="default"/>
        <w:color w:val="D2232A"/>
      </w:rPr>
    </w:lvl>
    <w:lvl w:ilvl="1" w:tplc="D1AC4AAC">
      <w:start w:val="1"/>
      <w:numFmt w:val="bullet"/>
      <w:lvlText w:val="o"/>
      <w:lvlJc w:val="left"/>
      <w:pPr>
        <w:tabs>
          <w:tab w:val="num" w:pos="1440"/>
        </w:tabs>
        <w:ind w:left="1440" w:hanging="360"/>
      </w:pPr>
      <w:rPr>
        <w:rFonts w:ascii="Courier New" w:hAnsi="Courier New" w:cs="Arial" w:hint="default"/>
      </w:rPr>
    </w:lvl>
    <w:lvl w:ilvl="2" w:tplc="250EECF8">
      <w:start w:val="1"/>
      <w:numFmt w:val="bullet"/>
      <w:lvlText w:val=""/>
      <w:lvlJc w:val="left"/>
      <w:pPr>
        <w:tabs>
          <w:tab w:val="num" w:pos="2160"/>
        </w:tabs>
        <w:ind w:left="2160" w:hanging="360"/>
      </w:pPr>
      <w:rPr>
        <w:rFonts w:ascii="Wingdings" w:hAnsi="Wingdings" w:hint="default"/>
      </w:rPr>
    </w:lvl>
    <w:lvl w:ilvl="3" w:tplc="7C4ABC66">
      <w:start w:val="1"/>
      <w:numFmt w:val="bullet"/>
      <w:lvlText w:val=""/>
      <w:lvlJc w:val="left"/>
      <w:pPr>
        <w:tabs>
          <w:tab w:val="num" w:pos="2880"/>
        </w:tabs>
        <w:ind w:left="2880" w:hanging="360"/>
      </w:pPr>
      <w:rPr>
        <w:rFonts w:ascii="Symbol" w:hAnsi="Symbol" w:hint="default"/>
      </w:rPr>
    </w:lvl>
    <w:lvl w:ilvl="4" w:tplc="3EEC50EE">
      <w:start w:val="1"/>
      <w:numFmt w:val="bullet"/>
      <w:lvlText w:val="o"/>
      <w:lvlJc w:val="left"/>
      <w:pPr>
        <w:tabs>
          <w:tab w:val="num" w:pos="3600"/>
        </w:tabs>
        <w:ind w:left="3600" w:hanging="360"/>
      </w:pPr>
      <w:rPr>
        <w:rFonts w:ascii="Courier New" w:hAnsi="Courier New" w:cs="Arial" w:hint="default"/>
      </w:rPr>
    </w:lvl>
    <w:lvl w:ilvl="5" w:tplc="4C9C5EBE">
      <w:start w:val="1"/>
      <w:numFmt w:val="bullet"/>
      <w:lvlText w:val=""/>
      <w:lvlJc w:val="left"/>
      <w:pPr>
        <w:tabs>
          <w:tab w:val="num" w:pos="4320"/>
        </w:tabs>
        <w:ind w:left="4320" w:hanging="360"/>
      </w:pPr>
      <w:rPr>
        <w:rFonts w:ascii="Wingdings" w:hAnsi="Wingdings" w:hint="default"/>
      </w:rPr>
    </w:lvl>
    <w:lvl w:ilvl="6" w:tplc="3A88F0D8">
      <w:start w:val="1"/>
      <w:numFmt w:val="bullet"/>
      <w:lvlText w:val=""/>
      <w:lvlJc w:val="left"/>
      <w:pPr>
        <w:tabs>
          <w:tab w:val="num" w:pos="5040"/>
        </w:tabs>
        <w:ind w:left="5040" w:hanging="360"/>
      </w:pPr>
      <w:rPr>
        <w:rFonts w:ascii="Symbol" w:hAnsi="Symbol" w:hint="default"/>
      </w:rPr>
    </w:lvl>
    <w:lvl w:ilvl="7" w:tplc="480C6B0C">
      <w:start w:val="1"/>
      <w:numFmt w:val="bullet"/>
      <w:lvlText w:val="o"/>
      <w:lvlJc w:val="left"/>
      <w:pPr>
        <w:tabs>
          <w:tab w:val="num" w:pos="5760"/>
        </w:tabs>
        <w:ind w:left="5760" w:hanging="360"/>
      </w:pPr>
      <w:rPr>
        <w:rFonts w:ascii="Courier New" w:hAnsi="Courier New" w:cs="Arial" w:hint="default"/>
      </w:rPr>
    </w:lvl>
    <w:lvl w:ilvl="8" w:tplc="421A464E">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F54A2D"/>
    <w:multiLevelType w:val="hybridMultilevel"/>
    <w:tmpl w:val="D3A851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62B1F34"/>
    <w:multiLevelType w:val="hybridMultilevel"/>
    <w:tmpl w:val="9A4E19A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488C5B28"/>
    <w:multiLevelType w:val="hybridMultilevel"/>
    <w:tmpl w:val="C616C2FE"/>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9" w15:restartNumberingAfterBreak="0">
    <w:nsid w:val="491E4BCA"/>
    <w:multiLevelType w:val="hybridMultilevel"/>
    <w:tmpl w:val="ABD6C892"/>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B983BEE"/>
    <w:multiLevelType w:val="hybridMultilevel"/>
    <w:tmpl w:val="CB5063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3455378"/>
    <w:multiLevelType w:val="hybridMultilevel"/>
    <w:tmpl w:val="E1D06C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56F3735C"/>
    <w:multiLevelType w:val="hybridMultilevel"/>
    <w:tmpl w:val="42A4EE70"/>
    <w:lvl w:ilvl="0" w:tplc="35042D82">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F910D72"/>
    <w:multiLevelType w:val="hybridMultilevel"/>
    <w:tmpl w:val="113A5B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0864F13"/>
    <w:multiLevelType w:val="hybridMultilevel"/>
    <w:tmpl w:val="6E2E6748"/>
    <w:lvl w:ilvl="0" w:tplc="8C6C752A">
      <w:start w:val="1"/>
      <w:numFmt w:val="decimal"/>
      <w:pStyle w:val="Felsorolsnmhh"/>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20B7D56"/>
    <w:multiLevelType w:val="hybridMultilevel"/>
    <w:tmpl w:val="20246A76"/>
    <w:lvl w:ilvl="0" w:tplc="040E0001">
      <w:start w:val="1"/>
      <w:numFmt w:val="bullet"/>
      <w:lvlText w:val=""/>
      <w:lvlJc w:val="left"/>
      <w:pPr>
        <w:ind w:left="360" w:hanging="360"/>
      </w:pPr>
      <w:rPr>
        <w:rFonts w:ascii="Symbol" w:hAnsi="Symbol" w:hint="default"/>
      </w:r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27" w15:restartNumberingAfterBreak="0">
    <w:nsid w:val="639B7567"/>
    <w:multiLevelType w:val="hybridMultilevel"/>
    <w:tmpl w:val="EEEEB6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9" w15:restartNumberingAfterBreak="0">
    <w:nsid w:val="6D5C430B"/>
    <w:multiLevelType w:val="hybridMultilevel"/>
    <w:tmpl w:val="6C1AA71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07E568A"/>
    <w:multiLevelType w:val="hybridMultilevel"/>
    <w:tmpl w:val="0318F804"/>
    <w:lvl w:ilvl="0" w:tplc="321E0C72">
      <w:start w:val="1"/>
      <w:numFmt w:val="decimal"/>
      <w:pStyle w:val="Irodalomjegyzkfelsorolsnmhh"/>
      <w:lvlText w:val="[%1]"/>
      <w:lvlJc w:val="left"/>
      <w:pPr>
        <w:ind w:left="360" w:hanging="360"/>
      </w:pPr>
      <w:rPr>
        <w:rFonts w:hint="default"/>
        <w:b w:val="0"/>
      </w:r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num w:numId="1">
    <w:abstractNumId w:val="2"/>
  </w:num>
  <w:num w:numId="2">
    <w:abstractNumId w:val="25"/>
  </w:num>
  <w:num w:numId="3">
    <w:abstractNumId w:val="9"/>
  </w:num>
  <w:num w:numId="4">
    <w:abstractNumId w:val="6"/>
  </w:num>
  <w:num w:numId="5">
    <w:abstractNumId w:val="7"/>
  </w:num>
  <w:num w:numId="6">
    <w:abstractNumId w:val="12"/>
  </w:num>
  <w:num w:numId="7">
    <w:abstractNumId w:val="30"/>
  </w:num>
  <w:num w:numId="8">
    <w:abstractNumId w:val="29"/>
  </w:num>
  <w:num w:numId="9">
    <w:abstractNumId w:val="20"/>
  </w:num>
  <w:num w:numId="10">
    <w:abstractNumId w:val="28"/>
  </w:num>
  <w:num w:numId="11">
    <w:abstractNumId w:val="1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6"/>
  </w:num>
  <w:num w:numId="15">
    <w:abstractNumId w:val="18"/>
  </w:num>
  <w:num w:numId="16">
    <w:abstractNumId w:val="0"/>
  </w:num>
  <w:num w:numId="17">
    <w:abstractNumId w:val="24"/>
  </w:num>
  <w:num w:numId="18">
    <w:abstractNumId w:val="21"/>
  </w:num>
  <w:num w:numId="19">
    <w:abstractNumId w:val="27"/>
  </w:num>
  <w:num w:numId="20">
    <w:abstractNumId w:val="16"/>
  </w:num>
  <w:num w:numId="21">
    <w:abstractNumId w:val="8"/>
  </w:num>
  <w:num w:numId="22">
    <w:abstractNumId w:val="1"/>
  </w:num>
  <w:num w:numId="23">
    <w:abstractNumId w:val="13"/>
  </w:num>
  <w:num w:numId="24">
    <w:abstractNumId w:val="11"/>
  </w:num>
  <w:num w:numId="25">
    <w:abstractNumId w:val="3"/>
  </w:num>
  <w:num w:numId="26">
    <w:abstractNumId w:val="23"/>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
  </w:num>
  <w:num w:numId="41">
    <w:abstractNumId w:val="19"/>
  </w:num>
  <w:num w:numId="42">
    <w:abstractNumId w:val="7"/>
  </w:num>
  <w:num w:numId="43">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C0"/>
    <w:rsid w:val="000000F2"/>
    <w:rsid w:val="00002AA3"/>
    <w:rsid w:val="00003C8E"/>
    <w:rsid w:val="00004317"/>
    <w:rsid w:val="0000570A"/>
    <w:rsid w:val="00006370"/>
    <w:rsid w:val="00007470"/>
    <w:rsid w:val="00010838"/>
    <w:rsid w:val="00012AC0"/>
    <w:rsid w:val="000213AC"/>
    <w:rsid w:val="000266BD"/>
    <w:rsid w:val="00027888"/>
    <w:rsid w:val="0003056F"/>
    <w:rsid w:val="000320FD"/>
    <w:rsid w:val="0003238B"/>
    <w:rsid w:val="00037754"/>
    <w:rsid w:val="000401BF"/>
    <w:rsid w:val="00045647"/>
    <w:rsid w:val="000470A6"/>
    <w:rsid w:val="000519FE"/>
    <w:rsid w:val="00056B50"/>
    <w:rsid w:val="00056E67"/>
    <w:rsid w:val="0006062E"/>
    <w:rsid w:val="00062411"/>
    <w:rsid w:val="000633FB"/>
    <w:rsid w:val="00063550"/>
    <w:rsid w:val="00066F29"/>
    <w:rsid w:val="00070F60"/>
    <w:rsid w:val="00071676"/>
    <w:rsid w:val="00071DE9"/>
    <w:rsid w:val="000720B2"/>
    <w:rsid w:val="00072E63"/>
    <w:rsid w:val="00074DB9"/>
    <w:rsid w:val="00075128"/>
    <w:rsid w:val="000764BC"/>
    <w:rsid w:val="00077349"/>
    <w:rsid w:val="00080C5C"/>
    <w:rsid w:val="000839D6"/>
    <w:rsid w:val="00084439"/>
    <w:rsid w:val="00087A8F"/>
    <w:rsid w:val="00091708"/>
    <w:rsid w:val="00092FA7"/>
    <w:rsid w:val="00093654"/>
    <w:rsid w:val="000957A3"/>
    <w:rsid w:val="000960D8"/>
    <w:rsid w:val="000A1DE6"/>
    <w:rsid w:val="000A21A7"/>
    <w:rsid w:val="000A6841"/>
    <w:rsid w:val="000A7595"/>
    <w:rsid w:val="000B1998"/>
    <w:rsid w:val="000B1D20"/>
    <w:rsid w:val="000B30FD"/>
    <w:rsid w:val="000B4AEC"/>
    <w:rsid w:val="000C2CED"/>
    <w:rsid w:val="000C3435"/>
    <w:rsid w:val="000C76F1"/>
    <w:rsid w:val="000C77D8"/>
    <w:rsid w:val="000D399D"/>
    <w:rsid w:val="000D505D"/>
    <w:rsid w:val="000D62D7"/>
    <w:rsid w:val="000D7303"/>
    <w:rsid w:val="000E3436"/>
    <w:rsid w:val="000E5055"/>
    <w:rsid w:val="000E570B"/>
    <w:rsid w:val="000E665A"/>
    <w:rsid w:val="000E6E57"/>
    <w:rsid w:val="000F023E"/>
    <w:rsid w:val="000F4AA0"/>
    <w:rsid w:val="000F4BD1"/>
    <w:rsid w:val="000F65DA"/>
    <w:rsid w:val="001001BD"/>
    <w:rsid w:val="001003CC"/>
    <w:rsid w:val="001019D5"/>
    <w:rsid w:val="001024DF"/>
    <w:rsid w:val="00111179"/>
    <w:rsid w:val="00112F85"/>
    <w:rsid w:val="00116988"/>
    <w:rsid w:val="00116AC3"/>
    <w:rsid w:val="00121128"/>
    <w:rsid w:val="00125D55"/>
    <w:rsid w:val="00131720"/>
    <w:rsid w:val="001363C5"/>
    <w:rsid w:val="001368D8"/>
    <w:rsid w:val="0014030D"/>
    <w:rsid w:val="00141929"/>
    <w:rsid w:val="001450E1"/>
    <w:rsid w:val="00145338"/>
    <w:rsid w:val="00150183"/>
    <w:rsid w:val="0015074E"/>
    <w:rsid w:val="00151587"/>
    <w:rsid w:val="00152AD6"/>
    <w:rsid w:val="00155872"/>
    <w:rsid w:val="00160B3A"/>
    <w:rsid w:val="00161C37"/>
    <w:rsid w:val="00163AC8"/>
    <w:rsid w:val="00165716"/>
    <w:rsid w:val="0016646D"/>
    <w:rsid w:val="001667EA"/>
    <w:rsid w:val="00166901"/>
    <w:rsid w:val="00166DD9"/>
    <w:rsid w:val="001726F0"/>
    <w:rsid w:val="001742E0"/>
    <w:rsid w:val="001814EE"/>
    <w:rsid w:val="001819FD"/>
    <w:rsid w:val="00182210"/>
    <w:rsid w:val="0018360B"/>
    <w:rsid w:val="001837CA"/>
    <w:rsid w:val="001839A6"/>
    <w:rsid w:val="00183F68"/>
    <w:rsid w:val="00184A51"/>
    <w:rsid w:val="0018529E"/>
    <w:rsid w:val="00185310"/>
    <w:rsid w:val="001916AE"/>
    <w:rsid w:val="00191A33"/>
    <w:rsid w:val="00197020"/>
    <w:rsid w:val="001A1647"/>
    <w:rsid w:val="001A54E9"/>
    <w:rsid w:val="001A62E9"/>
    <w:rsid w:val="001B07A7"/>
    <w:rsid w:val="001B0BB1"/>
    <w:rsid w:val="001B33E2"/>
    <w:rsid w:val="001B680C"/>
    <w:rsid w:val="001B7E27"/>
    <w:rsid w:val="001C2DBD"/>
    <w:rsid w:val="001C30D3"/>
    <w:rsid w:val="001C4263"/>
    <w:rsid w:val="001C5208"/>
    <w:rsid w:val="001C65BD"/>
    <w:rsid w:val="001C7782"/>
    <w:rsid w:val="001D115B"/>
    <w:rsid w:val="001D36D8"/>
    <w:rsid w:val="001D529B"/>
    <w:rsid w:val="001E0F28"/>
    <w:rsid w:val="001E2064"/>
    <w:rsid w:val="001E50C0"/>
    <w:rsid w:val="001F173A"/>
    <w:rsid w:val="001F2707"/>
    <w:rsid w:val="001F2A1D"/>
    <w:rsid w:val="001F2D0A"/>
    <w:rsid w:val="001F3086"/>
    <w:rsid w:val="001F3989"/>
    <w:rsid w:val="001F4F69"/>
    <w:rsid w:val="001F7268"/>
    <w:rsid w:val="002003EF"/>
    <w:rsid w:val="00200B00"/>
    <w:rsid w:val="0020145B"/>
    <w:rsid w:val="0020657B"/>
    <w:rsid w:val="00207B0C"/>
    <w:rsid w:val="002100B4"/>
    <w:rsid w:val="0021045F"/>
    <w:rsid w:val="002115F2"/>
    <w:rsid w:val="00211B5C"/>
    <w:rsid w:val="002165B8"/>
    <w:rsid w:val="00220AF6"/>
    <w:rsid w:val="0022421E"/>
    <w:rsid w:val="00224E84"/>
    <w:rsid w:val="00226EB7"/>
    <w:rsid w:val="002272C1"/>
    <w:rsid w:val="00230A15"/>
    <w:rsid w:val="002327E1"/>
    <w:rsid w:val="00233A58"/>
    <w:rsid w:val="00240E37"/>
    <w:rsid w:val="00242508"/>
    <w:rsid w:val="0024314F"/>
    <w:rsid w:val="002435D4"/>
    <w:rsid w:val="00245003"/>
    <w:rsid w:val="00246251"/>
    <w:rsid w:val="00246B78"/>
    <w:rsid w:val="00247A9A"/>
    <w:rsid w:val="002523A0"/>
    <w:rsid w:val="002565DC"/>
    <w:rsid w:val="00256A47"/>
    <w:rsid w:val="00256F3B"/>
    <w:rsid w:val="00260F84"/>
    <w:rsid w:val="00261CF7"/>
    <w:rsid w:val="0026291A"/>
    <w:rsid w:val="00263293"/>
    <w:rsid w:val="00263505"/>
    <w:rsid w:val="0026751F"/>
    <w:rsid w:val="002720FF"/>
    <w:rsid w:val="002726BE"/>
    <w:rsid w:val="00273FC5"/>
    <w:rsid w:val="00274E07"/>
    <w:rsid w:val="00280A1B"/>
    <w:rsid w:val="00282700"/>
    <w:rsid w:val="00283552"/>
    <w:rsid w:val="00283618"/>
    <w:rsid w:val="00284374"/>
    <w:rsid w:val="00284E74"/>
    <w:rsid w:val="0029672C"/>
    <w:rsid w:val="00296D5A"/>
    <w:rsid w:val="002A3A9E"/>
    <w:rsid w:val="002A5EF4"/>
    <w:rsid w:val="002A66B4"/>
    <w:rsid w:val="002A6D5E"/>
    <w:rsid w:val="002A7409"/>
    <w:rsid w:val="002A763E"/>
    <w:rsid w:val="002B1C4E"/>
    <w:rsid w:val="002B23DB"/>
    <w:rsid w:val="002B2A3F"/>
    <w:rsid w:val="002B3051"/>
    <w:rsid w:val="002B333C"/>
    <w:rsid w:val="002B5275"/>
    <w:rsid w:val="002C1539"/>
    <w:rsid w:val="002C1BEA"/>
    <w:rsid w:val="002C3396"/>
    <w:rsid w:val="002C409E"/>
    <w:rsid w:val="002C4D82"/>
    <w:rsid w:val="002C7335"/>
    <w:rsid w:val="002C7BF8"/>
    <w:rsid w:val="002D0079"/>
    <w:rsid w:val="002D3912"/>
    <w:rsid w:val="002E22DB"/>
    <w:rsid w:val="002E24C1"/>
    <w:rsid w:val="002E3983"/>
    <w:rsid w:val="002E5E84"/>
    <w:rsid w:val="002E658B"/>
    <w:rsid w:val="002E72D9"/>
    <w:rsid w:val="002E7729"/>
    <w:rsid w:val="002E7A14"/>
    <w:rsid w:val="002E7F47"/>
    <w:rsid w:val="002F01C8"/>
    <w:rsid w:val="002F2DA7"/>
    <w:rsid w:val="002F43AB"/>
    <w:rsid w:val="002F508A"/>
    <w:rsid w:val="002F5399"/>
    <w:rsid w:val="002F7515"/>
    <w:rsid w:val="003006D6"/>
    <w:rsid w:val="00300C77"/>
    <w:rsid w:val="00300D30"/>
    <w:rsid w:val="00300DA1"/>
    <w:rsid w:val="00301161"/>
    <w:rsid w:val="003027FB"/>
    <w:rsid w:val="00303159"/>
    <w:rsid w:val="003032A5"/>
    <w:rsid w:val="0030758C"/>
    <w:rsid w:val="00311B44"/>
    <w:rsid w:val="003142B5"/>
    <w:rsid w:val="00317615"/>
    <w:rsid w:val="00320210"/>
    <w:rsid w:val="003219FA"/>
    <w:rsid w:val="003221BF"/>
    <w:rsid w:val="0032394A"/>
    <w:rsid w:val="00323D31"/>
    <w:rsid w:val="003268AC"/>
    <w:rsid w:val="00326CD1"/>
    <w:rsid w:val="003271DD"/>
    <w:rsid w:val="00330014"/>
    <w:rsid w:val="00331D8D"/>
    <w:rsid w:val="00331E3E"/>
    <w:rsid w:val="003322CD"/>
    <w:rsid w:val="0033257E"/>
    <w:rsid w:val="00333767"/>
    <w:rsid w:val="00340C45"/>
    <w:rsid w:val="0034303A"/>
    <w:rsid w:val="00344109"/>
    <w:rsid w:val="00345E7C"/>
    <w:rsid w:val="00351182"/>
    <w:rsid w:val="003527EB"/>
    <w:rsid w:val="00353921"/>
    <w:rsid w:val="003543C2"/>
    <w:rsid w:val="00354709"/>
    <w:rsid w:val="00356B3C"/>
    <w:rsid w:val="0035733F"/>
    <w:rsid w:val="003634C6"/>
    <w:rsid w:val="00363A52"/>
    <w:rsid w:val="00366190"/>
    <w:rsid w:val="00367D1B"/>
    <w:rsid w:val="00371EEE"/>
    <w:rsid w:val="00371FA4"/>
    <w:rsid w:val="0037206C"/>
    <w:rsid w:val="00372C7A"/>
    <w:rsid w:val="0037374B"/>
    <w:rsid w:val="00375772"/>
    <w:rsid w:val="00382326"/>
    <w:rsid w:val="003841E3"/>
    <w:rsid w:val="003847C4"/>
    <w:rsid w:val="00384912"/>
    <w:rsid w:val="00384FE6"/>
    <w:rsid w:val="00385F74"/>
    <w:rsid w:val="0038642E"/>
    <w:rsid w:val="00387869"/>
    <w:rsid w:val="00391CF1"/>
    <w:rsid w:val="00392437"/>
    <w:rsid w:val="0039300F"/>
    <w:rsid w:val="00394C3C"/>
    <w:rsid w:val="003960B1"/>
    <w:rsid w:val="00397EB3"/>
    <w:rsid w:val="003A0206"/>
    <w:rsid w:val="003A1B2C"/>
    <w:rsid w:val="003A560A"/>
    <w:rsid w:val="003A5CBE"/>
    <w:rsid w:val="003A5D03"/>
    <w:rsid w:val="003B10EE"/>
    <w:rsid w:val="003B3829"/>
    <w:rsid w:val="003B5146"/>
    <w:rsid w:val="003B6965"/>
    <w:rsid w:val="003B72DD"/>
    <w:rsid w:val="003C0D07"/>
    <w:rsid w:val="003C1265"/>
    <w:rsid w:val="003C2C85"/>
    <w:rsid w:val="003C4096"/>
    <w:rsid w:val="003C5642"/>
    <w:rsid w:val="003C6779"/>
    <w:rsid w:val="003C6B48"/>
    <w:rsid w:val="003C70E9"/>
    <w:rsid w:val="003C74C9"/>
    <w:rsid w:val="003D1F94"/>
    <w:rsid w:val="003D20C4"/>
    <w:rsid w:val="003D2DC9"/>
    <w:rsid w:val="003D368D"/>
    <w:rsid w:val="003D37F8"/>
    <w:rsid w:val="003D4201"/>
    <w:rsid w:val="003D4DA9"/>
    <w:rsid w:val="003D76C5"/>
    <w:rsid w:val="003D7A20"/>
    <w:rsid w:val="003E444E"/>
    <w:rsid w:val="003E564F"/>
    <w:rsid w:val="003E5730"/>
    <w:rsid w:val="003E6A4D"/>
    <w:rsid w:val="003E6D4E"/>
    <w:rsid w:val="003F2A29"/>
    <w:rsid w:val="003F5CCD"/>
    <w:rsid w:val="003F7CE7"/>
    <w:rsid w:val="00400CBB"/>
    <w:rsid w:val="004023C9"/>
    <w:rsid w:val="00406BCF"/>
    <w:rsid w:val="00406C4B"/>
    <w:rsid w:val="00413B2C"/>
    <w:rsid w:val="004226CD"/>
    <w:rsid w:val="0042355E"/>
    <w:rsid w:val="00423A9A"/>
    <w:rsid w:val="00423B63"/>
    <w:rsid w:val="004248B4"/>
    <w:rsid w:val="00424F74"/>
    <w:rsid w:val="00426525"/>
    <w:rsid w:val="00432688"/>
    <w:rsid w:val="00433B4B"/>
    <w:rsid w:val="00434D8D"/>
    <w:rsid w:val="00434EC5"/>
    <w:rsid w:val="004407F3"/>
    <w:rsid w:val="00441882"/>
    <w:rsid w:val="00445AEC"/>
    <w:rsid w:val="00446DDB"/>
    <w:rsid w:val="00447CA4"/>
    <w:rsid w:val="00447EBA"/>
    <w:rsid w:val="0045131F"/>
    <w:rsid w:val="004543EE"/>
    <w:rsid w:val="00454E6C"/>
    <w:rsid w:val="00455773"/>
    <w:rsid w:val="004561CC"/>
    <w:rsid w:val="00461503"/>
    <w:rsid w:val="004630F0"/>
    <w:rsid w:val="004643F8"/>
    <w:rsid w:val="00465163"/>
    <w:rsid w:val="004669A3"/>
    <w:rsid w:val="004670BF"/>
    <w:rsid w:val="00471ED3"/>
    <w:rsid w:val="00472C6A"/>
    <w:rsid w:val="00475085"/>
    <w:rsid w:val="00475D11"/>
    <w:rsid w:val="00476718"/>
    <w:rsid w:val="0048070B"/>
    <w:rsid w:val="00487861"/>
    <w:rsid w:val="0049333B"/>
    <w:rsid w:val="00494465"/>
    <w:rsid w:val="00494E8F"/>
    <w:rsid w:val="00495891"/>
    <w:rsid w:val="004963A6"/>
    <w:rsid w:val="004976E6"/>
    <w:rsid w:val="0049788D"/>
    <w:rsid w:val="004A1145"/>
    <w:rsid w:val="004A15DC"/>
    <w:rsid w:val="004A1D0A"/>
    <w:rsid w:val="004A2011"/>
    <w:rsid w:val="004A2F4F"/>
    <w:rsid w:val="004A2FC8"/>
    <w:rsid w:val="004A3000"/>
    <w:rsid w:val="004A3227"/>
    <w:rsid w:val="004A459F"/>
    <w:rsid w:val="004A485A"/>
    <w:rsid w:val="004A6B11"/>
    <w:rsid w:val="004B18DB"/>
    <w:rsid w:val="004B1985"/>
    <w:rsid w:val="004B64CF"/>
    <w:rsid w:val="004B6B6F"/>
    <w:rsid w:val="004B6D65"/>
    <w:rsid w:val="004B7BC3"/>
    <w:rsid w:val="004C0E77"/>
    <w:rsid w:val="004C12BF"/>
    <w:rsid w:val="004C3682"/>
    <w:rsid w:val="004C3CD3"/>
    <w:rsid w:val="004C3E6B"/>
    <w:rsid w:val="004C5C30"/>
    <w:rsid w:val="004C67A6"/>
    <w:rsid w:val="004C7385"/>
    <w:rsid w:val="004D05D8"/>
    <w:rsid w:val="004D744C"/>
    <w:rsid w:val="004E0D60"/>
    <w:rsid w:val="004E0EF4"/>
    <w:rsid w:val="004E14C4"/>
    <w:rsid w:val="004E267B"/>
    <w:rsid w:val="004E3DFC"/>
    <w:rsid w:val="004E42F2"/>
    <w:rsid w:val="004E4DE6"/>
    <w:rsid w:val="004E4E18"/>
    <w:rsid w:val="004E6303"/>
    <w:rsid w:val="004E67CB"/>
    <w:rsid w:val="004E74F5"/>
    <w:rsid w:val="004F2772"/>
    <w:rsid w:val="004F64F9"/>
    <w:rsid w:val="004F6891"/>
    <w:rsid w:val="00511597"/>
    <w:rsid w:val="00511FA9"/>
    <w:rsid w:val="00512313"/>
    <w:rsid w:val="00512DDE"/>
    <w:rsid w:val="00515722"/>
    <w:rsid w:val="00516F36"/>
    <w:rsid w:val="005260CE"/>
    <w:rsid w:val="00533DD6"/>
    <w:rsid w:val="00534FAF"/>
    <w:rsid w:val="00541A19"/>
    <w:rsid w:val="005445FD"/>
    <w:rsid w:val="00552284"/>
    <w:rsid w:val="005522F2"/>
    <w:rsid w:val="005529A9"/>
    <w:rsid w:val="00552D12"/>
    <w:rsid w:val="00554926"/>
    <w:rsid w:val="00554CAF"/>
    <w:rsid w:val="00554DE0"/>
    <w:rsid w:val="00555D7E"/>
    <w:rsid w:val="0055639E"/>
    <w:rsid w:val="00557AB1"/>
    <w:rsid w:val="005638AA"/>
    <w:rsid w:val="005653CF"/>
    <w:rsid w:val="00565843"/>
    <w:rsid w:val="00570661"/>
    <w:rsid w:val="00570692"/>
    <w:rsid w:val="00572F49"/>
    <w:rsid w:val="005800E3"/>
    <w:rsid w:val="00583CCC"/>
    <w:rsid w:val="005856A9"/>
    <w:rsid w:val="0058715F"/>
    <w:rsid w:val="00587B6C"/>
    <w:rsid w:val="00590B17"/>
    <w:rsid w:val="00590CCD"/>
    <w:rsid w:val="00592452"/>
    <w:rsid w:val="0059366C"/>
    <w:rsid w:val="005971DE"/>
    <w:rsid w:val="005971F3"/>
    <w:rsid w:val="005A01CA"/>
    <w:rsid w:val="005A0E28"/>
    <w:rsid w:val="005A196D"/>
    <w:rsid w:val="005A5110"/>
    <w:rsid w:val="005A607A"/>
    <w:rsid w:val="005A7752"/>
    <w:rsid w:val="005A7CF5"/>
    <w:rsid w:val="005B36F0"/>
    <w:rsid w:val="005B37BE"/>
    <w:rsid w:val="005B3B95"/>
    <w:rsid w:val="005B421C"/>
    <w:rsid w:val="005B4718"/>
    <w:rsid w:val="005C0F12"/>
    <w:rsid w:val="005C197D"/>
    <w:rsid w:val="005C20A9"/>
    <w:rsid w:val="005C5587"/>
    <w:rsid w:val="005C6FC8"/>
    <w:rsid w:val="005D04F4"/>
    <w:rsid w:val="005D103C"/>
    <w:rsid w:val="005D14FD"/>
    <w:rsid w:val="005D2453"/>
    <w:rsid w:val="005D3542"/>
    <w:rsid w:val="005D3DD8"/>
    <w:rsid w:val="005D5213"/>
    <w:rsid w:val="005E428D"/>
    <w:rsid w:val="005E62D3"/>
    <w:rsid w:val="005F0750"/>
    <w:rsid w:val="005F2A11"/>
    <w:rsid w:val="005F4C13"/>
    <w:rsid w:val="005F6D3A"/>
    <w:rsid w:val="005F764C"/>
    <w:rsid w:val="005F76E3"/>
    <w:rsid w:val="00602469"/>
    <w:rsid w:val="00605190"/>
    <w:rsid w:val="00605967"/>
    <w:rsid w:val="00605F0F"/>
    <w:rsid w:val="00606B14"/>
    <w:rsid w:val="0060736F"/>
    <w:rsid w:val="00607BD9"/>
    <w:rsid w:val="00614107"/>
    <w:rsid w:val="00615244"/>
    <w:rsid w:val="00615CDA"/>
    <w:rsid w:val="006213FD"/>
    <w:rsid w:val="00623F00"/>
    <w:rsid w:val="0062427B"/>
    <w:rsid w:val="00627B4D"/>
    <w:rsid w:val="00631885"/>
    <w:rsid w:val="00636DC6"/>
    <w:rsid w:val="00640325"/>
    <w:rsid w:val="00642AA9"/>
    <w:rsid w:val="00644A94"/>
    <w:rsid w:val="0065181B"/>
    <w:rsid w:val="0065417A"/>
    <w:rsid w:val="006541BC"/>
    <w:rsid w:val="00654B9F"/>
    <w:rsid w:val="00657448"/>
    <w:rsid w:val="00660B07"/>
    <w:rsid w:val="0066129F"/>
    <w:rsid w:val="00662AAD"/>
    <w:rsid w:val="00663C44"/>
    <w:rsid w:val="006640BC"/>
    <w:rsid w:val="00665325"/>
    <w:rsid w:val="00665B87"/>
    <w:rsid w:val="006678EF"/>
    <w:rsid w:val="00671A9B"/>
    <w:rsid w:val="00674D32"/>
    <w:rsid w:val="00675121"/>
    <w:rsid w:val="0067518D"/>
    <w:rsid w:val="006819D4"/>
    <w:rsid w:val="00681B3C"/>
    <w:rsid w:val="00686F5C"/>
    <w:rsid w:val="00690746"/>
    <w:rsid w:val="006908FF"/>
    <w:rsid w:val="00693136"/>
    <w:rsid w:val="006932F3"/>
    <w:rsid w:val="00694B1C"/>
    <w:rsid w:val="00694E05"/>
    <w:rsid w:val="006963E1"/>
    <w:rsid w:val="006A002E"/>
    <w:rsid w:val="006A0915"/>
    <w:rsid w:val="006A6125"/>
    <w:rsid w:val="006A6C65"/>
    <w:rsid w:val="006A6F42"/>
    <w:rsid w:val="006B2A18"/>
    <w:rsid w:val="006B50F9"/>
    <w:rsid w:val="006B5137"/>
    <w:rsid w:val="006B6782"/>
    <w:rsid w:val="006C217F"/>
    <w:rsid w:val="006C489B"/>
    <w:rsid w:val="006C7029"/>
    <w:rsid w:val="006C7960"/>
    <w:rsid w:val="006D1355"/>
    <w:rsid w:val="006D3D36"/>
    <w:rsid w:val="006D4D98"/>
    <w:rsid w:val="006E49FD"/>
    <w:rsid w:val="006E5791"/>
    <w:rsid w:val="006E6B2E"/>
    <w:rsid w:val="006E7A54"/>
    <w:rsid w:val="006F1EAB"/>
    <w:rsid w:val="006F28FF"/>
    <w:rsid w:val="006F432C"/>
    <w:rsid w:val="006F446C"/>
    <w:rsid w:val="006F5D92"/>
    <w:rsid w:val="00702B1D"/>
    <w:rsid w:val="00702C34"/>
    <w:rsid w:val="00703C87"/>
    <w:rsid w:val="00703E3F"/>
    <w:rsid w:val="0070634E"/>
    <w:rsid w:val="00707D04"/>
    <w:rsid w:val="007107C7"/>
    <w:rsid w:val="00715542"/>
    <w:rsid w:val="00716805"/>
    <w:rsid w:val="00716893"/>
    <w:rsid w:val="00717ECE"/>
    <w:rsid w:val="0072076D"/>
    <w:rsid w:val="00722A13"/>
    <w:rsid w:val="00723F7F"/>
    <w:rsid w:val="007257D1"/>
    <w:rsid w:val="007266DB"/>
    <w:rsid w:val="00726996"/>
    <w:rsid w:val="00731D76"/>
    <w:rsid w:val="00732299"/>
    <w:rsid w:val="00732FAB"/>
    <w:rsid w:val="00733CED"/>
    <w:rsid w:val="00735A38"/>
    <w:rsid w:val="00750A0F"/>
    <w:rsid w:val="0075123D"/>
    <w:rsid w:val="00752166"/>
    <w:rsid w:val="007534DF"/>
    <w:rsid w:val="00753851"/>
    <w:rsid w:val="007562DB"/>
    <w:rsid w:val="007565F7"/>
    <w:rsid w:val="0075695C"/>
    <w:rsid w:val="00757250"/>
    <w:rsid w:val="0075734C"/>
    <w:rsid w:val="007644E0"/>
    <w:rsid w:val="00770E02"/>
    <w:rsid w:val="007712D5"/>
    <w:rsid w:val="007733E7"/>
    <w:rsid w:val="00775445"/>
    <w:rsid w:val="00775ABD"/>
    <w:rsid w:val="00780A30"/>
    <w:rsid w:val="00780D13"/>
    <w:rsid w:val="00782920"/>
    <w:rsid w:val="007829EF"/>
    <w:rsid w:val="00786ED9"/>
    <w:rsid w:val="0079125F"/>
    <w:rsid w:val="007914E9"/>
    <w:rsid w:val="00792098"/>
    <w:rsid w:val="00794CCC"/>
    <w:rsid w:val="00794D70"/>
    <w:rsid w:val="00796B79"/>
    <w:rsid w:val="00797486"/>
    <w:rsid w:val="007979B8"/>
    <w:rsid w:val="007A0A30"/>
    <w:rsid w:val="007A29A7"/>
    <w:rsid w:val="007A36B2"/>
    <w:rsid w:val="007A49F1"/>
    <w:rsid w:val="007A654D"/>
    <w:rsid w:val="007A6BF7"/>
    <w:rsid w:val="007A6D52"/>
    <w:rsid w:val="007B3DD7"/>
    <w:rsid w:val="007B514E"/>
    <w:rsid w:val="007B7AC1"/>
    <w:rsid w:val="007B7D88"/>
    <w:rsid w:val="007C0BBE"/>
    <w:rsid w:val="007C2EAC"/>
    <w:rsid w:val="007C3287"/>
    <w:rsid w:val="007C4745"/>
    <w:rsid w:val="007C5BCF"/>
    <w:rsid w:val="007C61F0"/>
    <w:rsid w:val="007D2065"/>
    <w:rsid w:val="007D312C"/>
    <w:rsid w:val="007D4158"/>
    <w:rsid w:val="007D42B0"/>
    <w:rsid w:val="007D66F6"/>
    <w:rsid w:val="007D684B"/>
    <w:rsid w:val="007D7C2E"/>
    <w:rsid w:val="007E0F3C"/>
    <w:rsid w:val="007E1775"/>
    <w:rsid w:val="007E6C86"/>
    <w:rsid w:val="007E71A0"/>
    <w:rsid w:val="007F108B"/>
    <w:rsid w:val="007F55BB"/>
    <w:rsid w:val="007F66E7"/>
    <w:rsid w:val="007F68E4"/>
    <w:rsid w:val="007F6E1E"/>
    <w:rsid w:val="00802067"/>
    <w:rsid w:val="00802380"/>
    <w:rsid w:val="00802FA2"/>
    <w:rsid w:val="00804662"/>
    <w:rsid w:val="00805CBE"/>
    <w:rsid w:val="0080603C"/>
    <w:rsid w:val="00807137"/>
    <w:rsid w:val="00807279"/>
    <w:rsid w:val="00807DCA"/>
    <w:rsid w:val="00810A25"/>
    <w:rsid w:val="0081251D"/>
    <w:rsid w:val="00815543"/>
    <w:rsid w:val="00832387"/>
    <w:rsid w:val="00832626"/>
    <w:rsid w:val="008328BF"/>
    <w:rsid w:val="008329B1"/>
    <w:rsid w:val="0083757F"/>
    <w:rsid w:val="00840181"/>
    <w:rsid w:val="00840B85"/>
    <w:rsid w:val="0084221F"/>
    <w:rsid w:val="00842AD5"/>
    <w:rsid w:val="00842D1C"/>
    <w:rsid w:val="0084499F"/>
    <w:rsid w:val="008467C7"/>
    <w:rsid w:val="008467E3"/>
    <w:rsid w:val="00846B1C"/>
    <w:rsid w:val="0085207E"/>
    <w:rsid w:val="00854206"/>
    <w:rsid w:val="0085459D"/>
    <w:rsid w:val="00856976"/>
    <w:rsid w:val="00861932"/>
    <w:rsid w:val="00862707"/>
    <w:rsid w:val="00863325"/>
    <w:rsid w:val="00863F01"/>
    <w:rsid w:val="008663E5"/>
    <w:rsid w:val="00866471"/>
    <w:rsid w:val="008702A3"/>
    <w:rsid w:val="00871DF0"/>
    <w:rsid w:val="0087208C"/>
    <w:rsid w:val="008753FA"/>
    <w:rsid w:val="00876598"/>
    <w:rsid w:val="008803C5"/>
    <w:rsid w:val="00880924"/>
    <w:rsid w:val="00883FBF"/>
    <w:rsid w:val="00887FC9"/>
    <w:rsid w:val="008A5406"/>
    <w:rsid w:val="008A5D41"/>
    <w:rsid w:val="008B3807"/>
    <w:rsid w:val="008B3873"/>
    <w:rsid w:val="008B5D3E"/>
    <w:rsid w:val="008B7228"/>
    <w:rsid w:val="008C6232"/>
    <w:rsid w:val="008D1751"/>
    <w:rsid w:val="008D2214"/>
    <w:rsid w:val="008D4C70"/>
    <w:rsid w:val="008E01BF"/>
    <w:rsid w:val="008E15D1"/>
    <w:rsid w:val="008E1BBB"/>
    <w:rsid w:val="008E3039"/>
    <w:rsid w:val="008E6B8C"/>
    <w:rsid w:val="008E76F6"/>
    <w:rsid w:val="008F0494"/>
    <w:rsid w:val="008F30CF"/>
    <w:rsid w:val="008F3499"/>
    <w:rsid w:val="008F59B1"/>
    <w:rsid w:val="009007A4"/>
    <w:rsid w:val="009014C1"/>
    <w:rsid w:val="00901A6D"/>
    <w:rsid w:val="00903690"/>
    <w:rsid w:val="009106BD"/>
    <w:rsid w:val="00910CAF"/>
    <w:rsid w:val="00912D16"/>
    <w:rsid w:val="00913343"/>
    <w:rsid w:val="00913C27"/>
    <w:rsid w:val="0091515D"/>
    <w:rsid w:val="00915776"/>
    <w:rsid w:val="009174E9"/>
    <w:rsid w:val="00917A30"/>
    <w:rsid w:val="00921060"/>
    <w:rsid w:val="009235CA"/>
    <w:rsid w:val="009244B1"/>
    <w:rsid w:val="00924B2B"/>
    <w:rsid w:val="009256E7"/>
    <w:rsid w:val="0092764E"/>
    <w:rsid w:val="00927B82"/>
    <w:rsid w:val="00930F3B"/>
    <w:rsid w:val="00934F7B"/>
    <w:rsid w:val="00937D90"/>
    <w:rsid w:val="009407FC"/>
    <w:rsid w:val="00940ECC"/>
    <w:rsid w:val="00941364"/>
    <w:rsid w:val="0094137D"/>
    <w:rsid w:val="00941885"/>
    <w:rsid w:val="00944677"/>
    <w:rsid w:val="00945FDE"/>
    <w:rsid w:val="00947911"/>
    <w:rsid w:val="009513B7"/>
    <w:rsid w:val="009545C6"/>
    <w:rsid w:val="00955491"/>
    <w:rsid w:val="00956739"/>
    <w:rsid w:val="00957C2E"/>
    <w:rsid w:val="00962996"/>
    <w:rsid w:val="009657EF"/>
    <w:rsid w:val="00965EE0"/>
    <w:rsid w:val="00966D74"/>
    <w:rsid w:val="00967025"/>
    <w:rsid w:val="0097060E"/>
    <w:rsid w:val="0097134A"/>
    <w:rsid w:val="00972F68"/>
    <w:rsid w:val="009840FD"/>
    <w:rsid w:val="00990D53"/>
    <w:rsid w:val="00991707"/>
    <w:rsid w:val="00996F5C"/>
    <w:rsid w:val="009A0243"/>
    <w:rsid w:val="009A04DE"/>
    <w:rsid w:val="009A59B0"/>
    <w:rsid w:val="009A6A65"/>
    <w:rsid w:val="009A6AFC"/>
    <w:rsid w:val="009A7F3D"/>
    <w:rsid w:val="009B318B"/>
    <w:rsid w:val="009B4331"/>
    <w:rsid w:val="009B553C"/>
    <w:rsid w:val="009B74CD"/>
    <w:rsid w:val="009C215F"/>
    <w:rsid w:val="009C3A1D"/>
    <w:rsid w:val="009C4D07"/>
    <w:rsid w:val="009C7F65"/>
    <w:rsid w:val="009D7AF0"/>
    <w:rsid w:val="009E2475"/>
    <w:rsid w:val="009E2CCE"/>
    <w:rsid w:val="009E3D4E"/>
    <w:rsid w:val="00A01AC8"/>
    <w:rsid w:val="00A01F4E"/>
    <w:rsid w:val="00A035DF"/>
    <w:rsid w:val="00A046D5"/>
    <w:rsid w:val="00A04E7B"/>
    <w:rsid w:val="00A05B70"/>
    <w:rsid w:val="00A06F45"/>
    <w:rsid w:val="00A07F92"/>
    <w:rsid w:val="00A1007E"/>
    <w:rsid w:val="00A1353A"/>
    <w:rsid w:val="00A138B7"/>
    <w:rsid w:val="00A1548B"/>
    <w:rsid w:val="00A1730A"/>
    <w:rsid w:val="00A17D8D"/>
    <w:rsid w:val="00A21041"/>
    <w:rsid w:val="00A220F9"/>
    <w:rsid w:val="00A22514"/>
    <w:rsid w:val="00A240BB"/>
    <w:rsid w:val="00A26032"/>
    <w:rsid w:val="00A35380"/>
    <w:rsid w:val="00A35532"/>
    <w:rsid w:val="00A369CF"/>
    <w:rsid w:val="00A37222"/>
    <w:rsid w:val="00A420D2"/>
    <w:rsid w:val="00A42EE6"/>
    <w:rsid w:val="00A42FFB"/>
    <w:rsid w:val="00A45326"/>
    <w:rsid w:val="00A46C50"/>
    <w:rsid w:val="00A47ADD"/>
    <w:rsid w:val="00A538A6"/>
    <w:rsid w:val="00A56D74"/>
    <w:rsid w:val="00A5714D"/>
    <w:rsid w:val="00A57A5F"/>
    <w:rsid w:val="00A61E44"/>
    <w:rsid w:val="00A65A32"/>
    <w:rsid w:val="00A663FF"/>
    <w:rsid w:val="00A6727B"/>
    <w:rsid w:val="00A801B3"/>
    <w:rsid w:val="00A802A6"/>
    <w:rsid w:val="00A80DCF"/>
    <w:rsid w:val="00A81A4D"/>
    <w:rsid w:val="00A82D34"/>
    <w:rsid w:val="00A84051"/>
    <w:rsid w:val="00A84400"/>
    <w:rsid w:val="00A87DCF"/>
    <w:rsid w:val="00A901EF"/>
    <w:rsid w:val="00A9056D"/>
    <w:rsid w:val="00A9208D"/>
    <w:rsid w:val="00A9422C"/>
    <w:rsid w:val="00A972D0"/>
    <w:rsid w:val="00AA02E9"/>
    <w:rsid w:val="00AA0F22"/>
    <w:rsid w:val="00AA36F1"/>
    <w:rsid w:val="00AA46E7"/>
    <w:rsid w:val="00AA5051"/>
    <w:rsid w:val="00AA62BB"/>
    <w:rsid w:val="00AB1038"/>
    <w:rsid w:val="00AB231D"/>
    <w:rsid w:val="00AB4424"/>
    <w:rsid w:val="00AB525F"/>
    <w:rsid w:val="00AB662D"/>
    <w:rsid w:val="00AC25B8"/>
    <w:rsid w:val="00AC4D0C"/>
    <w:rsid w:val="00AC6F99"/>
    <w:rsid w:val="00AC75E9"/>
    <w:rsid w:val="00AD08FA"/>
    <w:rsid w:val="00AD11F3"/>
    <w:rsid w:val="00AD40BD"/>
    <w:rsid w:val="00AD5296"/>
    <w:rsid w:val="00AD7B47"/>
    <w:rsid w:val="00AE111C"/>
    <w:rsid w:val="00AE33A1"/>
    <w:rsid w:val="00AE53FE"/>
    <w:rsid w:val="00AF3CFB"/>
    <w:rsid w:val="00AF4BA8"/>
    <w:rsid w:val="00B006FA"/>
    <w:rsid w:val="00B0079C"/>
    <w:rsid w:val="00B00942"/>
    <w:rsid w:val="00B11DDE"/>
    <w:rsid w:val="00B1552D"/>
    <w:rsid w:val="00B16756"/>
    <w:rsid w:val="00B16A78"/>
    <w:rsid w:val="00B17266"/>
    <w:rsid w:val="00B17F71"/>
    <w:rsid w:val="00B230CA"/>
    <w:rsid w:val="00B26BA6"/>
    <w:rsid w:val="00B30160"/>
    <w:rsid w:val="00B33732"/>
    <w:rsid w:val="00B400EB"/>
    <w:rsid w:val="00B41FB1"/>
    <w:rsid w:val="00B45DF6"/>
    <w:rsid w:val="00B478CC"/>
    <w:rsid w:val="00B47F70"/>
    <w:rsid w:val="00B530D5"/>
    <w:rsid w:val="00B54767"/>
    <w:rsid w:val="00B55E1C"/>
    <w:rsid w:val="00B57D14"/>
    <w:rsid w:val="00B60465"/>
    <w:rsid w:val="00B635B1"/>
    <w:rsid w:val="00B63FBC"/>
    <w:rsid w:val="00B642D6"/>
    <w:rsid w:val="00B66BBC"/>
    <w:rsid w:val="00B676F5"/>
    <w:rsid w:val="00B7054C"/>
    <w:rsid w:val="00B707A4"/>
    <w:rsid w:val="00B70BDD"/>
    <w:rsid w:val="00B73DCC"/>
    <w:rsid w:val="00B81BDE"/>
    <w:rsid w:val="00B81DBB"/>
    <w:rsid w:val="00B83D64"/>
    <w:rsid w:val="00B87D56"/>
    <w:rsid w:val="00B926AF"/>
    <w:rsid w:val="00B92822"/>
    <w:rsid w:val="00B941DA"/>
    <w:rsid w:val="00B941F6"/>
    <w:rsid w:val="00B94CD7"/>
    <w:rsid w:val="00B96BE4"/>
    <w:rsid w:val="00BA0134"/>
    <w:rsid w:val="00BA2CDB"/>
    <w:rsid w:val="00BA3585"/>
    <w:rsid w:val="00BA3F5A"/>
    <w:rsid w:val="00BA4274"/>
    <w:rsid w:val="00BA46D1"/>
    <w:rsid w:val="00BA4836"/>
    <w:rsid w:val="00BA6C81"/>
    <w:rsid w:val="00BB068C"/>
    <w:rsid w:val="00BB417B"/>
    <w:rsid w:val="00BC1C9C"/>
    <w:rsid w:val="00BC2FEC"/>
    <w:rsid w:val="00BC30A3"/>
    <w:rsid w:val="00BC766F"/>
    <w:rsid w:val="00BD0021"/>
    <w:rsid w:val="00BD13E0"/>
    <w:rsid w:val="00BD2303"/>
    <w:rsid w:val="00BD2AB0"/>
    <w:rsid w:val="00BD3995"/>
    <w:rsid w:val="00BD4435"/>
    <w:rsid w:val="00BD4D1B"/>
    <w:rsid w:val="00BD6C96"/>
    <w:rsid w:val="00BE179E"/>
    <w:rsid w:val="00BE3166"/>
    <w:rsid w:val="00BE659D"/>
    <w:rsid w:val="00BE73FA"/>
    <w:rsid w:val="00BE7933"/>
    <w:rsid w:val="00BF0515"/>
    <w:rsid w:val="00BF1AD0"/>
    <w:rsid w:val="00BF34D6"/>
    <w:rsid w:val="00BF7131"/>
    <w:rsid w:val="00C001F6"/>
    <w:rsid w:val="00C03707"/>
    <w:rsid w:val="00C04AAA"/>
    <w:rsid w:val="00C04FB9"/>
    <w:rsid w:val="00C115CE"/>
    <w:rsid w:val="00C1180D"/>
    <w:rsid w:val="00C1278D"/>
    <w:rsid w:val="00C1440B"/>
    <w:rsid w:val="00C15D5B"/>
    <w:rsid w:val="00C15E49"/>
    <w:rsid w:val="00C23EDD"/>
    <w:rsid w:val="00C251BD"/>
    <w:rsid w:val="00C25A38"/>
    <w:rsid w:val="00C26BF4"/>
    <w:rsid w:val="00C27DD7"/>
    <w:rsid w:val="00C30579"/>
    <w:rsid w:val="00C3112C"/>
    <w:rsid w:val="00C332FE"/>
    <w:rsid w:val="00C35068"/>
    <w:rsid w:val="00C35ABC"/>
    <w:rsid w:val="00C3612E"/>
    <w:rsid w:val="00C37A05"/>
    <w:rsid w:val="00C4271C"/>
    <w:rsid w:val="00C42CA1"/>
    <w:rsid w:val="00C52878"/>
    <w:rsid w:val="00C53839"/>
    <w:rsid w:val="00C55DAF"/>
    <w:rsid w:val="00C56E31"/>
    <w:rsid w:val="00C576DA"/>
    <w:rsid w:val="00C57915"/>
    <w:rsid w:val="00C57C7E"/>
    <w:rsid w:val="00C625A6"/>
    <w:rsid w:val="00C62E16"/>
    <w:rsid w:val="00C802ED"/>
    <w:rsid w:val="00C806B3"/>
    <w:rsid w:val="00C81F18"/>
    <w:rsid w:val="00C827DF"/>
    <w:rsid w:val="00C82AA3"/>
    <w:rsid w:val="00C82D82"/>
    <w:rsid w:val="00C83810"/>
    <w:rsid w:val="00C83D96"/>
    <w:rsid w:val="00C85C51"/>
    <w:rsid w:val="00C85FCE"/>
    <w:rsid w:val="00C86261"/>
    <w:rsid w:val="00C9024E"/>
    <w:rsid w:val="00C92903"/>
    <w:rsid w:val="00CA167D"/>
    <w:rsid w:val="00CA309E"/>
    <w:rsid w:val="00CA3156"/>
    <w:rsid w:val="00CA3CD6"/>
    <w:rsid w:val="00CA5369"/>
    <w:rsid w:val="00CA6214"/>
    <w:rsid w:val="00CB2F81"/>
    <w:rsid w:val="00CB48B5"/>
    <w:rsid w:val="00CB6074"/>
    <w:rsid w:val="00CB66DF"/>
    <w:rsid w:val="00CB7DFC"/>
    <w:rsid w:val="00CC200C"/>
    <w:rsid w:val="00CC28C0"/>
    <w:rsid w:val="00CC5CE6"/>
    <w:rsid w:val="00CC6008"/>
    <w:rsid w:val="00CC7149"/>
    <w:rsid w:val="00CD00FD"/>
    <w:rsid w:val="00CD132E"/>
    <w:rsid w:val="00CD2DE7"/>
    <w:rsid w:val="00CD3351"/>
    <w:rsid w:val="00CD671B"/>
    <w:rsid w:val="00CD69D4"/>
    <w:rsid w:val="00CE0FDA"/>
    <w:rsid w:val="00CE5646"/>
    <w:rsid w:val="00CF02B1"/>
    <w:rsid w:val="00CF177C"/>
    <w:rsid w:val="00CF1845"/>
    <w:rsid w:val="00CF201C"/>
    <w:rsid w:val="00CF26E5"/>
    <w:rsid w:val="00CF37B1"/>
    <w:rsid w:val="00CF3DE3"/>
    <w:rsid w:val="00CF4010"/>
    <w:rsid w:val="00CF6665"/>
    <w:rsid w:val="00CF7D4B"/>
    <w:rsid w:val="00D00BC4"/>
    <w:rsid w:val="00D01C5E"/>
    <w:rsid w:val="00D040A1"/>
    <w:rsid w:val="00D04833"/>
    <w:rsid w:val="00D0777E"/>
    <w:rsid w:val="00D07B49"/>
    <w:rsid w:val="00D07E2F"/>
    <w:rsid w:val="00D10BAF"/>
    <w:rsid w:val="00D11323"/>
    <w:rsid w:val="00D11B69"/>
    <w:rsid w:val="00D13DDD"/>
    <w:rsid w:val="00D17D8D"/>
    <w:rsid w:val="00D17E1C"/>
    <w:rsid w:val="00D20EC8"/>
    <w:rsid w:val="00D21BEF"/>
    <w:rsid w:val="00D26E9F"/>
    <w:rsid w:val="00D2794C"/>
    <w:rsid w:val="00D33D47"/>
    <w:rsid w:val="00D439BA"/>
    <w:rsid w:val="00D440D1"/>
    <w:rsid w:val="00D46E94"/>
    <w:rsid w:val="00D47085"/>
    <w:rsid w:val="00D47AF4"/>
    <w:rsid w:val="00D500D3"/>
    <w:rsid w:val="00D5042F"/>
    <w:rsid w:val="00D520B1"/>
    <w:rsid w:val="00D561A6"/>
    <w:rsid w:val="00D56A9A"/>
    <w:rsid w:val="00D57CBB"/>
    <w:rsid w:val="00D60FC2"/>
    <w:rsid w:val="00D642A9"/>
    <w:rsid w:val="00D64A6E"/>
    <w:rsid w:val="00D67266"/>
    <w:rsid w:val="00D70FBE"/>
    <w:rsid w:val="00D7289E"/>
    <w:rsid w:val="00D72ED2"/>
    <w:rsid w:val="00D7313E"/>
    <w:rsid w:val="00D73385"/>
    <w:rsid w:val="00D763A0"/>
    <w:rsid w:val="00D76B9E"/>
    <w:rsid w:val="00D77473"/>
    <w:rsid w:val="00D81609"/>
    <w:rsid w:val="00D83799"/>
    <w:rsid w:val="00D86D26"/>
    <w:rsid w:val="00D86F67"/>
    <w:rsid w:val="00D91569"/>
    <w:rsid w:val="00D92A7D"/>
    <w:rsid w:val="00D92DEE"/>
    <w:rsid w:val="00D939B5"/>
    <w:rsid w:val="00D93B71"/>
    <w:rsid w:val="00D93D00"/>
    <w:rsid w:val="00D97D70"/>
    <w:rsid w:val="00DA1628"/>
    <w:rsid w:val="00DA31F6"/>
    <w:rsid w:val="00DA3339"/>
    <w:rsid w:val="00DA3396"/>
    <w:rsid w:val="00DA723A"/>
    <w:rsid w:val="00DA7DD8"/>
    <w:rsid w:val="00DB66CA"/>
    <w:rsid w:val="00DB678B"/>
    <w:rsid w:val="00DB6B48"/>
    <w:rsid w:val="00DC1EBC"/>
    <w:rsid w:val="00DC5004"/>
    <w:rsid w:val="00DD1613"/>
    <w:rsid w:val="00DD7790"/>
    <w:rsid w:val="00DD7B3B"/>
    <w:rsid w:val="00DE22F0"/>
    <w:rsid w:val="00DE30AB"/>
    <w:rsid w:val="00DE4DA8"/>
    <w:rsid w:val="00DF075C"/>
    <w:rsid w:val="00DF2A4A"/>
    <w:rsid w:val="00DF7F25"/>
    <w:rsid w:val="00E0018D"/>
    <w:rsid w:val="00E002E1"/>
    <w:rsid w:val="00E004EB"/>
    <w:rsid w:val="00E00D0C"/>
    <w:rsid w:val="00E02E3A"/>
    <w:rsid w:val="00E04792"/>
    <w:rsid w:val="00E04827"/>
    <w:rsid w:val="00E10844"/>
    <w:rsid w:val="00E13060"/>
    <w:rsid w:val="00E17913"/>
    <w:rsid w:val="00E24479"/>
    <w:rsid w:val="00E25D80"/>
    <w:rsid w:val="00E26949"/>
    <w:rsid w:val="00E31E86"/>
    <w:rsid w:val="00E320B9"/>
    <w:rsid w:val="00E33BBC"/>
    <w:rsid w:val="00E36920"/>
    <w:rsid w:val="00E41969"/>
    <w:rsid w:val="00E42E2D"/>
    <w:rsid w:val="00E43F18"/>
    <w:rsid w:val="00E44B23"/>
    <w:rsid w:val="00E45FEF"/>
    <w:rsid w:val="00E47DF9"/>
    <w:rsid w:val="00E518C4"/>
    <w:rsid w:val="00E519D0"/>
    <w:rsid w:val="00E526BA"/>
    <w:rsid w:val="00E527B2"/>
    <w:rsid w:val="00E536B2"/>
    <w:rsid w:val="00E54EC9"/>
    <w:rsid w:val="00E5507A"/>
    <w:rsid w:val="00E61FB6"/>
    <w:rsid w:val="00E71FD6"/>
    <w:rsid w:val="00E742A8"/>
    <w:rsid w:val="00E74EA2"/>
    <w:rsid w:val="00E769C9"/>
    <w:rsid w:val="00E77825"/>
    <w:rsid w:val="00E8154E"/>
    <w:rsid w:val="00E83642"/>
    <w:rsid w:val="00E836B6"/>
    <w:rsid w:val="00E83FAD"/>
    <w:rsid w:val="00E8411E"/>
    <w:rsid w:val="00E90088"/>
    <w:rsid w:val="00E90334"/>
    <w:rsid w:val="00E90DAD"/>
    <w:rsid w:val="00E91657"/>
    <w:rsid w:val="00E91D8F"/>
    <w:rsid w:val="00E91FC1"/>
    <w:rsid w:val="00E92416"/>
    <w:rsid w:val="00E9501F"/>
    <w:rsid w:val="00E96479"/>
    <w:rsid w:val="00EA0049"/>
    <w:rsid w:val="00EA2920"/>
    <w:rsid w:val="00EA399F"/>
    <w:rsid w:val="00EA4F06"/>
    <w:rsid w:val="00EB0F61"/>
    <w:rsid w:val="00EB1516"/>
    <w:rsid w:val="00EB2139"/>
    <w:rsid w:val="00EB4239"/>
    <w:rsid w:val="00EB44F9"/>
    <w:rsid w:val="00EB6577"/>
    <w:rsid w:val="00EC0709"/>
    <w:rsid w:val="00EC0F14"/>
    <w:rsid w:val="00EC2F8E"/>
    <w:rsid w:val="00EC4E12"/>
    <w:rsid w:val="00ED0B1A"/>
    <w:rsid w:val="00ED3BF3"/>
    <w:rsid w:val="00ED52F7"/>
    <w:rsid w:val="00EE2091"/>
    <w:rsid w:val="00EE4761"/>
    <w:rsid w:val="00EE55B6"/>
    <w:rsid w:val="00EE5A4C"/>
    <w:rsid w:val="00EF11C0"/>
    <w:rsid w:val="00EF22CC"/>
    <w:rsid w:val="00EF3118"/>
    <w:rsid w:val="00EF358B"/>
    <w:rsid w:val="00EF3705"/>
    <w:rsid w:val="00EF48FA"/>
    <w:rsid w:val="00EF767A"/>
    <w:rsid w:val="00F007C3"/>
    <w:rsid w:val="00F01876"/>
    <w:rsid w:val="00F0797B"/>
    <w:rsid w:val="00F07EDE"/>
    <w:rsid w:val="00F16658"/>
    <w:rsid w:val="00F16E48"/>
    <w:rsid w:val="00F22714"/>
    <w:rsid w:val="00F22E98"/>
    <w:rsid w:val="00F27DCD"/>
    <w:rsid w:val="00F32570"/>
    <w:rsid w:val="00F32BCB"/>
    <w:rsid w:val="00F33041"/>
    <w:rsid w:val="00F33341"/>
    <w:rsid w:val="00F35F34"/>
    <w:rsid w:val="00F36014"/>
    <w:rsid w:val="00F36EE4"/>
    <w:rsid w:val="00F37AC3"/>
    <w:rsid w:val="00F420D6"/>
    <w:rsid w:val="00F420F3"/>
    <w:rsid w:val="00F435AB"/>
    <w:rsid w:val="00F46166"/>
    <w:rsid w:val="00F46690"/>
    <w:rsid w:val="00F51AC1"/>
    <w:rsid w:val="00F5233D"/>
    <w:rsid w:val="00F543B1"/>
    <w:rsid w:val="00F5591C"/>
    <w:rsid w:val="00F55D6D"/>
    <w:rsid w:val="00F5633E"/>
    <w:rsid w:val="00F60409"/>
    <w:rsid w:val="00F606B6"/>
    <w:rsid w:val="00F6124F"/>
    <w:rsid w:val="00F61365"/>
    <w:rsid w:val="00F61F82"/>
    <w:rsid w:val="00F6255A"/>
    <w:rsid w:val="00F636C6"/>
    <w:rsid w:val="00F65B95"/>
    <w:rsid w:val="00F667A3"/>
    <w:rsid w:val="00F71BAE"/>
    <w:rsid w:val="00F80F8A"/>
    <w:rsid w:val="00F82C3B"/>
    <w:rsid w:val="00F83068"/>
    <w:rsid w:val="00F84D95"/>
    <w:rsid w:val="00F86EB0"/>
    <w:rsid w:val="00F879EF"/>
    <w:rsid w:val="00F9115C"/>
    <w:rsid w:val="00F92124"/>
    <w:rsid w:val="00F92C10"/>
    <w:rsid w:val="00F94314"/>
    <w:rsid w:val="00F94F42"/>
    <w:rsid w:val="00F968DF"/>
    <w:rsid w:val="00FA0993"/>
    <w:rsid w:val="00FA229C"/>
    <w:rsid w:val="00FA2E19"/>
    <w:rsid w:val="00FA33C1"/>
    <w:rsid w:val="00FA5487"/>
    <w:rsid w:val="00FB0D4C"/>
    <w:rsid w:val="00FB5B43"/>
    <w:rsid w:val="00FB5B51"/>
    <w:rsid w:val="00FB6E76"/>
    <w:rsid w:val="00FB6EB6"/>
    <w:rsid w:val="00FC0934"/>
    <w:rsid w:val="00FC1166"/>
    <w:rsid w:val="00FC1DF6"/>
    <w:rsid w:val="00FC1E9C"/>
    <w:rsid w:val="00FC2FA8"/>
    <w:rsid w:val="00FC3318"/>
    <w:rsid w:val="00FC49AB"/>
    <w:rsid w:val="00FC67F1"/>
    <w:rsid w:val="00FD24C3"/>
    <w:rsid w:val="00FD4B14"/>
    <w:rsid w:val="00FD7160"/>
    <w:rsid w:val="00FE0C7A"/>
    <w:rsid w:val="00FE1432"/>
    <w:rsid w:val="00FE1CFD"/>
    <w:rsid w:val="00FE3BBA"/>
    <w:rsid w:val="00FE5B49"/>
    <w:rsid w:val="00FF1349"/>
    <w:rsid w:val="00FF2E97"/>
    <w:rsid w:val="00FF44D5"/>
    <w:rsid w:val="00FF4786"/>
    <w:rsid w:val="00FF4866"/>
    <w:rsid w:val="00FF54A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49416"/>
  <w15:docId w15:val="{384F9D69-0F95-4DEF-8278-522EAD01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Bekezdés"/>
    <w:rsid w:val="00AD08FA"/>
    <w:pPr>
      <w:spacing w:after="120"/>
      <w:jc w:val="both"/>
    </w:pPr>
  </w:style>
  <w:style w:type="paragraph" w:styleId="Cmsor1">
    <w:name w:val="heading 1"/>
    <w:basedOn w:val="Norml"/>
    <w:next w:val="Norml"/>
    <w:link w:val="Cmsor1Char"/>
    <w:qFormat/>
    <w:rsid w:val="00AD08FA"/>
    <w:pPr>
      <w:keepNext/>
      <w:keepLines/>
      <w:numPr>
        <w:numId w:val="1"/>
      </w:numPr>
      <w:spacing w:after="240"/>
      <w:outlineLvl w:val="0"/>
    </w:pPr>
    <w:rPr>
      <w:rFonts w:asciiTheme="majorHAnsi" w:eastAsiaTheme="majorEastAsia" w:hAnsiTheme="majorHAnsi" w:cstheme="majorBidi"/>
      <w:b/>
      <w:bCs/>
      <w:color w:val="000000" w:themeColor="text2" w:themeShade="BF"/>
      <w:sz w:val="32"/>
      <w:szCs w:val="28"/>
    </w:rPr>
  </w:style>
  <w:style w:type="paragraph" w:styleId="Cmsor2">
    <w:name w:val="heading 2"/>
    <w:basedOn w:val="Norml"/>
    <w:next w:val="Norml"/>
    <w:link w:val="Cmsor2Char"/>
    <w:uiPriority w:val="9"/>
    <w:semiHidden/>
    <w:unhideWhenUsed/>
    <w:rsid w:val="00AD08FA"/>
    <w:pPr>
      <w:keepNext/>
      <w:keepLines/>
      <w:numPr>
        <w:ilvl w:val="1"/>
        <w:numId w:val="1"/>
      </w:numPr>
      <w:spacing w:after="240"/>
      <w:outlineLvl w:val="1"/>
    </w:pPr>
    <w:rPr>
      <w:rFonts w:asciiTheme="majorHAnsi" w:eastAsiaTheme="majorEastAsia" w:hAnsiTheme="majorHAnsi" w:cstheme="majorBidi"/>
      <w:b/>
      <w:bCs/>
      <w:color w:val="666666" w:themeColor="text2" w:themeTint="99"/>
      <w:sz w:val="28"/>
      <w:szCs w:val="26"/>
    </w:rPr>
  </w:style>
  <w:style w:type="paragraph" w:styleId="Cmsor3">
    <w:name w:val="heading 3"/>
    <w:basedOn w:val="Norml"/>
    <w:next w:val="Norml"/>
    <w:link w:val="Cmsor3Char"/>
    <w:uiPriority w:val="9"/>
    <w:semiHidden/>
    <w:unhideWhenUsed/>
    <w:qFormat/>
    <w:rsid w:val="00AD08FA"/>
    <w:pPr>
      <w:keepNext/>
      <w:keepLines/>
      <w:numPr>
        <w:ilvl w:val="2"/>
        <w:numId w:val="1"/>
      </w:numPr>
      <w:spacing w:after="240"/>
      <w:outlineLvl w:val="2"/>
    </w:pPr>
    <w:rPr>
      <w:rFonts w:asciiTheme="majorHAnsi" w:eastAsiaTheme="majorEastAsia" w:hAnsiTheme="majorHAnsi" w:cstheme="majorBidi"/>
      <w:b/>
      <w:bCs/>
      <w:color w:val="999999" w:themeColor="text2" w:themeTint="66"/>
      <w:sz w:val="24"/>
    </w:rPr>
  </w:style>
  <w:style w:type="paragraph" w:styleId="Cmsor4">
    <w:name w:val="heading 4"/>
    <w:basedOn w:val="Norml"/>
    <w:next w:val="Norml"/>
    <w:link w:val="Cmsor4Char"/>
    <w:uiPriority w:val="9"/>
    <w:semiHidden/>
    <w:unhideWhenUsed/>
    <w:qFormat/>
    <w:rsid w:val="00AD08FA"/>
    <w:pPr>
      <w:keepNext/>
      <w:keepLines/>
      <w:numPr>
        <w:ilvl w:val="3"/>
        <w:numId w:val="1"/>
      </w:numPr>
      <w:outlineLvl w:val="3"/>
    </w:pPr>
    <w:rPr>
      <w:rFonts w:asciiTheme="majorHAnsi" w:eastAsiaTheme="majorEastAsia" w:hAnsiTheme="majorHAnsi" w:cstheme="majorBidi"/>
      <w:b/>
      <w:bCs/>
      <w:iCs/>
      <w:color w:val="CCCCCC" w:themeColor="text2" w:themeTint="33"/>
    </w:rPr>
  </w:style>
  <w:style w:type="paragraph" w:styleId="Cmsor5">
    <w:name w:val="heading 5"/>
    <w:basedOn w:val="Norml"/>
    <w:next w:val="Norml"/>
    <w:link w:val="Cmsor5Char"/>
    <w:unhideWhenUsed/>
    <w:qFormat/>
    <w:rsid w:val="007D7C2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nhideWhenUsed/>
    <w:qFormat/>
    <w:rsid w:val="00AD08F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9"/>
    <w:unhideWhenUsed/>
    <w:qFormat/>
    <w:rsid w:val="00AD08F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nhideWhenUsed/>
    <w:qFormat/>
    <w:rsid w:val="00AD08F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nhideWhenUsed/>
    <w:qFormat/>
    <w:rsid w:val="00AD08F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D08FA"/>
    <w:rPr>
      <w:rFonts w:asciiTheme="majorHAnsi" w:eastAsiaTheme="majorEastAsia" w:hAnsiTheme="majorHAnsi" w:cstheme="majorBidi"/>
      <w:b/>
      <w:bCs/>
      <w:color w:val="000000" w:themeColor="text2" w:themeShade="BF"/>
      <w:sz w:val="32"/>
      <w:szCs w:val="28"/>
    </w:rPr>
  </w:style>
  <w:style w:type="paragraph" w:styleId="Tartalomjegyzkcmsora">
    <w:name w:val="TOC Heading"/>
    <w:basedOn w:val="Cmsor1"/>
    <w:next w:val="Norml"/>
    <w:link w:val="TartalomjegyzkcmsoraChar"/>
    <w:uiPriority w:val="39"/>
    <w:unhideWhenUsed/>
    <w:rsid w:val="00AD08FA"/>
    <w:pPr>
      <w:numPr>
        <w:numId w:val="0"/>
      </w:numPr>
      <w:outlineLvl w:val="9"/>
    </w:pPr>
  </w:style>
  <w:style w:type="paragraph" w:styleId="lfej">
    <w:name w:val="header"/>
    <w:aliases w:val="encabezado,he,header odd,header odd1,header odd2,header"/>
    <w:basedOn w:val="Norml"/>
    <w:link w:val="lfejChar"/>
    <w:unhideWhenUsed/>
    <w:rsid w:val="006F446C"/>
    <w:pPr>
      <w:tabs>
        <w:tab w:val="center" w:pos="4536"/>
        <w:tab w:val="right" w:pos="9072"/>
      </w:tabs>
      <w:spacing w:after="0" w:line="240" w:lineRule="auto"/>
    </w:pPr>
  </w:style>
  <w:style w:type="paragraph" w:styleId="Listaszerbekezds">
    <w:name w:val="List Paragraph"/>
    <w:aliases w:val="List Bullet"/>
    <w:basedOn w:val="Norml"/>
    <w:link w:val="ListaszerbekezdsChar"/>
    <w:uiPriority w:val="34"/>
    <w:qFormat/>
    <w:rsid w:val="00CA3CD6"/>
    <w:pPr>
      <w:ind w:left="720"/>
      <w:contextualSpacing/>
    </w:pPr>
  </w:style>
  <w:style w:type="character" w:customStyle="1" w:styleId="lfejChar">
    <w:name w:val="Élőfej Char"/>
    <w:aliases w:val="encabezado Char,he Char,header odd Char,header odd1 Char,header odd2 Char,header Char"/>
    <w:basedOn w:val="Bekezdsalapbettpusa"/>
    <w:link w:val="lfej"/>
    <w:rsid w:val="006F446C"/>
  </w:style>
  <w:style w:type="paragraph" w:styleId="llb">
    <w:name w:val="footer"/>
    <w:basedOn w:val="Norml"/>
    <w:link w:val="llbChar"/>
    <w:uiPriority w:val="99"/>
    <w:unhideWhenUsed/>
    <w:rsid w:val="006F446C"/>
    <w:pPr>
      <w:tabs>
        <w:tab w:val="center" w:pos="4536"/>
        <w:tab w:val="right" w:pos="9072"/>
      </w:tabs>
      <w:spacing w:after="0" w:line="240" w:lineRule="auto"/>
    </w:pPr>
  </w:style>
  <w:style w:type="character" w:customStyle="1" w:styleId="llbChar">
    <w:name w:val="Élőláb Char"/>
    <w:basedOn w:val="Bekezdsalapbettpusa"/>
    <w:link w:val="llb"/>
    <w:uiPriority w:val="99"/>
    <w:rsid w:val="006F446C"/>
  </w:style>
  <w:style w:type="paragraph" w:customStyle="1" w:styleId="Cmnmhh">
    <w:name w:val="Cím_nmhh"/>
    <w:basedOn w:val="Cm"/>
    <w:qFormat/>
    <w:rsid w:val="00BB417B"/>
    <w:pPr>
      <w:pBdr>
        <w:bottom w:val="none" w:sz="0" w:space="0" w:color="auto"/>
      </w:pBdr>
      <w:spacing w:after="480" w:line="720" w:lineRule="exact"/>
      <w:ind w:left="890"/>
      <w:contextualSpacing w:val="0"/>
      <w:jc w:val="left"/>
    </w:pPr>
    <w:rPr>
      <w:b/>
      <w:color w:val="911E6C"/>
      <w:sz w:val="60"/>
    </w:rPr>
  </w:style>
  <w:style w:type="paragraph" w:customStyle="1" w:styleId="Osztlynmhh">
    <w:name w:val="Osztály_nmhh"/>
    <w:basedOn w:val="Norml"/>
    <w:next w:val="Norml"/>
    <w:qFormat/>
    <w:rsid w:val="00BB417B"/>
    <w:pPr>
      <w:spacing w:after="0"/>
      <w:ind w:left="890"/>
      <w:jc w:val="left"/>
    </w:pPr>
    <w:rPr>
      <w:caps/>
      <w:color w:val="465155"/>
      <w:sz w:val="36"/>
    </w:rPr>
  </w:style>
  <w:style w:type="paragraph" w:styleId="Cm">
    <w:name w:val="Title"/>
    <w:basedOn w:val="Norml"/>
    <w:next w:val="Norml"/>
    <w:link w:val="CmChar"/>
    <w:uiPriority w:val="10"/>
    <w:rsid w:val="00A81A4D"/>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CmChar">
    <w:name w:val="Cím Char"/>
    <w:basedOn w:val="Bekezdsalapbettpusa"/>
    <w:link w:val="Cm"/>
    <w:uiPriority w:val="10"/>
    <w:rsid w:val="00A81A4D"/>
    <w:rPr>
      <w:rFonts w:asciiTheme="majorHAnsi" w:eastAsiaTheme="majorEastAsia" w:hAnsiTheme="majorHAnsi" w:cstheme="majorBidi"/>
      <w:color w:val="000000" w:themeColor="text2" w:themeShade="BF"/>
      <w:spacing w:val="5"/>
      <w:kern w:val="28"/>
      <w:sz w:val="52"/>
      <w:szCs w:val="52"/>
    </w:rPr>
  </w:style>
  <w:style w:type="paragraph" w:customStyle="1" w:styleId="Bortlapegybnmhh">
    <w:name w:val="Borítólap egyéb_nmhh"/>
    <w:basedOn w:val="Norml"/>
    <w:link w:val="BortlapegybnmhhChar"/>
    <w:qFormat/>
    <w:rsid w:val="00184A51"/>
    <w:pPr>
      <w:spacing w:after="0"/>
      <w:ind w:left="890"/>
      <w:jc w:val="left"/>
    </w:pPr>
    <w:rPr>
      <w:color w:val="4C5256"/>
      <w:sz w:val="30"/>
    </w:rPr>
  </w:style>
  <w:style w:type="paragraph" w:customStyle="1" w:styleId="Tartalomjegyzkcmsoranmhh">
    <w:name w:val="Tartalomjegyzék_címsora_nmhh"/>
    <w:basedOn w:val="Tartalomjegyzkcmsora"/>
    <w:link w:val="TartalomjegyzkcmsoranmhhChar"/>
    <w:qFormat/>
    <w:rsid w:val="00087A8F"/>
    <w:rPr>
      <w:sz w:val="36"/>
    </w:rPr>
  </w:style>
  <w:style w:type="character" w:customStyle="1" w:styleId="BortlapegybnmhhChar">
    <w:name w:val="Borítólap egyéb_nmhh Char"/>
    <w:basedOn w:val="Bekezdsalapbettpusa"/>
    <w:link w:val="Bortlapegybnmhh"/>
    <w:rsid w:val="00184A51"/>
    <w:rPr>
      <w:color w:val="4C5256"/>
      <w:sz w:val="30"/>
    </w:rPr>
  </w:style>
  <w:style w:type="paragraph" w:customStyle="1" w:styleId="Bekezdsnmhh">
    <w:name w:val="Bekezdés_nmhh"/>
    <w:basedOn w:val="Norml"/>
    <w:link w:val="BekezdsnmhhChar"/>
    <w:qFormat/>
    <w:rsid w:val="00DA31F6"/>
    <w:rPr>
      <w:sz w:val="20"/>
      <w:szCs w:val="20"/>
    </w:rPr>
  </w:style>
  <w:style w:type="character" w:customStyle="1" w:styleId="TartalomjegyzkcmsoraChar">
    <w:name w:val="Tartalomjegyzék címsora Char"/>
    <w:basedOn w:val="Cmsor1Char"/>
    <w:link w:val="Tartalomjegyzkcmsora"/>
    <w:uiPriority w:val="39"/>
    <w:rsid w:val="00087A8F"/>
    <w:rPr>
      <w:rFonts w:asciiTheme="majorHAnsi" w:eastAsiaTheme="majorEastAsia" w:hAnsiTheme="majorHAnsi" w:cstheme="majorBidi"/>
      <w:b/>
      <w:bCs/>
      <w:color w:val="000000" w:themeColor="text2" w:themeShade="BF"/>
      <w:sz w:val="32"/>
      <w:szCs w:val="28"/>
    </w:rPr>
  </w:style>
  <w:style w:type="character" w:customStyle="1" w:styleId="TartalomjegyzkcmsoranmhhChar">
    <w:name w:val="Tartalomjegyzék_címsora_nmhh Char"/>
    <w:basedOn w:val="TartalomjegyzkcmsoraChar"/>
    <w:link w:val="Tartalomjegyzkcmsoranmhh"/>
    <w:rsid w:val="00087A8F"/>
    <w:rPr>
      <w:rFonts w:asciiTheme="majorHAnsi" w:eastAsiaTheme="majorEastAsia" w:hAnsiTheme="majorHAnsi" w:cstheme="majorBidi"/>
      <w:b/>
      <w:bCs/>
      <w:color w:val="000000" w:themeColor="text2" w:themeShade="BF"/>
      <w:sz w:val="36"/>
      <w:szCs w:val="28"/>
    </w:rPr>
  </w:style>
  <w:style w:type="paragraph" w:customStyle="1" w:styleId="Behzottbekezdsnmhh">
    <w:name w:val="Behúzott_bekezdés_nmhh"/>
    <w:basedOn w:val="Norml"/>
    <w:link w:val="BehzottbekezdsnmhhChar"/>
    <w:qFormat/>
    <w:rsid w:val="00CB2F81"/>
    <w:pPr>
      <w:ind w:firstLine="357"/>
    </w:pPr>
    <w:rPr>
      <w:sz w:val="20"/>
      <w:szCs w:val="20"/>
    </w:rPr>
  </w:style>
  <w:style w:type="character" w:customStyle="1" w:styleId="BekezdsnmhhChar">
    <w:name w:val="Bekezdés_nmhh Char"/>
    <w:basedOn w:val="Bekezdsalapbettpusa"/>
    <w:link w:val="Bekezdsnmhh"/>
    <w:rsid w:val="00DA31F6"/>
    <w:rPr>
      <w:sz w:val="20"/>
      <w:szCs w:val="20"/>
    </w:rPr>
  </w:style>
  <w:style w:type="paragraph" w:customStyle="1" w:styleId="Felsorolsbekezdsnmhh">
    <w:name w:val="Felsorolás_bekezdés_nmhh"/>
    <w:basedOn w:val="Norml"/>
    <w:qFormat/>
    <w:rsid w:val="00CB2F81"/>
    <w:pPr>
      <w:ind w:left="709"/>
    </w:pPr>
    <w:rPr>
      <w:sz w:val="20"/>
      <w:szCs w:val="20"/>
    </w:rPr>
  </w:style>
  <w:style w:type="character" w:customStyle="1" w:styleId="BehzottbekezdsnmhhChar">
    <w:name w:val="Behúzott_bekezdés_nmhh Char"/>
    <w:basedOn w:val="Bekezdsalapbettpusa"/>
    <w:link w:val="Behzottbekezdsnmhh"/>
    <w:rsid w:val="00CB2F81"/>
    <w:rPr>
      <w:sz w:val="20"/>
      <w:szCs w:val="20"/>
    </w:rPr>
  </w:style>
  <w:style w:type="paragraph" w:customStyle="1" w:styleId="Felsorolsnmhh">
    <w:name w:val="Felsorolás_nmhh"/>
    <w:basedOn w:val="Listaszerbekezds"/>
    <w:link w:val="FelsorolsnmhhChar"/>
    <w:qFormat/>
    <w:rsid w:val="00CB2F81"/>
    <w:pPr>
      <w:numPr>
        <w:numId w:val="2"/>
      </w:numPr>
      <w:ind w:left="714" w:hanging="357"/>
    </w:pPr>
    <w:rPr>
      <w:b/>
      <w:sz w:val="20"/>
      <w:szCs w:val="20"/>
    </w:rPr>
  </w:style>
  <w:style w:type="paragraph" w:customStyle="1" w:styleId="Felsorols1nmhh">
    <w:name w:val="Felsorolás1_nmhh"/>
    <w:basedOn w:val="Listaszerbekezds"/>
    <w:link w:val="Felsorols1nmhhChar"/>
    <w:qFormat/>
    <w:rsid w:val="002B2A3F"/>
    <w:pPr>
      <w:numPr>
        <w:numId w:val="4"/>
      </w:numPr>
      <w:ind w:left="357" w:hanging="357"/>
      <w:contextualSpacing w:val="0"/>
    </w:pPr>
    <w:rPr>
      <w:b/>
      <w:sz w:val="20"/>
      <w:szCs w:val="20"/>
    </w:rPr>
  </w:style>
  <w:style w:type="character" w:customStyle="1" w:styleId="ListaszerbekezdsChar">
    <w:name w:val="Listaszerű bekezdés Char"/>
    <w:aliases w:val="List Bullet Char"/>
    <w:basedOn w:val="Bekezdsalapbettpusa"/>
    <w:link w:val="Listaszerbekezds"/>
    <w:uiPriority w:val="34"/>
    <w:rsid w:val="00CB2F81"/>
  </w:style>
  <w:style w:type="character" w:customStyle="1" w:styleId="FelsorolsnmhhChar">
    <w:name w:val="Felsorolás_nmhh Char"/>
    <w:basedOn w:val="ListaszerbekezdsChar"/>
    <w:link w:val="Felsorolsnmhh"/>
    <w:rsid w:val="00CB2F81"/>
    <w:rPr>
      <w:b/>
      <w:sz w:val="20"/>
      <w:szCs w:val="20"/>
    </w:rPr>
  </w:style>
  <w:style w:type="character" w:customStyle="1" w:styleId="Cmsor5Char">
    <w:name w:val="Címsor 5 Char"/>
    <w:basedOn w:val="Bekezdsalapbettpusa"/>
    <w:link w:val="Cmsor5"/>
    <w:rsid w:val="007D7C2E"/>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rsid w:val="00AD08FA"/>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9"/>
    <w:rsid w:val="00AD08FA"/>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rsid w:val="00AD08FA"/>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rsid w:val="00AD08FA"/>
    <w:rPr>
      <w:rFonts w:asciiTheme="majorHAnsi" w:eastAsiaTheme="majorEastAsia" w:hAnsiTheme="majorHAnsi" w:cstheme="majorBidi"/>
      <w:i/>
      <w:iCs/>
      <w:color w:val="404040" w:themeColor="text1" w:themeTint="BF"/>
      <w:sz w:val="20"/>
      <w:szCs w:val="20"/>
    </w:rPr>
  </w:style>
  <w:style w:type="paragraph" w:styleId="Kpalrs">
    <w:name w:val="caption"/>
    <w:basedOn w:val="Norml"/>
    <w:next w:val="Norml"/>
    <w:link w:val="KpalrsChar"/>
    <w:uiPriority w:val="35"/>
    <w:unhideWhenUsed/>
    <w:qFormat/>
    <w:rsid w:val="00AD08FA"/>
    <w:pPr>
      <w:spacing w:line="240" w:lineRule="auto"/>
    </w:pPr>
    <w:rPr>
      <w:b/>
      <w:bCs/>
      <w:color w:val="4F81BD" w:themeColor="accent1"/>
      <w:sz w:val="18"/>
      <w:szCs w:val="18"/>
    </w:rPr>
  </w:style>
  <w:style w:type="paragraph" w:customStyle="1" w:styleId="Felsorols2nmhh">
    <w:name w:val="Felsorolás2_nmhh"/>
    <w:basedOn w:val="Listaszerbekezds"/>
    <w:link w:val="Felsorols2nmhhChar"/>
    <w:qFormat/>
    <w:rsid w:val="002B2A3F"/>
    <w:pPr>
      <w:numPr>
        <w:numId w:val="3"/>
      </w:numPr>
      <w:ind w:left="357" w:hanging="357"/>
    </w:pPr>
    <w:rPr>
      <w:b/>
      <w:sz w:val="20"/>
      <w:szCs w:val="20"/>
    </w:rPr>
  </w:style>
  <w:style w:type="character" w:customStyle="1" w:styleId="Felsorols1nmhhChar">
    <w:name w:val="Felsorolás1_nmhh Char"/>
    <w:basedOn w:val="ListaszerbekezdsChar"/>
    <w:link w:val="Felsorols1nmhh"/>
    <w:rsid w:val="002B2A3F"/>
    <w:rPr>
      <w:b/>
      <w:sz w:val="20"/>
      <w:szCs w:val="20"/>
    </w:rPr>
  </w:style>
  <w:style w:type="paragraph" w:customStyle="1" w:styleId="Lista1nmhh">
    <w:name w:val="Lista1_nmhh"/>
    <w:basedOn w:val="Listaszerbekezds"/>
    <w:link w:val="Lista1nmhhChar"/>
    <w:qFormat/>
    <w:rsid w:val="002B2A3F"/>
    <w:pPr>
      <w:spacing w:after="0"/>
      <w:ind w:left="0"/>
    </w:pPr>
    <w:rPr>
      <w:sz w:val="20"/>
      <w:szCs w:val="20"/>
    </w:rPr>
  </w:style>
  <w:style w:type="character" w:customStyle="1" w:styleId="Felsorols2nmhhChar">
    <w:name w:val="Felsorolás2_nmhh Char"/>
    <w:basedOn w:val="ListaszerbekezdsChar"/>
    <w:link w:val="Felsorols2nmhh"/>
    <w:rsid w:val="002B2A3F"/>
    <w:rPr>
      <w:b/>
      <w:sz w:val="20"/>
      <w:szCs w:val="20"/>
    </w:rPr>
  </w:style>
  <w:style w:type="paragraph" w:customStyle="1" w:styleId="Lista2nmhh">
    <w:name w:val="Lista2_nmhh"/>
    <w:basedOn w:val="Listaszerbekezds"/>
    <w:link w:val="Lista2nmhhChar"/>
    <w:qFormat/>
    <w:rsid w:val="002B2A3F"/>
    <w:pPr>
      <w:numPr>
        <w:numId w:val="6"/>
      </w:numPr>
      <w:spacing w:after="0"/>
    </w:pPr>
    <w:rPr>
      <w:sz w:val="20"/>
      <w:szCs w:val="20"/>
    </w:rPr>
  </w:style>
  <w:style w:type="character" w:customStyle="1" w:styleId="Lista1nmhhChar">
    <w:name w:val="Lista1_nmhh Char"/>
    <w:basedOn w:val="ListaszerbekezdsChar"/>
    <w:link w:val="Lista1nmhh"/>
    <w:rsid w:val="002B2A3F"/>
    <w:rPr>
      <w:sz w:val="20"/>
      <w:szCs w:val="20"/>
    </w:rPr>
  </w:style>
  <w:style w:type="paragraph" w:customStyle="1" w:styleId="Cmsorszmozatlannmhh">
    <w:name w:val="Címsor_számozatlan_nmhh"/>
    <w:basedOn w:val="Norml"/>
    <w:next w:val="Behzottbekezdsnmhh"/>
    <w:link w:val="CmsorszmozatlannmhhChar"/>
    <w:qFormat/>
    <w:rsid w:val="002B2A3F"/>
    <w:pPr>
      <w:pageBreakBefore/>
      <w:tabs>
        <w:tab w:val="left" w:pos="6564"/>
      </w:tabs>
      <w:spacing w:after="240"/>
      <w:jc w:val="left"/>
    </w:pPr>
    <w:rPr>
      <w:rFonts w:asciiTheme="majorHAnsi" w:hAnsiTheme="majorHAnsi" w:cstheme="majorHAnsi"/>
      <w:b/>
      <w:sz w:val="36"/>
      <w:szCs w:val="36"/>
    </w:rPr>
  </w:style>
  <w:style w:type="character" w:customStyle="1" w:styleId="Lista2nmhhChar">
    <w:name w:val="Lista2_nmhh Char"/>
    <w:basedOn w:val="ListaszerbekezdsChar"/>
    <w:link w:val="Lista2nmhh"/>
    <w:rsid w:val="002B2A3F"/>
    <w:rPr>
      <w:sz w:val="20"/>
      <w:szCs w:val="20"/>
    </w:rPr>
  </w:style>
  <w:style w:type="paragraph" w:customStyle="1" w:styleId="Cmsor1szmozottnmhh">
    <w:name w:val="Címsor1_számozott_nmhh"/>
    <w:basedOn w:val="Listaszerbekezds"/>
    <w:next w:val="Behzottbekezdsnmhh"/>
    <w:link w:val="Cmsor1szmozottnmhhChar"/>
    <w:qFormat/>
    <w:rsid w:val="002B2A3F"/>
    <w:pPr>
      <w:pageBreakBefore/>
      <w:numPr>
        <w:numId w:val="5"/>
      </w:numPr>
      <w:spacing w:after="240"/>
      <w:contextualSpacing w:val="0"/>
      <w:jc w:val="left"/>
      <w:outlineLvl w:val="0"/>
    </w:pPr>
    <w:rPr>
      <w:rFonts w:asciiTheme="majorHAnsi" w:hAnsiTheme="majorHAnsi" w:cstheme="majorHAnsi"/>
      <w:b/>
      <w:sz w:val="36"/>
      <w:szCs w:val="36"/>
    </w:rPr>
  </w:style>
  <w:style w:type="character" w:customStyle="1" w:styleId="CmsorszmozatlannmhhChar">
    <w:name w:val="Címsor_számozatlan_nmhh Char"/>
    <w:basedOn w:val="Bekezdsalapbettpusa"/>
    <w:link w:val="Cmsorszmozatlannmhh"/>
    <w:rsid w:val="002B2A3F"/>
    <w:rPr>
      <w:rFonts w:asciiTheme="majorHAnsi" w:hAnsiTheme="majorHAnsi" w:cstheme="majorHAnsi"/>
      <w:b/>
      <w:sz w:val="36"/>
      <w:szCs w:val="36"/>
    </w:rPr>
  </w:style>
  <w:style w:type="paragraph" w:customStyle="1" w:styleId="Cmsor2szmozottnmhh">
    <w:name w:val="Címsor2_számozott_nmhh"/>
    <w:basedOn w:val="Listaszerbekezds"/>
    <w:next w:val="Behzottbekezdsnmhh"/>
    <w:link w:val="Cmsor2szmozottnmhhChar"/>
    <w:qFormat/>
    <w:rsid w:val="002B2A3F"/>
    <w:pPr>
      <w:numPr>
        <w:ilvl w:val="1"/>
        <w:numId w:val="5"/>
      </w:numPr>
      <w:spacing w:after="240"/>
      <w:ind w:left="576"/>
      <w:contextualSpacing w:val="0"/>
      <w:jc w:val="left"/>
      <w:outlineLvl w:val="1"/>
    </w:pPr>
    <w:rPr>
      <w:rFonts w:asciiTheme="majorHAnsi" w:hAnsiTheme="majorHAnsi" w:cstheme="majorHAnsi"/>
      <w:b/>
      <w:sz w:val="32"/>
      <w:szCs w:val="32"/>
    </w:rPr>
  </w:style>
  <w:style w:type="character" w:customStyle="1" w:styleId="Cmsor1szmozottnmhhChar">
    <w:name w:val="Címsor1_számozott_nmhh Char"/>
    <w:basedOn w:val="ListaszerbekezdsChar"/>
    <w:link w:val="Cmsor1szmozottnmhh"/>
    <w:rsid w:val="002B2A3F"/>
    <w:rPr>
      <w:rFonts w:asciiTheme="majorHAnsi" w:hAnsiTheme="majorHAnsi" w:cstheme="majorHAnsi"/>
      <w:b/>
      <w:sz w:val="36"/>
      <w:szCs w:val="36"/>
    </w:rPr>
  </w:style>
  <w:style w:type="paragraph" w:customStyle="1" w:styleId="Cmsor3szmozottnmhh">
    <w:name w:val="Címsor3_számozott_nmhh"/>
    <w:basedOn w:val="Listaszerbekezds"/>
    <w:next w:val="Behzottbekezdsnmhh"/>
    <w:link w:val="Cmsor3szmozottnmhhChar"/>
    <w:qFormat/>
    <w:rsid w:val="002B2A3F"/>
    <w:pPr>
      <w:numPr>
        <w:ilvl w:val="2"/>
        <w:numId w:val="5"/>
      </w:numPr>
      <w:spacing w:after="240"/>
      <w:contextualSpacing w:val="0"/>
      <w:jc w:val="left"/>
      <w:outlineLvl w:val="2"/>
    </w:pPr>
    <w:rPr>
      <w:rFonts w:asciiTheme="majorHAnsi" w:hAnsiTheme="majorHAnsi" w:cstheme="majorHAnsi"/>
      <w:b/>
      <w:sz w:val="28"/>
      <w:szCs w:val="28"/>
    </w:rPr>
  </w:style>
  <w:style w:type="character" w:customStyle="1" w:styleId="Cmsor2szmozottnmhhChar">
    <w:name w:val="Címsor2_számozott_nmhh Char"/>
    <w:basedOn w:val="ListaszerbekezdsChar"/>
    <w:link w:val="Cmsor2szmozottnmhh"/>
    <w:rsid w:val="002B2A3F"/>
    <w:rPr>
      <w:rFonts w:asciiTheme="majorHAnsi" w:hAnsiTheme="majorHAnsi" w:cstheme="majorHAnsi"/>
      <w:b/>
      <w:sz w:val="32"/>
      <w:szCs w:val="32"/>
    </w:rPr>
  </w:style>
  <w:style w:type="paragraph" w:customStyle="1" w:styleId="Cmsor4szmozottnmhh">
    <w:name w:val="Címsor4_számozott_nmhh"/>
    <w:basedOn w:val="Listaszerbekezds"/>
    <w:next w:val="Behzottbekezdsnmhh"/>
    <w:link w:val="Cmsor4szmozottnmhhChar"/>
    <w:qFormat/>
    <w:rsid w:val="002B2A3F"/>
    <w:pPr>
      <w:numPr>
        <w:ilvl w:val="3"/>
        <w:numId w:val="5"/>
      </w:numPr>
      <w:spacing w:after="240"/>
      <w:contextualSpacing w:val="0"/>
      <w:jc w:val="left"/>
      <w:outlineLvl w:val="3"/>
    </w:pPr>
    <w:rPr>
      <w:rFonts w:asciiTheme="majorHAnsi" w:hAnsiTheme="majorHAnsi" w:cstheme="majorHAnsi"/>
      <w:b/>
      <w:sz w:val="24"/>
      <w:szCs w:val="24"/>
    </w:rPr>
  </w:style>
  <w:style w:type="character" w:customStyle="1" w:styleId="Cmsor3szmozottnmhhChar">
    <w:name w:val="Címsor3_számozott_nmhh Char"/>
    <w:basedOn w:val="ListaszerbekezdsChar"/>
    <w:link w:val="Cmsor3szmozottnmhh"/>
    <w:rsid w:val="002B2A3F"/>
    <w:rPr>
      <w:rFonts w:asciiTheme="majorHAnsi" w:hAnsiTheme="majorHAnsi" w:cstheme="majorHAnsi"/>
      <w:b/>
      <w:sz w:val="28"/>
      <w:szCs w:val="28"/>
    </w:rPr>
  </w:style>
  <w:style w:type="paragraph" w:customStyle="1" w:styleId="Irodalomjegyzkfelsorolsnmhh">
    <w:name w:val="Irodalomjegyzék_felsorolás_nmhh"/>
    <w:basedOn w:val="Bekezdsnmhh"/>
    <w:link w:val="IrodalomjegyzkfelsorolsnmhhChar"/>
    <w:qFormat/>
    <w:rsid w:val="0018360B"/>
    <w:pPr>
      <w:numPr>
        <w:numId w:val="7"/>
      </w:numPr>
      <w:jc w:val="left"/>
    </w:pPr>
  </w:style>
  <w:style w:type="character" w:customStyle="1" w:styleId="Cmsor4szmozottnmhhChar">
    <w:name w:val="Címsor4_számozott_nmhh Char"/>
    <w:basedOn w:val="ListaszerbekezdsChar"/>
    <w:link w:val="Cmsor4szmozottnmhh"/>
    <w:rsid w:val="002B2A3F"/>
    <w:rPr>
      <w:rFonts w:asciiTheme="majorHAnsi" w:hAnsiTheme="majorHAnsi" w:cstheme="majorHAnsi"/>
      <w:b/>
      <w:sz w:val="24"/>
      <w:szCs w:val="24"/>
    </w:rPr>
  </w:style>
  <w:style w:type="paragraph" w:styleId="TJ1">
    <w:name w:val="toc 1"/>
    <w:basedOn w:val="Norml"/>
    <w:next w:val="Norml"/>
    <w:autoRedefine/>
    <w:uiPriority w:val="39"/>
    <w:unhideWhenUsed/>
    <w:rsid w:val="0018360B"/>
    <w:pPr>
      <w:spacing w:after="100"/>
    </w:pPr>
  </w:style>
  <w:style w:type="character" w:customStyle="1" w:styleId="IrodalomjegyzkfelsorolsnmhhChar">
    <w:name w:val="Irodalomjegyzék_felsorolás_nmhh Char"/>
    <w:basedOn w:val="BekezdsnmhhChar"/>
    <w:link w:val="Irodalomjegyzkfelsorolsnmhh"/>
    <w:rsid w:val="0018360B"/>
    <w:rPr>
      <w:sz w:val="20"/>
      <w:szCs w:val="20"/>
    </w:rPr>
  </w:style>
  <w:style w:type="character" w:customStyle="1" w:styleId="Cmsor2Char">
    <w:name w:val="Címsor 2 Char"/>
    <w:basedOn w:val="Bekezdsalapbettpusa"/>
    <w:link w:val="Cmsor2"/>
    <w:uiPriority w:val="9"/>
    <w:semiHidden/>
    <w:rsid w:val="00AD08FA"/>
    <w:rPr>
      <w:rFonts w:asciiTheme="majorHAnsi" w:eastAsiaTheme="majorEastAsia" w:hAnsiTheme="majorHAnsi" w:cstheme="majorBidi"/>
      <w:b/>
      <w:bCs/>
      <w:color w:val="666666" w:themeColor="text2" w:themeTint="99"/>
      <w:sz w:val="28"/>
      <w:szCs w:val="26"/>
    </w:rPr>
  </w:style>
  <w:style w:type="character" w:customStyle="1" w:styleId="Cmsor3Char">
    <w:name w:val="Címsor 3 Char"/>
    <w:basedOn w:val="Bekezdsalapbettpusa"/>
    <w:link w:val="Cmsor3"/>
    <w:uiPriority w:val="9"/>
    <w:semiHidden/>
    <w:rsid w:val="00AD08FA"/>
    <w:rPr>
      <w:rFonts w:asciiTheme="majorHAnsi" w:eastAsiaTheme="majorEastAsia" w:hAnsiTheme="majorHAnsi" w:cstheme="majorBidi"/>
      <w:b/>
      <w:bCs/>
      <w:color w:val="999999" w:themeColor="text2" w:themeTint="66"/>
      <w:sz w:val="24"/>
    </w:rPr>
  </w:style>
  <w:style w:type="character" w:customStyle="1" w:styleId="Cmsor4Char">
    <w:name w:val="Címsor 4 Char"/>
    <w:basedOn w:val="Bekezdsalapbettpusa"/>
    <w:link w:val="Cmsor4"/>
    <w:uiPriority w:val="9"/>
    <w:semiHidden/>
    <w:rsid w:val="00AD08FA"/>
    <w:rPr>
      <w:rFonts w:asciiTheme="majorHAnsi" w:eastAsiaTheme="majorEastAsia" w:hAnsiTheme="majorHAnsi" w:cstheme="majorBidi"/>
      <w:b/>
      <w:bCs/>
      <w:iCs/>
      <w:color w:val="CCCCCC" w:themeColor="text2" w:themeTint="33"/>
    </w:rPr>
  </w:style>
  <w:style w:type="paragraph" w:styleId="TJ2">
    <w:name w:val="toc 2"/>
    <w:basedOn w:val="Norml"/>
    <w:next w:val="Norml"/>
    <w:autoRedefine/>
    <w:uiPriority w:val="39"/>
    <w:unhideWhenUsed/>
    <w:rsid w:val="0018360B"/>
    <w:pPr>
      <w:spacing w:after="100"/>
      <w:ind w:left="220"/>
    </w:pPr>
  </w:style>
  <w:style w:type="paragraph" w:styleId="TJ3">
    <w:name w:val="toc 3"/>
    <w:basedOn w:val="Norml"/>
    <w:next w:val="Norml"/>
    <w:autoRedefine/>
    <w:uiPriority w:val="39"/>
    <w:unhideWhenUsed/>
    <w:rsid w:val="0018360B"/>
    <w:pPr>
      <w:spacing w:after="100"/>
      <w:ind w:left="440"/>
    </w:pPr>
  </w:style>
  <w:style w:type="paragraph" w:customStyle="1" w:styleId="BasicParagraph">
    <w:name w:val="[Basic Paragraph]"/>
    <w:basedOn w:val="Norml"/>
    <w:uiPriority w:val="99"/>
    <w:rsid w:val="00AD08FA"/>
    <w:pPr>
      <w:autoSpaceDE w:val="0"/>
      <w:autoSpaceDN w:val="0"/>
      <w:adjustRightInd w:val="0"/>
      <w:spacing w:after="0" w:line="288" w:lineRule="auto"/>
      <w:jc w:val="left"/>
      <w:textAlignment w:val="center"/>
    </w:pPr>
    <w:rPr>
      <w:rFonts w:ascii="Minion Pro" w:hAnsi="Minion Pro" w:cs="Minion Pro"/>
      <w:color w:val="000000"/>
      <w:sz w:val="24"/>
      <w:szCs w:val="24"/>
      <w:lang w:val="en-GB"/>
    </w:rPr>
  </w:style>
  <w:style w:type="paragraph" w:customStyle="1" w:styleId="Style2">
    <w:name w:val="Style2"/>
    <w:basedOn w:val="Norml"/>
    <w:rsid w:val="006F446C"/>
    <w:pPr>
      <w:spacing w:after="240" w:line="720" w:lineRule="exact"/>
      <w:jc w:val="left"/>
    </w:pPr>
    <w:rPr>
      <w:rFonts w:ascii="Arial" w:hAnsi="Arial" w:cstheme="minorBidi"/>
      <w:b/>
      <w:color w:val="911E6C"/>
      <w:sz w:val="60"/>
      <w:szCs w:val="60"/>
    </w:rPr>
  </w:style>
  <w:style w:type="paragraph" w:customStyle="1" w:styleId="Style3">
    <w:name w:val="Style3"/>
    <w:basedOn w:val="Norml"/>
    <w:rsid w:val="00AD08FA"/>
    <w:pPr>
      <w:spacing w:after="160" w:line="440" w:lineRule="exact"/>
      <w:jc w:val="left"/>
    </w:pPr>
    <w:rPr>
      <w:rFonts w:ascii="Arial" w:hAnsi="Arial" w:cstheme="minorBidi"/>
      <w:color w:val="465155"/>
      <w:sz w:val="36"/>
      <w:szCs w:val="36"/>
    </w:rPr>
  </w:style>
  <w:style w:type="table" w:styleId="Rcsostblzat">
    <w:name w:val="Table Grid"/>
    <w:basedOn w:val="Normltblzat"/>
    <w:uiPriority w:val="59"/>
    <w:rsid w:val="00AD0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lyrzszveg">
    <w:name w:val="Placeholder Text"/>
    <w:basedOn w:val="Bekezdsalapbettpusa"/>
    <w:uiPriority w:val="99"/>
    <w:semiHidden/>
    <w:rsid w:val="00AD08FA"/>
    <w:rPr>
      <w:color w:val="808080"/>
    </w:rPr>
  </w:style>
  <w:style w:type="character" w:styleId="Hiperhivatkozs">
    <w:name w:val="Hyperlink"/>
    <w:basedOn w:val="Bekezdsalapbettpusa"/>
    <w:uiPriority w:val="99"/>
    <w:unhideWhenUsed/>
    <w:rsid w:val="00AD08FA"/>
    <w:rPr>
      <w:color w:val="0000FF" w:themeColor="hyperlink"/>
      <w:u w:val="single"/>
    </w:rPr>
  </w:style>
  <w:style w:type="paragraph" w:styleId="Buborkszveg">
    <w:name w:val="Balloon Text"/>
    <w:basedOn w:val="Norml"/>
    <w:link w:val="BuborkszvegChar"/>
    <w:uiPriority w:val="99"/>
    <w:semiHidden/>
    <w:unhideWhenUsed/>
    <w:rsid w:val="00AD08F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D08FA"/>
    <w:rPr>
      <w:rFonts w:ascii="Tahoma" w:hAnsi="Tahoma" w:cs="Tahoma"/>
      <w:sz w:val="16"/>
      <w:szCs w:val="16"/>
    </w:rPr>
  </w:style>
  <w:style w:type="paragraph" w:customStyle="1" w:styleId="fnot1">
    <w:name w:val="fnot1"/>
    <w:basedOn w:val="Norml"/>
    <w:rsid w:val="0020657B"/>
    <w:pPr>
      <w:spacing w:after="0" w:line="180" w:lineRule="atLeast"/>
      <w:jc w:val="left"/>
    </w:pPr>
    <w:rPr>
      <w:rFonts w:ascii="Arial" w:eastAsia="Times New Roman" w:hAnsi="Arial" w:cs="Times New Roman"/>
      <w:sz w:val="14"/>
      <w:szCs w:val="20"/>
    </w:rPr>
  </w:style>
  <w:style w:type="paragraph" w:customStyle="1" w:styleId="fnot3">
    <w:name w:val="fnot3"/>
    <w:basedOn w:val="fnot1"/>
    <w:rsid w:val="0020657B"/>
    <w:pPr>
      <w:ind w:left="2007"/>
    </w:pPr>
  </w:style>
  <w:style w:type="character" w:customStyle="1" w:styleId="fr">
    <w:name w:val="fr"/>
    <w:basedOn w:val="Bekezdsalapbettpusa"/>
    <w:rsid w:val="0020657B"/>
    <w:rPr>
      <w:b/>
    </w:rPr>
  </w:style>
  <w:style w:type="paragraph" w:customStyle="1" w:styleId="fr1or2">
    <w:name w:val="fr1or2"/>
    <w:basedOn w:val="serv1"/>
    <w:rsid w:val="0020657B"/>
    <w:rPr>
      <w:b/>
    </w:rPr>
  </w:style>
  <w:style w:type="paragraph" w:customStyle="1" w:styleId="frserv3">
    <w:name w:val="frserv3"/>
    <w:basedOn w:val="fnot1"/>
    <w:rsid w:val="0020657B"/>
    <w:pPr>
      <w:tabs>
        <w:tab w:val="left" w:pos="2007"/>
      </w:tabs>
      <w:ind w:left="2121" w:hanging="2121"/>
    </w:pPr>
  </w:style>
  <w:style w:type="paragraph" w:customStyle="1" w:styleId="serv1">
    <w:name w:val="serv1"/>
    <w:basedOn w:val="fnot1"/>
    <w:rsid w:val="0020657B"/>
    <w:pPr>
      <w:ind w:left="113" w:hanging="113"/>
    </w:pPr>
  </w:style>
  <w:style w:type="paragraph" w:customStyle="1" w:styleId="serv2">
    <w:name w:val="serv2"/>
    <w:basedOn w:val="Norml"/>
    <w:rsid w:val="0020657B"/>
    <w:pPr>
      <w:spacing w:after="0" w:line="180" w:lineRule="atLeast"/>
      <w:ind w:left="567" w:hanging="113"/>
      <w:jc w:val="left"/>
    </w:pPr>
    <w:rPr>
      <w:rFonts w:ascii="Arial" w:eastAsia="Times New Roman" w:hAnsi="Arial" w:cs="Times New Roman"/>
      <w:sz w:val="14"/>
      <w:szCs w:val="20"/>
    </w:rPr>
  </w:style>
  <w:style w:type="paragraph" w:customStyle="1" w:styleId="serv3">
    <w:name w:val="serv3"/>
    <w:basedOn w:val="fnot3"/>
    <w:rsid w:val="0020657B"/>
    <w:pPr>
      <w:ind w:left="2120" w:hanging="113"/>
    </w:pPr>
  </w:style>
  <w:style w:type="paragraph" w:customStyle="1" w:styleId="frthead">
    <w:name w:val="frthead"/>
    <w:basedOn w:val="fnot1"/>
    <w:rsid w:val="0020657B"/>
    <w:pPr>
      <w:jc w:val="center"/>
    </w:pPr>
  </w:style>
  <w:style w:type="character" w:customStyle="1" w:styleId="Artdef">
    <w:name w:val="Art_def"/>
    <w:basedOn w:val="Bekezdsalapbettpusa"/>
    <w:rsid w:val="0020657B"/>
    <w:rPr>
      <w:b/>
      <w:color w:val="FFCC00"/>
    </w:rPr>
  </w:style>
  <w:style w:type="paragraph" w:styleId="Lbjegyzetszveg">
    <w:name w:val="footnote text"/>
    <w:aliases w:val=" Char,Char,DNV-FT Char,DNV-FT,DNV-FT Char Char Char,Char1,Footnote Text Char Char1,Footnote Text Char4 Char Char,Footnote Text Char1 Char1 Char1 Char,Footnote Text Char Char1 Char1 Char Char,ABA Footnote Text,DNV-,ALTS FOOTNOTE Char"/>
    <w:basedOn w:val="Norml"/>
    <w:link w:val="LbjegyzetszvegChar"/>
    <w:uiPriority w:val="99"/>
    <w:unhideWhenUsed/>
    <w:qFormat/>
    <w:rsid w:val="00B92822"/>
    <w:pPr>
      <w:spacing w:after="0" w:line="240" w:lineRule="auto"/>
      <w:jc w:val="left"/>
    </w:pPr>
    <w:rPr>
      <w:rFonts w:cstheme="minorBidi"/>
      <w:sz w:val="20"/>
      <w:szCs w:val="20"/>
    </w:rPr>
  </w:style>
  <w:style w:type="character" w:customStyle="1" w:styleId="LbjegyzetszvegChar">
    <w:name w:val="Lábjegyzetszöveg Char"/>
    <w:aliases w:val=" Char Char,Char Char,DNV-FT Char Char,DNV-FT Char1,DNV-FT Char Char Char Char,Char1 Char,Footnote Text Char Char1 Char,Footnote Text Char4 Char Char Char,Footnote Text Char1 Char1 Char1 Char Char,ABA Footnote Text Char,DNV- Char"/>
    <w:basedOn w:val="Bekezdsalapbettpusa"/>
    <w:link w:val="Lbjegyzetszveg"/>
    <w:uiPriority w:val="99"/>
    <w:rsid w:val="00B92822"/>
    <w:rPr>
      <w:rFonts w:cstheme="minorBidi"/>
      <w:sz w:val="20"/>
      <w:szCs w:val="20"/>
    </w:rPr>
  </w:style>
  <w:style w:type="character" w:styleId="Lbjegyzet-hivatkozs">
    <w:name w:val="footnote reference"/>
    <w:aliases w:val="Footnote symbol,Footnote,Nota,Footnote Reference/,Appel note de bas de p,Style 12,(NECG) Footnote Reference,Style 124,o,Style 13,FR,Style 17,Style 3,Appel note de bas de p + 11 pt,Italic,Appel note de bas de p1,Times 10 Point"/>
    <w:basedOn w:val="Bekezdsalapbettpusa"/>
    <w:uiPriority w:val="99"/>
    <w:unhideWhenUsed/>
    <w:rsid w:val="00B92822"/>
    <w:rPr>
      <w:vertAlign w:val="superscript"/>
    </w:rPr>
  </w:style>
  <w:style w:type="character" w:customStyle="1" w:styleId="KpalrsChar">
    <w:name w:val="Képaláírás Char"/>
    <w:basedOn w:val="Bekezdsalapbettpusa"/>
    <w:link w:val="Kpalrs"/>
    <w:uiPriority w:val="35"/>
    <w:rsid w:val="006963E1"/>
    <w:rPr>
      <w:b/>
      <w:bCs/>
      <w:color w:val="4F81BD" w:themeColor="accent1"/>
      <w:sz w:val="18"/>
      <w:szCs w:val="18"/>
    </w:rPr>
  </w:style>
  <w:style w:type="paragraph" w:customStyle="1" w:styleId="Default">
    <w:name w:val="Default"/>
    <w:rsid w:val="00590CCD"/>
    <w:pPr>
      <w:autoSpaceDE w:val="0"/>
      <w:autoSpaceDN w:val="0"/>
      <w:adjustRightInd w:val="0"/>
      <w:spacing w:after="0" w:line="240" w:lineRule="auto"/>
    </w:pPr>
    <w:rPr>
      <w:rFonts w:ascii="EUAlbertina" w:hAnsi="EUAlbertina" w:cs="EUAlbertina"/>
      <w:color w:val="000000"/>
      <w:sz w:val="24"/>
      <w:szCs w:val="24"/>
    </w:rPr>
  </w:style>
  <w:style w:type="paragraph" w:styleId="NormlWeb">
    <w:name w:val="Normal (Web)"/>
    <w:basedOn w:val="Norml"/>
    <w:uiPriority w:val="99"/>
    <w:unhideWhenUsed/>
    <w:rsid w:val="00590CCD"/>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rsid w:val="00BA4836"/>
    <w:pPr>
      <w:spacing w:after="0" w:line="240" w:lineRule="auto"/>
    </w:pPr>
    <w:rPr>
      <w:rFonts w:ascii="Arial" w:eastAsia="Times New Roman" w:hAnsi="Arial" w:cs="Times New Roman"/>
      <w:sz w:val="24"/>
      <w:szCs w:val="20"/>
    </w:rPr>
  </w:style>
  <w:style w:type="character" w:customStyle="1" w:styleId="SzvegtrzsChar">
    <w:name w:val="Szövegtörzs Char"/>
    <w:basedOn w:val="Bekezdsalapbettpusa"/>
    <w:link w:val="Szvegtrzs"/>
    <w:uiPriority w:val="99"/>
    <w:rsid w:val="00BA4836"/>
    <w:rPr>
      <w:rFonts w:ascii="Arial" w:eastAsia="Times New Roman" w:hAnsi="Arial" w:cs="Times New Roman"/>
      <w:sz w:val="24"/>
      <w:szCs w:val="20"/>
    </w:rPr>
  </w:style>
  <w:style w:type="paragraph" w:styleId="Szvegtrzs3">
    <w:name w:val="Body Text 3"/>
    <w:basedOn w:val="Norml"/>
    <w:link w:val="Szvegtrzs3Char"/>
    <w:unhideWhenUsed/>
    <w:rsid w:val="00660B07"/>
    <w:rPr>
      <w:sz w:val="16"/>
      <w:szCs w:val="16"/>
    </w:rPr>
  </w:style>
  <w:style w:type="character" w:customStyle="1" w:styleId="Szvegtrzs3Char">
    <w:name w:val="Szövegtörzs 3 Char"/>
    <w:basedOn w:val="Bekezdsalapbettpusa"/>
    <w:link w:val="Szvegtrzs3"/>
    <w:rsid w:val="00660B07"/>
    <w:rPr>
      <w:sz w:val="16"/>
      <w:szCs w:val="16"/>
    </w:rPr>
  </w:style>
  <w:style w:type="paragraph" w:customStyle="1" w:styleId="Szoveg">
    <w:name w:val="Szoveg"/>
    <w:basedOn w:val="Norml"/>
    <w:qFormat/>
    <w:rsid w:val="00F33341"/>
    <w:pPr>
      <w:spacing w:before="60" w:after="60"/>
    </w:pPr>
    <w:rPr>
      <w:rFonts w:ascii="Times New Roman" w:eastAsia="Times New Roman" w:hAnsi="Times New Roman" w:cs="Times New Roman"/>
      <w:noProof/>
      <w:sz w:val="24"/>
      <w:szCs w:val="20"/>
    </w:rPr>
  </w:style>
  <w:style w:type="character" w:styleId="Mrltotthiperhivatkozs">
    <w:name w:val="FollowedHyperlink"/>
    <w:basedOn w:val="Bekezdsalapbettpusa"/>
    <w:uiPriority w:val="99"/>
    <w:semiHidden/>
    <w:unhideWhenUsed/>
    <w:rsid w:val="00382326"/>
    <w:rPr>
      <w:color w:val="800080" w:themeColor="followedHyperlink"/>
      <w:u w:val="single"/>
    </w:rPr>
  </w:style>
  <w:style w:type="paragraph" w:styleId="z-Akrdvteteje">
    <w:name w:val="HTML Top of Form"/>
    <w:basedOn w:val="Norml"/>
    <w:next w:val="Norml"/>
    <w:link w:val="z-AkrdvtetejeChar"/>
    <w:hidden/>
    <w:uiPriority w:val="99"/>
    <w:semiHidden/>
    <w:unhideWhenUsed/>
    <w:rsid w:val="005971DE"/>
    <w:pPr>
      <w:pBdr>
        <w:bottom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tetejeChar">
    <w:name w:val="z-A kérdőív teteje Char"/>
    <w:basedOn w:val="Bekezdsalapbettpusa"/>
    <w:link w:val="z-Akrdvteteje"/>
    <w:uiPriority w:val="99"/>
    <w:semiHidden/>
    <w:rsid w:val="005971DE"/>
    <w:rPr>
      <w:rFonts w:ascii="Arial" w:eastAsia="Times New Roman" w:hAnsi="Arial" w:cs="Arial"/>
      <w:vanish/>
      <w:sz w:val="16"/>
      <w:szCs w:val="16"/>
      <w:lang w:eastAsia="hu-HU"/>
    </w:rPr>
  </w:style>
  <w:style w:type="paragraph" w:styleId="z-Akrdvalja">
    <w:name w:val="HTML Bottom of Form"/>
    <w:basedOn w:val="Norml"/>
    <w:next w:val="Norml"/>
    <w:link w:val="z-AkrdvaljaChar"/>
    <w:hidden/>
    <w:uiPriority w:val="99"/>
    <w:semiHidden/>
    <w:unhideWhenUsed/>
    <w:rsid w:val="005971DE"/>
    <w:pPr>
      <w:pBdr>
        <w:top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aljaChar">
    <w:name w:val="z-A kérdőív alja Char"/>
    <w:basedOn w:val="Bekezdsalapbettpusa"/>
    <w:link w:val="z-Akrdvalja"/>
    <w:uiPriority w:val="99"/>
    <w:semiHidden/>
    <w:rsid w:val="005971DE"/>
    <w:rPr>
      <w:rFonts w:ascii="Arial" w:eastAsia="Times New Roman" w:hAnsi="Arial" w:cs="Arial"/>
      <w:vanish/>
      <w:sz w:val="16"/>
      <w:szCs w:val="16"/>
      <w:lang w:eastAsia="hu-HU"/>
    </w:rPr>
  </w:style>
  <w:style w:type="character" w:customStyle="1" w:styleId="twitter-typeahead3">
    <w:name w:val="twitter-typeahead3"/>
    <w:basedOn w:val="Bekezdsalapbettpusa"/>
    <w:rsid w:val="005971DE"/>
  </w:style>
  <w:style w:type="character" w:customStyle="1" w:styleId="mw-cite-backlink">
    <w:name w:val="mw-cite-backlink"/>
    <w:basedOn w:val="Bekezdsalapbettpusa"/>
    <w:rsid w:val="00615CDA"/>
  </w:style>
  <w:style w:type="character" w:customStyle="1" w:styleId="cite-accessibility-label1">
    <w:name w:val="cite-accessibility-label1"/>
    <w:basedOn w:val="Bekezdsalapbettpusa"/>
    <w:rsid w:val="00615CDA"/>
    <w:rPr>
      <w:bdr w:val="none" w:sz="0" w:space="0" w:color="auto" w:frame="1"/>
    </w:rPr>
  </w:style>
  <w:style w:type="character" w:customStyle="1" w:styleId="reference-text">
    <w:name w:val="reference-text"/>
    <w:basedOn w:val="Bekezdsalapbettpusa"/>
    <w:rsid w:val="00615CDA"/>
  </w:style>
  <w:style w:type="character" w:styleId="Kiemels">
    <w:name w:val="Emphasis"/>
    <w:basedOn w:val="Bekezdsalapbettpusa"/>
    <w:uiPriority w:val="20"/>
    <w:qFormat/>
    <w:rsid w:val="00A42EE6"/>
    <w:rPr>
      <w:i/>
      <w:iCs/>
    </w:rPr>
  </w:style>
  <w:style w:type="table" w:styleId="Vilgoslista4jellszn">
    <w:name w:val="Light List Accent 4"/>
    <w:basedOn w:val="Normltblzat"/>
    <w:uiPriority w:val="61"/>
    <w:rsid w:val="00662AA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ilgoslista5jellszn">
    <w:name w:val="Light List Accent 5"/>
    <w:basedOn w:val="Normltblzat"/>
    <w:uiPriority w:val="61"/>
    <w:rsid w:val="00662AAD"/>
    <w:pPr>
      <w:spacing w:after="0" w:line="240" w:lineRule="auto"/>
    </w:pPr>
    <w:rPr>
      <w:rFonts w:cstheme="min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Headingi">
    <w:name w:val="Heading_i"/>
    <w:basedOn w:val="Cmsor3"/>
    <w:next w:val="Norml"/>
    <w:qFormat/>
    <w:rsid w:val="004E0EF4"/>
    <w:pPr>
      <w:numPr>
        <w:ilvl w:val="0"/>
        <w:numId w:val="0"/>
      </w:numPr>
      <w:tabs>
        <w:tab w:val="left" w:pos="794"/>
        <w:tab w:val="left" w:pos="1191"/>
        <w:tab w:val="left" w:pos="1588"/>
        <w:tab w:val="left" w:pos="1985"/>
      </w:tabs>
      <w:overflowPunct w:val="0"/>
      <w:autoSpaceDE w:val="0"/>
      <w:autoSpaceDN w:val="0"/>
      <w:adjustRightInd w:val="0"/>
      <w:spacing w:before="160" w:after="0" w:line="240" w:lineRule="auto"/>
      <w:textAlignment w:val="baseline"/>
    </w:pPr>
    <w:rPr>
      <w:rFonts w:ascii="Times New Roman" w:eastAsia="Times New Roman" w:hAnsi="Times New Roman" w:cs="Times New Roman"/>
      <w:b w:val="0"/>
      <w:bCs w:val="0"/>
      <w:i/>
      <w:color w:val="auto"/>
      <w:szCs w:val="20"/>
      <w:lang w:val="fr-FR"/>
    </w:rPr>
  </w:style>
  <w:style w:type="paragraph" w:customStyle="1" w:styleId="Normalaftertitle">
    <w:name w:val="Normal_after_title"/>
    <w:basedOn w:val="Norml"/>
    <w:next w:val="Norml"/>
    <w:rsid w:val="004E0EF4"/>
    <w:pPr>
      <w:tabs>
        <w:tab w:val="left" w:pos="794"/>
        <w:tab w:val="left" w:pos="1191"/>
        <w:tab w:val="left" w:pos="1588"/>
        <w:tab w:val="left" w:pos="1985"/>
      </w:tabs>
      <w:overflowPunct w:val="0"/>
      <w:autoSpaceDE w:val="0"/>
      <w:autoSpaceDN w:val="0"/>
      <w:adjustRightInd w:val="0"/>
      <w:spacing w:before="320" w:after="0" w:line="240" w:lineRule="auto"/>
      <w:textAlignment w:val="baseline"/>
    </w:pPr>
    <w:rPr>
      <w:rFonts w:ascii="Times New Roman" w:eastAsia="Times New Roman" w:hAnsi="Times New Roman" w:cs="Times New Roman"/>
      <w:sz w:val="24"/>
      <w:szCs w:val="20"/>
      <w:lang w:val="fr-FR"/>
    </w:rPr>
  </w:style>
  <w:style w:type="paragraph" w:customStyle="1" w:styleId="Note">
    <w:name w:val="Note"/>
    <w:basedOn w:val="Norml"/>
    <w:rsid w:val="004E0EF4"/>
    <w:pPr>
      <w:overflowPunct w:val="0"/>
      <w:autoSpaceDE w:val="0"/>
      <w:autoSpaceDN w:val="0"/>
      <w:adjustRightInd w:val="0"/>
      <w:spacing w:before="80" w:after="0" w:line="240" w:lineRule="auto"/>
      <w:textAlignment w:val="baseline"/>
    </w:pPr>
    <w:rPr>
      <w:rFonts w:ascii="Times New Roman" w:eastAsia="Times New Roman" w:hAnsi="Times New Roman" w:cs="Times New Roman"/>
      <w:szCs w:val="20"/>
      <w:lang w:val="fr-FR"/>
    </w:rPr>
  </w:style>
  <w:style w:type="paragraph" w:customStyle="1" w:styleId="Tablefin">
    <w:name w:val="Table_fin"/>
    <w:basedOn w:val="Norml"/>
    <w:next w:val="Norml"/>
    <w:rsid w:val="004E0EF4"/>
    <w:pPr>
      <w:tabs>
        <w:tab w:val="left" w:pos="794"/>
        <w:tab w:val="left" w:pos="1191"/>
        <w:tab w:val="left" w:pos="1588"/>
        <w:tab w:val="left" w:pos="198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customStyle="1" w:styleId="Tablehead">
    <w:name w:val="Table_head"/>
    <w:basedOn w:val="Norml"/>
    <w:next w:val="Norml"/>
    <w:link w:val="TableheadChar"/>
    <w:rsid w:val="004E0EF4"/>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pPr>
    <w:rPr>
      <w:rFonts w:ascii="Times New Roman" w:eastAsia="Times New Roman" w:hAnsi="Times New Roman" w:cs="Times New Roman"/>
      <w:b/>
      <w:szCs w:val="20"/>
      <w:lang w:val="fr-FR"/>
    </w:rPr>
  </w:style>
  <w:style w:type="paragraph" w:customStyle="1" w:styleId="TableNo">
    <w:name w:val="Table_No"/>
    <w:basedOn w:val="Norml"/>
    <w:next w:val="Norml"/>
    <w:rsid w:val="004E0EF4"/>
    <w:pPr>
      <w:keepNext/>
      <w:tabs>
        <w:tab w:val="left" w:pos="794"/>
        <w:tab w:val="left" w:pos="1191"/>
        <w:tab w:val="left" w:pos="1588"/>
        <w:tab w:val="left" w:pos="1985"/>
      </w:tabs>
      <w:overflowPunct w:val="0"/>
      <w:autoSpaceDE w:val="0"/>
      <w:autoSpaceDN w:val="0"/>
      <w:adjustRightInd w:val="0"/>
      <w:spacing w:before="360" w:line="240" w:lineRule="auto"/>
      <w:jc w:val="center"/>
      <w:textAlignment w:val="baseline"/>
    </w:pPr>
    <w:rPr>
      <w:rFonts w:ascii="Times New Roman" w:eastAsia="Times New Roman" w:hAnsi="Times New Roman" w:cs="Times New Roman"/>
      <w:sz w:val="24"/>
      <w:szCs w:val="20"/>
      <w:lang w:val="fr-FR"/>
    </w:rPr>
  </w:style>
  <w:style w:type="paragraph" w:customStyle="1" w:styleId="Tabletext">
    <w:name w:val="Table_text"/>
    <w:basedOn w:val="Norml"/>
    <w:link w:val="TabletextChar"/>
    <w:rsid w:val="004E0E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val="fr-FR"/>
    </w:rPr>
  </w:style>
  <w:style w:type="paragraph" w:customStyle="1" w:styleId="Tabletitle">
    <w:name w:val="Table_title"/>
    <w:basedOn w:val="Norml"/>
    <w:next w:val="Tablehead"/>
    <w:rsid w:val="004E0EF4"/>
    <w:pPr>
      <w:keepNext/>
      <w:tabs>
        <w:tab w:val="left" w:pos="794"/>
        <w:tab w:val="left" w:pos="1191"/>
        <w:tab w:val="left" w:pos="1588"/>
        <w:tab w:val="left" w:pos="1985"/>
      </w:tabs>
      <w:overflowPunct w:val="0"/>
      <w:autoSpaceDE w:val="0"/>
      <w:autoSpaceDN w:val="0"/>
      <w:adjustRightInd w:val="0"/>
      <w:spacing w:line="240" w:lineRule="auto"/>
      <w:jc w:val="center"/>
      <w:textAlignment w:val="baseline"/>
    </w:pPr>
    <w:rPr>
      <w:rFonts w:ascii="Times New Roman" w:eastAsia="Times New Roman" w:hAnsi="Times New Roman" w:cs="Times New Roman"/>
      <w:b/>
      <w:sz w:val="24"/>
      <w:szCs w:val="20"/>
      <w:lang w:val="fr-FR"/>
    </w:rPr>
  </w:style>
  <w:style w:type="character" w:customStyle="1" w:styleId="TableheadChar">
    <w:name w:val="Table_head Char"/>
    <w:basedOn w:val="Bekezdsalapbettpusa"/>
    <w:link w:val="Tablehead"/>
    <w:locked/>
    <w:rsid w:val="004E0EF4"/>
    <w:rPr>
      <w:rFonts w:ascii="Times New Roman" w:eastAsia="Times New Roman" w:hAnsi="Times New Roman" w:cs="Times New Roman"/>
      <w:b/>
      <w:szCs w:val="20"/>
      <w:lang w:val="fr-FR"/>
    </w:rPr>
  </w:style>
  <w:style w:type="character" w:customStyle="1" w:styleId="TabletextChar">
    <w:name w:val="Table_text Char"/>
    <w:basedOn w:val="Bekezdsalapbettpusa"/>
    <w:link w:val="Tabletext"/>
    <w:locked/>
    <w:rsid w:val="004E0EF4"/>
    <w:rPr>
      <w:rFonts w:ascii="Times New Roman" w:eastAsia="Times New Roman" w:hAnsi="Times New Roman" w:cs="Times New Roman"/>
      <w:szCs w:val="20"/>
      <w:lang w:val="fr-FR"/>
    </w:rPr>
  </w:style>
  <w:style w:type="paragraph" w:customStyle="1" w:styleId="Figure">
    <w:name w:val="Figure"/>
    <w:basedOn w:val="Norml"/>
    <w:next w:val="Norml"/>
    <w:rsid w:val="004E0EF4"/>
    <w:pPr>
      <w:keepLines/>
      <w:tabs>
        <w:tab w:val="left" w:pos="794"/>
        <w:tab w:val="left" w:pos="1191"/>
        <w:tab w:val="left" w:pos="1588"/>
        <w:tab w:val="left" w:pos="1985"/>
      </w:tabs>
      <w:overflowPunct w:val="0"/>
      <w:autoSpaceDE w:val="0"/>
      <w:autoSpaceDN w:val="0"/>
      <w:adjustRightInd w:val="0"/>
      <w:spacing w:after="240" w:line="240" w:lineRule="auto"/>
      <w:jc w:val="center"/>
      <w:textAlignment w:val="baseline"/>
    </w:pPr>
    <w:rPr>
      <w:rFonts w:ascii="Times New Roman" w:eastAsia="Times New Roman" w:hAnsi="Times New Roman" w:cs="Times New Roman"/>
      <w:caps/>
      <w:sz w:val="18"/>
      <w:szCs w:val="20"/>
      <w:lang w:val="fr-FR"/>
    </w:rPr>
  </w:style>
  <w:style w:type="paragraph" w:customStyle="1" w:styleId="ECCParagraph">
    <w:name w:val="ECC Paragraph"/>
    <w:basedOn w:val="Norml"/>
    <w:link w:val="ECCParagraphChar"/>
    <w:rsid w:val="00EA2920"/>
    <w:pPr>
      <w:spacing w:after="240" w:line="240" w:lineRule="auto"/>
    </w:pPr>
    <w:rPr>
      <w:rFonts w:ascii="Arial" w:eastAsia="Times New Roman" w:hAnsi="Arial" w:cs="Times New Roman"/>
      <w:sz w:val="20"/>
      <w:szCs w:val="24"/>
      <w:lang w:val="en-GB"/>
    </w:rPr>
  </w:style>
  <w:style w:type="paragraph" w:customStyle="1" w:styleId="ECCFiguretitle">
    <w:name w:val="ECC Figure title"/>
    <w:basedOn w:val="ECCParagraph"/>
    <w:next w:val="ECCParagraph"/>
    <w:rsid w:val="00EA2920"/>
    <w:pPr>
      <w:numPr>
        <w:numId w:val="9"/>
      </w:numPr>
      <w:spacing w:before="240" w:after="480"/>
      <w:jc w:val="center"/>
    </w:pPr>
    <w:rPr>
      <w:b/>
      <w:color w:val="D2232A"/>
    </w:rPr>
  </w:style>
  <w:style w:type="numbering" w:customStyle="1" w:styleId="ECCNumbers-Letters">
    <w:name w:val="ECC Numbers-Letters"/>
    <w:uiPriority w:val="99"/>
    <w:rsid w:val="00EA2920"/>
    <w:pPr>
      <w:numPr>
        <w:numId w:val="10"/>
      </w:numPr>
    </w:pPr>
  </w:style>
  <w:style w:type="paragraph" w:customStyle="1" w:styleId="ECCNumbered-LetteredList">
    <w:name w:val="ECC Numbered-Lettered List"/>
    <w:basedOn w:val="Norml"/>
    <w:rsid w:val="00EA2920"/>
    <w:pPr>
      <w:numPr>
        <w:numId w:val="10"/>
      </w:numPr>
      <w:spacing w:after="0" w:line="240" w:lineRule="auto"/>
      <w:jc w:val="left"/>
    </w:pPr>
    <w:rPr>
      <w:rFonts w:ascii="Arial" w:eastAsia="Times New Roman" w:hAnsi="Arial" w:cs="Times New Roman"/>
      <w:sz w:val="20"/>
      <w:szCs w:val="24"/>
      <w:lang w:val="en-US"/>
    </w:rPr>
  </w:style>
  <w:style w:type="character" w:customStyle="1" w:styleId="ECCParagraphChar">
    <w:name w:val="ECC Paragraph Char"/>
    <w:link w:val="ECCParagraph"/>
    <w:locked/>
    <w:rsid w:val="00EA2920"/>
    <w:rPr>
      <w:rFonts w:ascii="Arial" w:eastAsia="Times New Roman" w:hAnsi="Arial" w:cs="Times New Roman"/>
      <w:sz w:val="20"/>
      <w:szCs w:val="24"/>
      <w:lang w:val="en-GB"/>
    </w:rPr>
  </w:style>
  <w:style w:type="character" w:styleId="Kiemels2">
    <w:name w:val="Strong"/>
    <w:basedOn w:val="Bekezdsalapbettpusa"/>
    <w:uiPriority w:val="22"/>
    <w:qFormat/>
    <w:rsid w:val="00BB068C"/>
    <w:rPr>
      <w:b/>
      <w:bCs/>
    </w:rPr>
  </w:style>
  <w:style w:type="paragraph" w:customStyle="1" w:styleId="ECCParBulleted">
    <w:name w:val="ECC Par Bulleted"/>
    <w:basedOn w:val="ECCParagraph"/>
    <w:rsid w:val="00037754"/>
    <w:pPr>
      <w:numPr>
        <w:numId w:val="11"/>
      </w:numPr>
      <w:spacing w:after="120"/>
      <w:ind w:left="0" w:firstLine="0"/>
    </w:pPr>
    <w:rPr>
      <w:rFonts w:eastAsiaTheme="minorHAnsi" w:cs="Arial"/>
      <w:sz w:val="22"/>
      <w:lang w:val="hu-HU"/>
    </w:rPr>
  </w:style>
  <w:style w:type="paragraph" w:customStyle="1" w:styleId="ECCAnnex-heading1">
    <w:name w:val="ECC Annex - heading1"/>
    <w:basedOn w:val="Cmsor1"/>
    <w:next w:val="Norml"/>
    <w:rsid w:val="00037754"/>
    <w:pPr>
      <w:keepLines w:val="0"/>
      <w:pageBreakBefore/>
      <w:numPr>
        <w:numId w:val="12"/>
      </w:numPr>
      <w:tabs>
        <w:tab w:val="num" w:pos="360"/>
      </w:tabs>
      <w:spacing w:before="400" w:line="240" w:lineRule="auto"/>
      <w:jc w:val="left"/>
    </w:pPr>
    <w:rPr>
      <w:rFonts w:ascii="Arial" w:eastAsia="Times New Roman" w:hAnsi="Arial" w:cs="Arial"/>
      <w:caps/>
      <w:color w:val="D2232A"/>
      <w:kern w:val="32"/>
      <w:sz w:val="20"/>
      <w:szCs w:val="32"/>
      <w:lang w:val="en-GB"/>
    </w:rPr>
  </w:style>
  <w:style w:type="paragraph" w:customStyle="1" w:styleId="ECCTablenote">
    <w:name w:val="ECC Table note"/>
    <w:basedOn w:val="Norml"/>
    <w:next w:val="Norml"/>
    <w:autoRedefine/>
    <w:rsid w:val="00037754"/>
    <w:pPr>
      <w:spacing w:after="0" w:line="240" w:lineRule="auto"/>
      <w:jc w:val="left"/>
    </w:pPr>
    <w:rPr>
      <w:rFonts w:ascii="Arial" w:eastAsia="Times New Roman" w:hAnsi="Arial" w:cs="Times New Roman"/>
      <w:sz w:val="16"/>
      <w:szCs w:val="16"/>
      <w:lang w:val="en-GB"/>
    </w:rPr>
  </w:style>
  <w:style w:type="paragraph" w:customStyle="1" w:styleId="ECCAnnexheading2">
    <w:name w:val="ECC Annex heading2"/>
    <w:basedOn w:val="Norml"/>
    <w:next w:val="Norml"/>
    <w:rsid w:val="00037754"/>
    <w:pPr>
      <w:numPr>
        <w:ilvl w:val="1"/>
        <w:numId w:val="12"/>
      </w:numPr>
      <w:overflowPunct w:val="0"/>
      <w:autoSpaceDE w:val="0"/>
      <w:autoSpaceDN w:val="0"/>
      <w:adjustRightInd w:val="0"/>
      <w:spacing w:before="480" w:after="240" w:line="240" w:lineRule="auto"/>
      <w:ind w:left="576"/>
      <w:jc w:val="left"/>
    </w:pPr>
    <w:rPr>
      <w:rFonts w:ascii="Arial" w:eastAsia="Times New Roman" w:hAnsi="Arial" w:cs="Times New Roman"/>
      <w:b/>
      <w:caps/>
      <w:sz w:val="20"/>
      <w:szCs w:val="24"/>
      <w:lang w:val="en-US"/>
    </w:rPr>
  </w:style>
  <w:style w:type="paragraph" w:customStyle="1" w:styleId="ECCAnnexheading3">
    <w:name w:val="ECC Annex heading3"/>
    <w:basedOn w:val="Norml"/>
    <w:next w:val="Norml"/>
    <w:rsid w:val="00037754"/>
    <w:pPr>
      <w:numPr>
        <w:ilvl w:val="2"/>
        <w:numId w:val="12"/>
      </w:numPr>
      <w:overflowPunct w:val="0"/>
      <w:autoSpaceDE w:val="0"/>
      <w:autoSpaceDN w:val="0"/>
      <w:adjustRightInd w:val="0"/>
      <w:spacing w:before="360" w:line="240" w:lineRule="auto"/>
      <w:jc w:val="left"/>
    </w:pPr>
    <w:rPr>
      <w:rFonts w:ascii="Arial" w:eastAsia="Times New Roman" w:hAnsi="Arial" w:cs="Times New Roman"/>
      <w:b/>
      <w:sz w:val="20"/>
      <w:szCs w:val="24"/>
      <w:lang w:val="en-US"/>
    </w:rPr>
  </w:style>
  <w:style w:type="paragraph" w:customStyle="1" w:styleId="ECCAnnexheading4">
    <w:name w:val="ECC Annex heading4"/>
    <w:basedOn w:val="Norml"/>
    <w:next w:val="Norml"/>
    <w:rsid w:val="00037754"/>
    <w:pPr>
      <w:numPr>
        <w:ilvl w:val="3"/>
        <w:numId w:val="12"/>
      </w:numPr>
      <w:overflowPunct w:val="0"/>
      <w:autoSpaceDE w:val="0"/>
      <w:autoSpaceDN w:val="0"/>
      <w:adjustRightInd w:val="0"/>
      <w:spacing w:before="360" w:line="240" w:lineRule="auto"/>
      <w:jc w:val="left"/>
    </w:pPr>
    <w:rPr>
      <w:rFonts w:ascii="Arial" w:eastAsia="Times New Roman" w:hAnsi="Arial" w:cs="Times New Roman"/>
      <w:i/>
      <w:color w:val="D2232A"/>
      <w:sz w:val="20"/>
      <w:szCs w:val="24"/>
      <w:lang w:val="en-US"/>
    </w:rPr>
  </w:style>
  <w:style w:type="paragraph" w:customStyle="1" w:styleId="TabellenInhalt">
    <w:name w:val="Tabellen Inhalt"/>
    <w:basedOn w:val="Norml"/>
    <w:rsid w:val="00037754"/>
    <w:pPr>
      <w:suppressLineNumbers/>
      <w:suppressAutoHyphens/>
      <w:spacing w:after="0" w:line="240" w:lineRule="auto"/>
      <w:jc w:val="left"/>
    </w:pPr>
    <w:rPr>
      <w:rFonts w:ascii="Times New Roman" w:eastAsia="Times New Roman" w:hAnsi="Times New Roman" w:cs="Times New Roman"/>
      <w:sz w:val="24"/>
      <w:szCs w:val="24"/>
      <w:lang w:val="en-GB" w:eastAsia="ar-SA"/>
    </w:rPr>
  </w:style>
  <w:style w:type="character" w:styleId="Jegyzethivatkozs">
    <w:name w:val="annotation reference"/>
    <w:uiPriority w:val="99"/>
    <w:rsid w:val="00AB4424"/>
    <w:rPr>
      <w:sz w:val="16"/>
      <w:szCs w:val="16"/>
    </w:rPr>
  </w:style>
  <w:style w:type="paragraph" w:styleId="Jegyzetszveg">
    <w:name w:val="annotation text"/>
    <w:basedOn w:val="Norml"/>
    <w:link w:val="JegyzetszvegChar"/>
    <w:rsid w:val="00AB4424"/>
    <w:pPr>
      <w:spacing w:after="0" w:line="240" w:lineRule="auto"/>
    </w:pPr>
    <w:rPr>
      <w:rFonts w:ascii="Arial" w:eastAsia="Times New Roman" w:hAnsi="Arial" w:cs="Times New Roman"/>
      <w:sz w:val="20"/>
      <w:szCs w:val="20"/>
      <w:lang w:eastAsia="hu-HU"/>
    </w:rPr>
  </w:style>
  <w:style w:type="character" w:customStyle="1" w:styleId="JegyzetszvegChar">
    <w:name w:val="Jegyzetszöveg Char"/>
    <w:basedOn w:val="Bekezdsalapbettpusa"/>
    <w:link w:val="Jegyzetszveg"/>
    <w:rsid w:val="00AB4424"/>
    <w:rPr>
      <w:rFonts w:ascii="Arial" w:eastAsia="Times New Roman" w:hAnsi="Arial" w:cs="Times New Roman"/>
      <w:sz w:val="20"/>
      <w:szCs w:val="20"/>
      <w:lang w:eastAsia="hu-HU"/>
    </w:rPr>
  </w:style>
  <w:style w:type="paragraph" w:customStyle="1" w:styleId="Hanging035">
    <w:name w:val="Hanging0_35"/>
    <w:basedOn w:val="Norml"/>
    <w:rsid w:val="00AB4424"/>
    <w:pPr>
      <w:spacing w:after="0" w:line="240" w:lineRule="auto"/>
      <w:ind w:left="198" w:hanging="198"/>
    </w:pPr>
    <w:rPr>
      <w:rFonts w:ascii="Arial" w:eastAsia="Times New Roman" w:hAnsi="Arial" w:cs="Times New Roman"/>
      <w:sz w:val="14"/>
      <w:szCs w:val="20"/>
      <w:lang w:eastAsia="hu-HU"/>
    </w:rPr>
  </w:style>
  <w:style w:type="paragraph" w:customStyle="1" w:styleId="fnftnorm">
    <w:name w:val="fnft_norm"/>
    <w:basedOn w:val="Norml"/>
    <w:uiPriority w:val="99"/>
    <w:rsid w:val="00AB4424"/>
    <w:pPr>
      <w:spacing w:after="0" w:line="240" w:lineRule="auto"/>
    </w:pPr>
    <w:rPr>
      <w:rFonts w:ascii="Arial" w:eastAsia="Times New Roman" w:hAnsi="Arial" w:cs="Times New Roman"/>
      <w:sz w:val="24"/>
      <w:szCs w:val="20"/>
      <w:lang w:eastAsia="hu-HU"/>
    </w:rPr>
  </w:style>
  <w:style w:type="paragraph" w:styleId="Megjegyzstrgya">
    <w:name w:val="annotation subject"/>
    <w:basedOn w:val="Jegyzetszveg"/>
    <w:next w:val="Jegyzetszveg"/>
    <w:link w:val="MegjegyzstrgyaChar"/>
    <w:uiPriority w:val="99"/>
    <w:semiHidden/>
    <w:unhideWhenUsed/>
    <w:rsid w:val="00AB4424"/>
    <w:pPr>
      <w:spacing w:after="200"/>
      <w:jc w:val="left"/>
    </w:pPr>
    <w:rPr>
      <w:rFonts w:ascii="Calibri" w:eastAsia="Calibri" w:hAnsi="Calibri"/>
      <w:b/>
      <w:bCs/>
      <w:lang w:eastAsia="en-US"/>
    </w:rPr>
  </w:style>
  <w:style w:type="character" w:customStyle="1" w:styleId="MegjegyzstrgyaChar">
    <w:name w:val="Megjegyzés tárgya Char"/>
    <w:basedOn w:val="JegyzetszvegChar"/>
    <w:link w:val="Megjegyzstrgya"/>
    <w:uiPriority w:val="99"/>
    <w:semiHidden/>
    <w:rsid w:val="00AB4424"/>
    <w:rPr>
      <w:rFonts w:ascii="Calibri" w:eastAsia="Calibri" w:hAnsi="Calibri" w:cs="Times New Roman"/>
      <w:b/>
      <w:bCs/>
      <w:sz w:val="20"/>
      <w:szCs w:val="20"/>
      <w:lang w:eastAsia="hu-HU"/>
    </w:rPr>
  </w:style>
  <w:style w:type="paragraph" w:styleId="Vltozat">
    <w:name w:val="Revision"/>
    <w:hidden/>
    <w:uiPriority w:val="99"/>
    <w:semiHidden/>
    <w:rsid w:val="00AB4424"/>
    <w:pPr>
      <w:spacing w:after="0" w:line="240" w:lineRule="auto"/>
    </w:pPr>
    <w:rPr>
      <w:rFonts w:ascii="Calibri" w:eastAsia="Calibri" w:hAnsi="Calibri" w:cs="Times New Roman"/>
    </w:rPr>
  </w:style>
  <w:style w:type="table" w:customStyle="1" w:styleId="Rcsostblzat1">
    <w:name w:val="Rácsos táblázat1"/>
    <w:basedOn w:val="Normltblzat"/>
    <w:next w:val="Rcsostblzat"/>
    <w:rsid w:val="00AB4424"/>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No">
    <w:name w:val="Res_No"/>
    <w:basedOn w:val="Norml"/>
    <w:next w:val="Norml"/>
    <w:rsid w:val="002E7A14"/>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lang w:val="en-GB"/>
    </w:rPr>
  </w:style>
  <w:style w:type="paragraph" w:customStyle="1" w:styleId="Reporttitledescription">
    <w:name w:val="Report title/description"/>
    <w:basedOn w:val="Norml"/>
    <w:rsid w:val="008467C7"/>
    <w:pPr>
      <w:spacing w:before="600" w:after="0" w:line="288" w:lineRule="auto"/>
      <w:ind w:left="3402"/>
      <w:jc w:val="left"/>
    </w:pPr>
    <w:rPr>
      <w:rFonts w:ascii="Arial" w:eastAsia="Times New Roman" w:hAnsi="Arial" w:cs="Times New Roman"/>
      <w:sz w:val="24"/>
      <w:szCs w:val="24"/>
      <w:lang w:val="en-GB"/>
    </w:rPr>
  </w:style>
  <w:style w:type="character" w:customStyle="1" w:styleId="normaltext">
    <w:name w:val="normaltext"/>
    <w:basedOn w:val="Bekezdsalapbettpusa"/>
    <w:uiPriority w:val="99"/>
    <w:rsid w:val="007A6BF7"/>
  </w:style>
  <w:style w:type="character" w:customStyle="1" w:styleId="jlqj4b">
    <w:name w:val="jlqj4b"/>
    <w:basedOn w:val="Bekezdsalapbettpusa"/>
    <w:rsid w:val="00372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0548">
      <w:bodyDiv w:val="1"/>
      <w:marLeft w:val="0"/>
      <w:marRight w:val="0"/>
      <w:marTop w:val="0"/>
      <w:marBottom w:val="0"/>
      <w:divBdr>
        <w:top w:val="none" w:sz="0" w:space="0" w:color="auto"/>
        <w:left w:val="none" w:sz="0" w:space="0" w:color="auto"/>
        <w:bottom w:val="none" w:sz="0" w:space="0" w:color="auto"/>
        <w:right w:val="none" w:sz="0" w:space="0" w:color="auto"/>
      </w:divBdr>
    </w:div>
    <w:div w:id="56558514">
      <w:bodyDiv w:val="1"/>
      <w:marLeft w:val="0"/>
      <w:marRight w:val="0"/>
      <w:marTop w:val="0"/>
      <w:marBottom w:val="0"/>
      <w:divBdr>
        <w:top w:val="none" w:sz="0" w:space="0" w:color="auto"/>
        <w:left w:val="none" w:sz="0" w:space="0" w:color="auto"/>
        <w:bottom w:val="none" w:sz="0" w:space="0" w:color="auto"/>
        <w:right w:val="none" w:sz="0" w:space="0" w:color="auto"/>
      </w:divBdr>
    </w:div>
    <w:div w:id="101270806">
      <w:bodyDiv w:val="1"/>
      <w:marLeft w:val="0"/>
      <w:marRight w:val="0"/>
      <w:marTop w:val="0"/>
      <w:marBottom w:val="0"/>
      <w:divBdr>
        <w:top w:val="none" w:sz="0" w:space="0" w:color="auto"/>
        <w:left w:val="none" w:sz="0" w:space="0" w:color="auto"/>
        <w:bottom w:val="none" w:sz="0" w:space="0" w:color="auto"/>
        <w:right w:val="none" w:sz="0" w:space="0" w:color="auto"/>
      </w:divBdr>
      <w:divsChild>
        <w:div w:id="707682978">
          <w:marLeft w:val="720"/>
          <w:marRight w:val="0"/>
          <w:marTop w:val="86"/>
          <w:marBottom w:val="0"/>
          <w:divBdr>
            <w:top w:val="none" w:sz="0" w:space="0" w:color="auto"/>
            <w:left w:val="none" w:sz="0" w:space="0" w:color="auto"/>
            <w:bottom w:val="none" w:sz="0" w:space="0" w:color="auto"/>
            <w:right w:val="none" w:sz="0" w:space="0" w:color="auto"/>
          </w:divBdr>
        </w:div>
        <w:div w:id="1511989918">
          <w:marLeft w:val="720"/>
          <w:marRight w:val="0"/>
          <w:marTop w:val="86"/>
          <w:marBottom w:val="0"/>
          <w:divBdr>
            <w:top w:val="none" w:sz="0" w:space="0" w:color="auto"/>
            <w:left w:val="none" w:sz="0" w:space="0" w:color="auto"/>
            <w:bottom w:val="none" w:sz="0" w:space="0" w:color="auto"/>
            <w:right w:val="none" w:sz="0" w:space="0" w:color="auto"/>
          </w:divBdr>
        </w:div>
      </w:divsChild>
    </w:div>
    <w:div w:id="178617986">
      <w:bodyDiv w:val="1"/>
      <w:marLeft w:val="0"/>
      <w:marRight w:val="0"/>
      <w:marTop w:val="0"/>
      <w:marBottom w:val="0"/>
      <w:divBdr>
        <w:top w:val="none" w:sz="0" w:space="0" w:color="auto"/>
        <w:left w:val="none" w:sz="0" w:space="0" w:color="auto"/>
        <w:bottom w:val="none" w:sz="0" w:space="0" w:color="auto"/>
        <w:right w:val="none" w:sz="0" w:space="0" w:color="auto"/>
      </w:divBdr>
      <w:divsChild>
        <w:div w:id="350298047">
          <w:marLeft w:val="1166"/>
          <w:marRight w:val="0"/>
          <w:marTop w:val="67"/>
          <w:marBottom w:val="0"/>
          <w:divBdr>
            <w:top w:val="none" w:sz="0" w:space="0" w:color="auto"/>
            <w:left w:val="none" w:sz="0" w:space="0" w:color="auto"/>
            <w:bottom w:val="none" w:sz="0" w:space="0" w:color="auto"/>
            <w:right w:val="none" w:sz="0" w:space="0" w:color="auto"/>
          </w:divBdr>
        </w:div>
        <w:div w:id="1437361369">
          <w:marLeft w:val="1800"/>
          <w:marRight w:val="0"/>
          <w:marTop w:val="58"/>
          <w:marBottom w:val="0"/>
          <w:divBdr>
            <w:top w:val="none" w:sz="0" w:space="0" w:color="auto"/>
            <w:left w:val="none" w:sz="0" w:space="0" w:color="auto"/>
            <w:bottom w:val="none" w:sz="0" w:space="0" w:color="auto"/>
            <w:right w:val="none" w:sz="0" w:space="0" w:color="auto"/>
          </w:divBdr>
        </w:div>
      </w:divsChild>
    </w:div>
    <w:div w:id="191505938">
      <w:bodyDiv w:val="1"/>
      <w:marLeft w:val="0"/>
      <w:marRight w:val="0"/>
      <w:marTop w:val="0"/>
      <w:marBottom w:val="0"/>
      <w:divBdr>
        <w:top w:val="none" w:sz="0" w:space="0" w:color="auto"/>
        <w:left w:val="none" w:sz="0" w:space="0" w:color="auto"/>
        <w:bottom w:val="none" w:sz="0" w:space="0" w:color="auto"/>
        <w:right w:val="none" w:sz="0" w:space="0" w:color="auto"/>
      </w:divBdr>
    </w:div>
    <w:div w:id="195196116">
      <w:bodyDiv w:val="1"/>
      <w:marLeft w:val="0"/>
      <w:marRight w:val="0"/>
      <w:marTop w:val="0"/>
      <w:marBottom w:val="0"/>
      <w:divBdr>
        <w:top w:val="none" w:sz="0" w:space="0" w:color="auto"/>
        <w:left w:val="none" w:sz="0" w:space="0" w:color="auto"/>
        <w:bottom w:val="none" w:sz="0" w:space="0" w:color="auto"/>
        <w:right w:val="none" w:sz="0" w:space="0" w:color="auto"/>
      </w:divBdr>
      <w:divsChild>
        <w:div w:id="911235419">
          <w:marLeft w:val="0"/>
          <w:marRight w:val="0"/>
          <w:marTop w:val="0"/>
          <w:marBottom w:val="0"/>
          <w:divBdr>
            <w:top w:val="none" w:sz="0" w:space="0" w:color="auto"/>
            <w:left w:val="none" w:sz="0" w:space="0" w:color="auto"/>
            <w:bottom w:val="none" w:sz="0" w:space="0" w:color="auto"/>
            <w:right w:val="none" w:sz="0" w:space="0" w:color="auto"/>
          </w:divBdr>
          <w:divsChild>
            <w:div w:id="1068772550">
              <w:marLeft w:val="0"/>
              <w:marRight w:val="0"/>
              <w:marTop w:val="0"/>
              <w:marBottom w:val="0"/>
              <w:divBdr>
                <w:top w:val="none" w:sz="0" w:space="0" w:color="auto"/>
                <w:left w:val="none" w:sz="0" w:space="0" w:color="auto"/>
                <w:bottom w:val="none" w:sz="0" w:space="0" w:color="auto"/>
                <w:right w:val="none" w:sz="0" w:space="0" w:color="auto"/>
              </w:divBdr>
              <w:divsChild>
                <w:div w:id="2142141770">
                  <w:marLeft w:val="0"/>
                  <w:marRight w:val="0"/>
                  <w:marTop w:val="0"/>
                  <w:marBottom w:val="0"/>
                  <w:divBdr>
                    <w:top w:val="none" w:sz="0" w:space="0" w:color="auto"/>
                    <w:left w:val="none" w:sz="0" w:space="0" w:color="auto"/>
                    <w:bottom w:val="none" w:sz="0" w:space="0" w:color="auto"/>
                    <w:right w:val="none" w:sz="0" w:space="0" w:color="auto"/>
                  </w:divBdr>
                  <w:divsChild>
                    <w:div w:id="444541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8443852">
      <w:bodyDiv w:val="1"/>
      <w:marLeft w:val="0"/>
      <w:marRight w:val="0"/>
      <w:marTop w:val="0"/>
      <w:marBottom w:val="0"/>
      <w:divBdr>
        <w:top w:val="none" w:sz="0" w:space="0" w:color="auto"/>
        <w:left w:val="none" w:sz="0" w:space="0" w:color="auto"/>
        <w:bottom w:val="none" w:sz="0" w:space="0" w:color="auto"/>
        <w:right w:val="none" w:sz="0" w:space="0" w:color="auto"/>
      </w:divBdr>
    </w:div>
    <w:div w:id="332951435">
      <w:bodyDiv w:val="1"/>
      <w:marLeft w:val="0"/>
      <w:marRight w:val="0"/>
      <w:marTop w:val="0"/>
      <w:marBottom w:val="0"/>
      <w:divBdr>
        <w:top w:val="none" w:sz="0" w:space="0" w:color="auto"/>
        <w:left w:val="none" w:sz="0" w:space="0" w:color="auto"/>
        <w:bottom w:val="none" w:sz="0" w:space="0" w:color="auto"/>
        <w:right w:val="none" w:sz="0" w:space="0" w:color="auto"/>
      </w:divBdr>
    </w:div>
    <w:div w:id="418404908">
      <w:bodyDiv w:val="1"/>
      <w:marLeft w:val="0"/>
      <w:marRight w:val="0"/>
      <w:marTop w:val="0"/>
      <w:marBottom w:val="0"/>
      <w:divBdr>
        <w:top w:val="none" w:sz="0" w:space="0" w:color="auto"/>
        <w:left w:val="none" w:sz="0" w:space="0" w:color="auto"/>
        <w:bottom w:val="none" w:sz="0" w:space="0" w:color="auto"/>
        <w:right w:val="none" w:sz="0" w:space="0" w:color="auto"/>
      </w:divBdr>
      <w:divsChild>
        <w:div w:id="740760939">
          <w:marLeft w:val="547"/>
          <w:marRight w:val="0"/>
          <w:marTop w:val="77"/>
          <w:marBottom w:val="0"/>
          <w:divBdr>
            <w:top w:val="none" w:sz="0" w:space="0" w:color="auto"/>
            <w:left w:val="none" w:sz="0" w:space="0" w:color="auto"/>
            <w:bottom w:val="none" w:sz="0" w:space="0" w:color="auto"/>
            <w:right w:val="none" w:sz="0" w:space="0" w:color="auto"/>
          </w:divBdr>
        </w:div>
      </w:divsChild>
    </w:div>
    <w:div w:id="442387772">
      <w:bodyDiv w:val="1"/>
      <w:marLeft w:val="0"/>
      <w:marRight w:val="0"/>
      <w:marTop w:val="0"/>
      <w:marBottom w:val="0"/>
      <w:divBdr>
        <w:top w:val="none" w:sz="0" w:space="0" w:color="auto"/>
        <w:left w:val="none" w:sz="0" w:space="0" w:color="auto"/>
        <w:bottom w:val="none" w:sz="0" w:space="0" w:color="auto"/>
        <w:right w:val="none" w:sz="0" w:space="0" w:color="auto"/>
      </w:divBdr>
      <w:divsChild>
        <w:div w:id="1357652685">
          <w:marLeft w:val="0"/>
          <w:marRight w:val="0"/>
          <w:marTop w:val="0"/>
          <w:marBottom w:val="0"/>
          <w:divBdr>
            <w:top w:val="none" w:sz="0" w:space="0" w:color="auto"/>
            <w:left w:val="none" w:sz="0" w:space="0" w:color="auto"/>
            <w:bottom w:val="none" w:sz="0" w:space="0" w:color="auto"/>
            <w:right w:val="none" w:sz="0" w:space="0" w:color="auto"/>
          </w:divBdr>
          <w:divsChild>
            <w:div w:id="1533687023">
              <w:marLeft w:val="0"/>
              <w:marRight w:val="0"/>
              <w:marTop w:val="0"/>
              <w:marBottom w:val="0"/>
              <w:divBdr>
                <w:top w:val="none" w:sz="0" w:space="0" w:color="auto"/>
                <w:left w:val="none" w:sz="0" w:space="0" w:color="auto"/>
                <w:bottom w:val="none" w:sz="0" w:space="0" w:color="auto"/>
                <w:right w:val="none" w:sz="0" w:space="0" w:color="auto"/>
              </w:divBdr>
              <w:divsChild>
                <w:div w:id="786852153">
                  <w:marLeft w:val="0"/>
                  <w:marRight w:val="0"/>
                  <w:marTop w:val="0"/>
                  <w:marBottom w:val="0"/>
                  <w:divBdr>
                    <w:top w:val="none" w:sz="0" w:space="0" w:color="auto"/>
                    <w:left w:val="none" w:sz="0" w:space="0" w:color="auto"/>
                    <w:bottom w:val="none" w:sz="0" w:space="0" w:color="auto"/>
                    <w:right w:val="none" w:sz="0" w:space="0" w:color="auto"/>
                  </w:divBdr>
                  <w:divsChild>
                    <w:div w:id="298612646">
                      <w:marLeft w:val="0"/>
                      <w:marRight w:val="0"/>
                      <w:marTop w:val="0"/>
                      <w:marBottom w:val="0"/>
                      <w:divBdr>
                        <w:top w:val="none" w:sz="0" w:space="0" w:color="auto"/>
                        <w:left w:val="none" w:sz="0" w:space="0" w:color="auto"/>
                        <w:bottom w:val="none" w:sz="0" w:space="0" w:color="auto"/>
                        <w:right w:val="none" w:sz="0" w:space="0" w:color="auto"/>
                      </w:divBdr>
                    </w:div>
                    <w:div w:id="966594009">
                      <w:marLeft w:val="0"/>
                      <w:marRight w:val="0"/>
                      <w:marTop w:val="0"/>
                      <w:marBottom w:val="0"/>
                      <w:divBdr>
                        <w:top w:val="none" w:sz="0" w:space="0" w:color="auto"/>
                        <w:left w:val="none" w:sz="0" w:space="0" w:color="auto"/>
                        <w:bottom w:val="none" w:sz="0" w:space="0" w:color="auto"/>
                        <w:right w:val="none" w:sz="0" w:space="0" w:color="auto"/>
                      </w:divBdr>
                    </w:div>
                    <w:div w:id="1097167065">
                      <w:marLeft w:val="150"/>
                      <w:marRight w:val="0"/>
                      <w:marTop w:val="0"/>
                      <w:marBottom w:val="75"/>
                      <w:divBdr>
                        <w:top w:val="none" w:sz="0" w:space="0" w:color="auto"/>
                        <w:left w:val="none" w:sz="0" w:space="0" w:color="auto"/>
                        <w:bottom w:val="none" w:sz="0" w:space="0" w:color="auto"/>
                        <w:right w:val="none" w:sz="0" w:space="0" w:color="auto"/>
                      </w:divBdr>
                    </w:div>
                    <w:div w:id="1358584584">
                      <w:marLeft w:val="0"/>
                      <w:marRight w:val="0"/>
                      <w:marTop w:val="0"/>
                      <w:marBottom w:val="0"/>
                      <w:divBdr>
                        <w:top w:val="none" w:sz="0" w:space="0" w:color="auto"/>
                        <w:left w:val="none" w:sz="0" w:space="0" w:color="auto"/>
                        <w:bottom w:val="none" w:sz="0" w:space="0" w:color="auto"/>
                        <w:right w:val="none" w:sz="0" w:space="0" w:color="auto"/>
                      </w:divBdr>
                    </w:div>
                    <w:div w:id="1626698390">
                      <w:marLeft w:val="0"/>
                      <w:marRight w:val="0"/>
                      <w:marTop w:val="0"/>
                      <w:marBottom w:val="0"/>
                      <w:divBdr>
                        <w:top w:val="none" w:sz="0" w:space="0" w:color="auto"/>
                        <w:left w:val="none" w:sz="0" w:space="0" w:color="auto"/>
                        <w:bottom w:val="none" w:sz="0" w:space="0" w:color="auto"/>
                        <w:right w:val="none" w:sz="0" w:space="0" w:color="auto"/>
                      </w:divBdr>
                    </w:div>
                    <w:div w:id="1755054489">
                      <w:marLeft w:val="0"/>
                      <w:marRight w:val="0"/>
                      <w:marTop w:val="0"/>
                      <w:marBottom w:val="0"/>
                      <w:divBdr>
                        <w:top w:val="none" w:sz="0" w:space="0" w:color="auto"/>
                        <w:left w:val="none" w:sz="0" w:space="0" w:color="auto"/>
                        <w:bottom w:val="none" w:sz="0" w:space="0" w:color="auto"/>
                        <w:right w:val="none" w:sz="0" w:space="0" w:color="auto"/>
                      </w:divBdr>
                    </w:div>
                    <w:div w:id="1875993153">
                      <w:marLeft w:val="0"/>
                      <w:marRight w:val="0"/>
                      <w:marTop w:val="0"/>
                      <w:marBottom w:val="0"/>
                      <w:divBdr>
                        <w:top w:val="none" w:sz="0" w:space="0" w:color="auto"/>
                        <w:left w:val="none" w:sz="0" w:space="0" w:color="auto"/>
                        <w:bottom w:val="none" w:sz="0" w:space="0" w:color="auto"/>
                        <w:right w:val="none" w:sz="0" w:space="0" w:color="auto"/>
                      </w:divBdr>
                    </w:div>
                    <w:div w:id="2122720398">
                      <w:marLeft w:val="0"/>
                      <w:marRight w:val="0"/>
                      <w:marTop w:val="0"/>
                      <w:marBottom w:val="0"/>
                      <w:divBdr>
                        <w:top w:val="none" w:sz="0" w:space="0" w:color="auto"/>
                        <w:left w:val="none" w:sz="0" w:space="0" w:color="auto"/>
                        <w:bottom w:val="none" w:sz="0" w:space="0" w:color="auto"/>
                        <w:right w:val="none" w:sz="0" w:space="0" w:color="auto"/>
                      </w:divBdr>
                    </w:div>
                  </w:divsChild>
                </w:div>
                <w:div w:id="1125195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70026700">
      <w:bodyDiv w:val="1"/>
      <w:marLeft w:val="0"/>
      <w:marRight w:val="0"/>
      <w:marTop w:val="0"/>
      <w:marBottom w:val="0"/>
      <w:divBdr>
        <w:top w:val="none" w:sz="0" w:space="0" w:color="auto"/>
        <w:left w:val="none" w:sz="0" w:space="0" w:color="auto"/>
        <w:bottom w:val="none" w:sz="0" w:space="0" w:color="auto"/>
        <w:right w:val="none" w:sz="0" w:space="0" w:color="auto"/>
      </w:divBdr>
      <w:divsChild>
        <w:div w:id="595479671">
          <w:marLeft w:val="0"/>
          <w:marRight w:val="0"/>
          <w:marTop w:val="0"/>
          <w:marBottom w:val="0"/>
          <w:divBdr>
            <w:top w:val="none" w:sz="0" w:space="0" w:color="auto"/>
            <w:left w:val="none" w:sz="0" w:space="0" w:color="auto"/>
            <w:bottom w:val="none" w:sz="0" w:space="0" w:color="auto"/>
            <w:right w:val="none" w:sz="0" w:space="0" w:color="auto"/>
          </w:divBdr>
          <w:divsChild>
            <w:div w:id="476145982">
              <w:marLeft w:val="1"/>
              <w:marRight w:val="1"/>
              <w:marTop w:val="1"/>
              <w:marBottom w:val="1"/>
              <w:divBdr>
                <w:top w:val="none" w:sz="0" w:space="0" w:color="auto"/>
                <w:left w:val="none" w:sz="0" w:space="0" w:color="auto"/>
                <w:bottom w:val="none" w:sz="0" w:space="0" w:color="auto"/>
                <w:right w:val="none" w:sz="0" w:space="0" w:color="auto"/>
              </w:divBdr>
              <w:divsChild>
                <w:div w:id="447237158">
                  <w:marLeft w:val="0"/>
                  <w:marRight w:val="0"/>
                  <w:marTop w:val="0"/>
                  <w:marBottom w:val="0"/>
                  <w:divBdr>
                    <w:top w:val="none" w:sz="0" w:space="0" w:color="auto"/>
                    <w:left w:val="none" w:sz="0" w:space="0" w:color="auto"/>
                    <w:bottom w:val="none" w:sz="0" w:space="0" w:color="auto"/>
                    <w:right w:val="none" w:sz="0" w:space="0" w:color="auto"/>
                  </w:divBdr>
                  <w:divsChild>
                    <w:div w:id="6829402">
                      <w:marLeft w:val="0"/>
                      <w:marRight w:val="0"/>
                      <w:marTop w:val="0"/>
                      <w:marBottom w:val="0"/>
                      <w:divBdr>
                        <w:top w:val="none" w:sz="0" w:space="0" w:color="auto"/>
                        <w:left w:val="none" w:sz="0" w:space="0" w:color="auto"/>
                        <w:bottom w:val="none" w:sz="0" w:space="0" w:color="auto"/>
                        <w:right w:val="none" w:sz="0" w:space="0" w:color="auto"/>
                      </w:divBdr>
                    </w:div>
                    <w:div w:id="1210453284">
                      <w:marLeft w:val="0"/>
                      <w:marRight w:val="0"/>
                      <w:marTop w:val="0"/>
                      <w:marBottom w:val="0"/>
                      <w:divBdr>
                        <w:top w:val="none" w:sz="0" w:space="0" w:color="auto"/>
                        <w:left w:val="none" w:sz="0" w:space="0" w:color="auto"/>
                        <w:bottom w:val="none" w:sz="0" w:space="0" w:color="auto"/>
                        <w:right w:val="none" w:sz="0" w:space="0" w:color="auto"/>
                      </w:divBdr>
                    </w:div>
                    <w:div w:id="1294557374">
                      <w:marLeft w:val="0"/>
                      <w:marRight w:val="0"/>
                      <w:marTop w:val="0"/>
                      <w:marBottom w:val="0"/>
                      <w:divBdr>
                        <w:top w:val="none" w:sz="0" w:space="0" w:color="auto"/>
                        <w:left w:val="none" w:sz="0" w:space="0" w:color="auto"/>
                        <w:bottom w:val="none" w:sz="0" w:space="0" w:color="auto"/>
                        <w:right w:val="none" w:sz="0" w:space="0" w:color="auto"/>
                      </w:divBdr>
                    </w:div>
                    <w:div w:id="13165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0238">
              <w:marLeft w:val="1"/>
              <w:marRight w:val="1"/>
              <w:marTop w:val="1"/>
              <w:marBottom w:val="1"/>
              <w:divBdr>
                <w:top w:val="none" w:sz="0" w:space="0" w:color="auto"/>
                <w:left w:val="none" w:sz="0" w:space="0" w:color="auto"/>
                <w:bottom w:val="none" w:sz="0" w:space="0" w:color="auto"/>
                <w:right w:val="none" w:sz="0" w:space="0" w:color="auto"/>
              </w:divBdr>
              <w:divsChild>
                <w:div w:id="643386525">
                  <w:marLeft w:val="0"/>
                  <w:marRight w:val="0"/>
                  <w:marTop w:val="0"/>
                  <w:marBottom w:val="0"/>
                  <w:divBdr>
                    <w:top w:val="none" w:sz="0" w:space="0" w:color="auto"/>
                    <w:left w:val="none" w:sz="0" w:space="0" w:color="auto"/>
                    <w:bottom w:val="none" w:sz="0" w:space="0" w:color="auto"/>
                    <w:right w:val="none" w:sz="0" w:space="0" w:color="auto"/>
                  </w:divBdr>
                  <w:divsChild>
                    <w:div w:id="39944132">
                      <w:marLeft w:val="0"/>
                      <w:marRight w:val="0"/>
                      <w:marTop w:val="0"/>
                      <w:marBottom w:val="0"/>
                      <w:divBdr>
                        <w:top w:val="none" w:sz="0" w:space="0" w:color="auto"/>
                        <w:left w:val="none" w:sz="0" w:space="0" w:color="auto"/>
                        <w:bottom w:val="none" w:sz="0" w:space="0" w:color="auto"/>
                        <w:right w:val="none" w:sz="0" w:space="0" w:color="auto"/>
                      </w:divBdr>
                      <w:divsChild>
                        <w:div w:id="165246751">
                          <w:marLeft w:val="0"/>
                          <w:marRight w:val="0"/>
                          <w:marTop w:val="0"/>
                          <w:marBottom w:val="0"/>
                          <w:divBdr>
                            <w:top w:val="none" w:sz="0" w:space="0" w:color="auto"/>
                            <w:left w:val="none" w:sz="0" w:space="0" w:color="auto"/>
                            <w:bottom w:val="none" w:sz="0" w:space="0" w:color="auto"/>
                            <w:right w:val="none" w:sz="0" w:space="0" w:color="auto"/>
                          </w:divBdr>
                        </w:div>
                      </w:divsChild>
                    </w:div>
                    <w:div w:id="279069017">
                      <w:marLeft w:val="0"/>
                      <w:marRight w:val="0"/>
                      <w:marTop w:val="0"/>
                      <w:marBottom w:val="0"/>
                      <w:divBdr>
                        <w:top w:val="none" w:sz="0" w:space="0" w:color="auto"/>
                        <w:left w:val="none" w:sz="0" w:space="0" w:color="auto"/>
                        <w:bottom w:val="none" w:sz="0" w:space="0" w:color="auto"/>
                        <w:right w:val="none" w:sz="0" w:space="0" w:color="auto"/>
                      </w:divBdr>
                    </w:div>
                    <w:div w:id="617445825">
                      <w:marLeft w:val="0"/>
                      <w:marRight w:val="0"/>
                      <w:marTop w:val="0"/>
                      <w:marBottom w:val="0"/>
                      <w:divBdr>
                        <w:top w:val="none" w:sz="0" w:space="0" w:color="auto"/>
                        <w:left w:val="none" w:sz="0" w:space="0" w:color="auto"/>
                        <w:bottom w:val="none" w:sz="0" w:space="0" w:color="auto"/>
                        <w:right w:val="none" w:sz="0" w:space="0" w:color="auto"/>
                      </w:divBdr>
                      <w:divsChild>
                        <w:div w:id="1878468795">
                          <w:marLeft w:val="0"/>
                          <w:marRight w:val="0"/>
                          <w:marTop w:val="0"/>
                          <w:marBottom w:val="0"/>
                          <w:divBdr>
                            <w:top w:val="none" w:sz="0" w:space="0" w:color="auto"/>
                            <w:left w:val="none" w:sz="0" w:space="0" w:color="auto"/>
                            <w:bottom w:val="none" w:sz="0" w:space="0" w:color="auto"/>
                            <w:right w:val="none" w:sz="0" w:space="0" w:color="auto"/>
                          </w:divBdr>
                        </w:div>
                      </w:divsChild>
                    </w:div>
                    <w:div w:id="625549567">
                      <w:marLeft w:val="0"/>
                      <w:marRight w:val="0"/>
                      <w:marTop w:val="0"/>
                      <w:marBottom w:val="0"/>
                      <w:divBdr>
                        <w:top w:val="none" w:sz="0" w:space="0" w:color="auto"/>
                        <w:left w:val="none" w:sz="0" w:space="0" w:color="auto"/>
                        <w:bottom w:val="none" w:sz="0" w:space="0" w:color="auto"/>
                        <w:right w:val="none" w:sz="0" w:space="0" w:color="auto"/>
                      </w:divBdr>
                      <w:divsChild>
                        <w:div w:id="694307145">
                          <w:marLeft w:val="0"/>
                          <w:marRight w:val="0"/>
                          <w:marTop w:val="0"/>
                          <w:marBottom w:val="0"/>
                          <w:divBdr>
                            <w:top w:val="none" w:sz="0" w:space="0" w:color="auto"/>
                            <w:left w:val="none" w:sz="0" w:space="0" w:color="auto"/>
                            <w:bottom w:val="none" w:sz="0" w:space="0" w:color="auto"/>
                            <w:right w:val="none" w:sz="0" w:space="0" w:color="auto"/>
                          </w:divBdr>
                        </w:div>
                      </w:divsChild>
                    </w:div>
                    <w:div w:id="646783005">
                      <w:marLeft w:val="0"/>
                      <w:marRight w:val="0"/>
                      <w:marTop w:val="0"/>
                      <w:marBottom w:val="0"/>
                      <w:divBdr>
                        <w:top w:val="none" w:sz="0" w:space="0" w:color="auto"/>
                        <w:left w:val="none" w:sz="0" w:space="0" w:color="auto"/>
                        <w:bottom w:val="none" w:sz="0" w:space="0" w:color="auto"/>
                        <w:right w:val="none" w:sz="0" w:space="0" w:color="auto"/>
                      </w:divBdr>
                      <w:divsChild>
                        <w:div w:id="1357123409">
                          <w:marLeft w:val="0"/>
                          <w:marRight w:val="0"/>
                          <w:marTop w:val="0"/>
                          <w:marBottom w:val="0"/>
                          <w:divBdr>
                            <w:top w:val="none" w:sz="0" w:space="0" w:color="auto"/>
                            <w:left w:val="none" w:sz="0" w:space="0" w:color="auto"/>
                            <w:bottom w:val="none" w:sz="0" w:space="0" w:color="auto"/>
                            <w:right w:val="none" w:sz="0" w:space="0" w:color="auto"/>
                          </w:divBdr>
                        </w:div>
                      </w:divsChild>
                    </w:div>
                    <w:div w:id="846406726">
                      <w:marLeft w:val="0"/>
                      <w:marRight w:val="0"/>
                      <w:marTop w:val="0"/>
                      <w:marBottom w:val="0"/>
                      <w:divBdr>
                        <w:top w:val="none" w:sz="0" w:space="0" w:color="auto"/>
                        <w:left w:val="none" w:sz="0" w:space="0" w:color="auto"/>
                        <w:bottom w:val="none" w:sz="0" w:space="0" w:color="auto"/>
                        <w:right w:val="none" w:sz="0" w:space="0" w:color="auto"/>
                      </w:divBdr>
                    </w:div>
                    <w:div w:id="1092168536">
                      <w:marLeft w:val="0"/>
                      <w:marRight w:val="0"/>
                      <w:marTop w:val="0"/>
                      <w:marBottom w:val="0"/>
                      <w:divBdr>
                        <w:top w:val="none" w:sz="0" w:space="0" w:color="auto"/>
                        <w:left w:val="none" w:sz="0" w:space="0" w:color="auto"/>
                        <w:bottom w:val="none" w:sz="0" w:space="0" w:color="auto"/>
                        <w:right w:val="none" w:sz="0" w:space="0" w:color="auto"/>
                      </w:divBdr>
                      <w:divsChild>
                        <w:div w:id="237713337">
                          <w:marLeft w:val="0"/>
                          <w:marRight w:val="0"/>
                          <w:marTop w:val="0"/>
                          <w:marBottom w:val="0"/>
                          <w:divBdr>
                            <w:top w:val="none" w:sz="0" w:space="0" w:color="auto"/>
                            <w:left w:val="none" w:sz="0" w:space="0" w:color="auto"/>
                            <w:bottom w:val="none" w:sz="0" w:space="0" w:color="auto"/>
                            <w:right w:val="none" w:sz="0" w:space="0" w:color="auto"/>
                          </w:divBdr>
                        </w:div>
                      </w:divsChild>
                    </w:div>
                    <w:div w:id="1678115464">
                      <w:marLeft w:val="0"/>
                      <w:marRight w:val="0"/>
                      <w:marTop w:val="0"/>
                      <w:marBottom w:val="0"/>
                      <w:divBdr>
                        <w:top w:val="none" w:sz="0" w:space="0" w:color="auto"/>
                        <w:left w:val="none" w:sz="0" w:space="0" w:color="auto"/>
                        <w:bottom w:val="none" w:sz="0" w:space="0" w:color="auto"/>
                        <w:right w:val="none" w:sz="0" w:space="0" w:color="auto"/>
                      </w:divBdr>
                      <w:divsChild>
                        <w:div w:id="1262881945">
                          <w:marLeft w:val="0"/>
                          <w:marRight w:val="0"/>
                          <w:marTop w:val="0"/>
                          <w:marBottom w:val="0"/>
                          <w:divBdr>
                            <w:top w:val="none" w:sz="0" w:space="0" w:color="auto"/>
                            <w:left w:val="none" w:sz="0" w:space="0" w:color="auto"/>
                            <w:bottom w:val="none" w:sz="0" w:space="0" w:color="auto"/>
                            <w:right w:val="none" w:sz="0" w:space="0" w:color="auto"/>
                          </w:divBdr>
                        </w:div>
                      </w:divsChild>
                    </w:div>
                    <w:div w:id="1837645718">
                      <w:marLeft w:val="0"/>
                      <w:marRight w:val="0"/>
                      <w:marTop w:val="0"/>
                      <w:marBottom w:val="0"/>
                      <w:divBdr>
                        <w:top w:val="none" w:sz="0" w:space="0" w:color="auto"/>
                        <w:left w:val="none" w:sz="0" w:space="0" w:color="auto"/>
                        <w:bottom w:val="none" w:sz="0" w:space="0" w:color="auto"/>
                        <w:right w:val="none" w:sz="0" w:space="0" w:color="auto"/>
                      </w:divBdr>
                      <w:divsChild>
                        <w:div w:id="239484775">
                          <w:marLeft w:val="0"/>
                          <w:marRight w:val="0"/>
                          <w:marTop w:val="0"/>
                          <w:marBottom w:val="0"/>
                          <w:divBdr>
                            <w:top w:val="none" w:sz="0" w:space="0" w:color="auto"/>
                            <w:left w:val="none" w:sz="0" w:space="0" w:color="auto"/>
                            <w:bottom w:val="none" w:sz="0" w:space="0" w:color="auto"/>
                            <w:right w:val="none" w:sz="0" w:space="0" w:color="auto"/>
                          </w:divBdr>
                        </w:div>
                      </w:divsChild>
                    </w:div>
                    <w:div w:id="2101026210">
                      <w:marLeft w:val="0"/>
                      <w:marRight w:val="0"/>
                      <w:marTop w:val="0"/>
                      <w:marBottom w:val="0"/>
                      <w:divBdr>
                        <w:top w:val="none" w:sz="0" w:space="0" w:color="auto"/>
                        <w:left w:val="none" w:sz="0" w:space="0" w:color="auto"/>
                        <w:bottom w:val="none" w:sz="0" w:space="0" w:color="auto"/>
                        <w:right w:val="none" w:sz="0" w:space="0" w:color="auto"/>
                      </w:divBdr>
                      <w:divsChild>
                        <w:div w:id="14762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701288">
      <w:bodyDiv w:val="1"/>
      <w:marLeft w:val="0"/>
      <w:marRight w:val="0"/>
      <w:marTop w:val="0"/>
      <w:marBottom w:val="0"/>
      <w:divBdr>
        <w:top w:val="none" w:sz="0" w:space="0" w:color="auto"/>
        <w:left w:val="none" w:sz="0" w:space="0" w:color="auto"/>
        <w:bottom w:val="none" w:sz="0" w:space="0" w:color="auto"/>
        <w:right w:val="none" w:sz="0" w:space="0" w:color="auto"/>
      </w:divBdr>
      <w:divsChild>
        <w:div w:id="236476229">
          <w:marLeft w:val="0"/>
          <w:marRight w:val="0"/>
          <w:marTop w:val="0"/>
          <w:marBottom w:val="0"/>
          <w:divBdr>
            <w:top w:val="none" w:sz="0" w:space="0" w:color="auto"/>
            <w:left w:val="none" w:sz="0" w:space="0" w:color="auto"/>
            <w:bottom w:val="none" w:sz="0" w:space="0" w:color="auto"/>
            <w:right w:val="none" w:sz="0" w:space="0" w:color="auto"/>
          </w:divBdr>
          <w:divsChild>
            <w:div w:id="853110495">
              <w:marLeft w:val="0"/>
              <w:marRight w:val="0"/>
              <w:marTop w:val="450"/>
              <w:marBottom w:val="0"/>
              <w:divBdr>
                <w:top w:val="none" w:sz="0" w:space="0" w:color="auto"/>
                <w:left w:val="none" w:sz="0" w:space="0" w:color="auto"/>
                <w:bottom w:val="none" w:sz="0" w:space="0" w:color="auto"/>
                <w:right w:val="none" w:sz="0" w:space="0" w:color="auto"/>
              </w:divBdr>
              <w:divsChild>
                <w:div w:id="512456548">
                  <w:marLeft w:val="0"/>
                  <w:marRight w:val="645"/>
                  <w:marTop w:val="0"/>
                  <w:marBottom w:val="0"/>
                  <w:divBdr>
                    <w:top w:val="none" w:sz="0" w:space="0" w:color="auto"/>
                    <w:left w:val="none" w:sz="0" w:space="0" w:color="auto"/>
                    <w:bottom w:val="none" w:sz="0" w:space="0" w:color="auto"/>
                    <w:right w:val="none" w:sz="0" w:space="0" w:color="auto"/>
                  </w:divBdr>
                  <w:divsChild>
                    <w:div w:id="1576815740">
                      <w:marLeft w:val="0"/>
                      <w:marRight w:val="0"/>
                      <w:marTop w:val="0"/>
                      <w:marBottom w:val="0"/>
                      <w:divBdr>
                        <w:top w:val="none" w:sz="0" w:space="0" w:color="auto"/>
                        <w:left w:val="none" w:sz="0" w:space="0" w:color="auto"/>
                        <w:bottom w:val="none" w:sz="0" w:space="0" w:color="auto"/>
                        <w:right w:val="none" w:sz="0" w:space="0" w:color="auto"/>
                      </w:divBdr>
                    </w:div>
                  </w:divsChild>
                </w:div>
                <w:div w:id="690565515">
                  <w:marLeft w:val="0"/>
                  <w:marRight w:val="645"/>
                  <w:marTop w:val="0"/>
                  <w:marBottom w:val="0"/>
                  <w:divBdr>
                    <w:top w:val="none" w:sz="0" w:space="0" w:color="auto"/>
                    <w:left w:val="none" w:sz="0" w:space="0" w:color="auto"/>
                    <w:bottom w:val="none" w:sz="0" w:space="0" w:color="auto"/>
                    <w:right w:val="none" w:sz="0" w:space="0" w:color="auto"/>
                  </w:divBdr>
                  <w:divsChild>
                    <w:div w:id="15114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750165">
      <w:bodyDiv w:val="1"/>
      <w:marLeft w:val="0"/>
      <w:marRight w:val="0"/>
      <w:marTop w:val="0"/>
      <w:marBottom w:val="0"/>
      <w:divBdr>
        <w:top w:val="none" w:sz="0" w:space="0" w:color="auto"/>
        <w:left w:val="none" w:sz="0" w:space="0" w:color="auto"/>
        <w:bottom w:val="none" w:sz="0" w:space="0" w:color="auto"/>
        <w:right w:val="none" w:sz="0" w:space="0" w:color="auto"/>
      </w:divBdr>
    </w:div>
    <w:div w:id="648827122">
      <w:bodyDiv w:val="1"/>
      <w:marLeft w:val="0"/>
      <w:marRight w:val="0"/>
      <w:marTop w:val="0"/>
      <w:marBottom w:val="0"/>
      <w:divBdr>
        <w:top w:val="none" w:sz="0" w:space="0" w:color="auto"/>
        <w:left w:val="none" w:sz="0" w:space="0" w:color="auto"/>
        <w:bottom w:val="none" w:sz="0" w:space="0" w:color="auto"/>
        <w:right w:val="none" w:sz="0" w:space="0" w:color="auto"/>
      </w:divBdr>
    </w:div>
    <w:div w:id="940724970">
      <w:bodyDiv w:val="1"/>
      <w:marLeft w:val="0"/>
      <w:marRight w:val="0"/>
      <w:marTop w:val="0"/>
      <w:marBottom w:val="0"/>
      <w:divBdr>
        <w:top w:val="none" w:sz="0" w:space="0" w:color="auto"/>
        <w:left w:val="none" w:sz="0" w:space="0" w:color="auto"/>
        <w:bottom w:val="none" w:sz="0" w:space="0" w:color="auto"/>
        <w:right w:val="none" w:sz="0" w:space="0" w:color="auto"/>
      </w:divBdr>
    </w:div>
    <w:div w:id="1007442851">
      <w:bodyDiv w:val="1"/>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0"/>
          <w:marBottom w:val="750"/>
          <w:divBdr>
            <w:top w:val="none" w:sz="0" w:space="0" w:color="auto"/>
            <w:left w:val="none" w:sz="0" w:space="0" w:color="auto"/>
            <w:bottom w:val="none" w:sz="0" w:space="0" w:color="auto"/>
            <w:right w:val="none" w:sz="0" w:space="0" w:color="auto"/>
          </w:divBdr>
          <w:divsChild>
            <w:div w:id="242959715">
              <w:marLeft w:val="0"/>
              <w:marRight w:val="0"/>
              <w:marTop w:val="0"/>
              <w:marBottom w:val="0"/>
              <w:divBdr>
                <w:top w:val="none" w:sz="0" w:space="0" w:color="auto"/>
                <w:left w:val="none" w:sz="0" w:space="0" w:color="auto"/>
                <w:bottom w:val="none" w:sz="0" w:space="0" w:color="auto"/>
                <w:right w:val="none" w:sz="0" w:space="0" w:color="auto"/>
              </w:divBdr>
              <w:divsChild>
                <w:div w:id="550848574">
                  <w:marLeft w:val="-225"/>
                  <w:marRight w:val="-225"/>
                  <w:marTop w:val="0"/>
                  <w:marBottom w:val="0"/>
                  <w:divBdr>
                    <w:top w:val="none" w:sz="0" w:space="0" w:color="auto"/>
                    <w:left w:val="none" w:sz="0" w:space="0" w:color="auto"/>
                    <w:bottom w:val="none" w:sz="0" w:space="0" w:color="auto"/>
                    <w:right w:val="none" w:sz="0" w:space="0" w:color="auto"/>
                  </w:divBdr>
                  <w:divsChild>
                    <w:div w:id="894976436">
                      <w:marLeft w:val="0"/>
                      <w:marRight w:val="0"/>
                      <w:marTop w:val="0"/>
                      <w:marBottom w:val="0"/>
                      <w:divBdr>
                        <w:top w:val="none" w:sz="0" w:space="0" w:color="auto"/>
                        <w:left w:val="none" w:sz="0" w:space="0" w:color="auto"/>
                        <w:bottom w:val="none" w:sz="0" w:space="0" w:color="auto"/>
                        <w:right w:val="none" w:sz="0" w:space="0" w:color="auto"/>
                      </w:divBdr>
                      <w:divsChild>
                        <w:div w:id="105391224">
                          <w:marLeft w:val="-225"/>
                          <w:marRight w:val="-225"/>
                          <w:marTop w:val="0"/>
                          <w:marBottom w:val="0"/>
                          <w:divBdr>
                            <w:top w:val="none" w:sz="0" w:space="0" w:color="auto"/>
                            <w:left w:val="none" w:sz="0" w:space="0" w:color="auto"/>
                            <w:bottom w:val="none" w:sz="0" w:space="0" w:color="auto"/>
                            <w:right w:val="none" w:sz="0" w:space="0" w:color="auto"/>
                          </w:divBdr>
                          <w:divsChild>
                            <w:div w:id="570189888">
                              <w:marLeft w:val="0"/>
                              <w:marRight w:val="0"/>
                              <w:marTop w:val="0"/>
                              <w:marBottom w:val="0"/>
                              <w:divBdr>
                                <w:top w:val="none" w:sz="0" w:space="0" w:color="auto"/>
                                <w:left w:val="none" w:sz="0" w:space="0" w:color="auto"/>
                                <w:bottom w:val="none" w:sz="0" w:space="0" w:color="auto"/>
                                <w:right w:val="none" w:sz="0" w:space="0" w:color="auto"/>
                              </w:divBdr>
                            </w:div>
                          </w:divsChild>
                        </w:div>
                        <w:div w:id="461770611">
                          <w:marLeft w:val="-225"/>
                          <w:marRight w:val="-225"/>
                          <w:marTop w:val="0"/>
                          <w:marBottom w:val="0"/>
                          <w:divBdr>
                            <w:top w:val="none" w:sz="0" w:space="0" w:color="auto"/>
                            <w:left w:val="none" w:sz="0" w:space="0" w:color="auto"/>
                            <w:bottom w:val="none" w:sz="0" w:space="0" w:color="auto"/>
                            <w:right w:val="none" w:sz="0" w:space="0" w:color="auto"/>
                          </w:divBdr>
                          <w:divsChild>
                            <w:div w:id="824781234">
                              <w:marLeft w:val="0"/>
                              <w:marRight w:val="0"/>
                              <w:marTop w:val="0"/>
                              <w:marBottom w:val="0"/>
                              <w:divBdr>
                                <w:top w:val="none" w:sz="0" w:space="0" w:color="auto"/>
                                <w:left w:val="none" w:sz="0" w:space="0" w:color="auto"/>
                                <w:bottom w:val="none" w:sz="0" w:space="0" w:color="auto"/>
                                <w:right w:val="none" w:sz="0" w:space="0" w:color="auto"/>
                              </w:divBdr>
                              <w:divsChild>
                                <w:div w:id="520052560">
                                  <w:marLeft w:val="-75"/>
                                  <w:marRight w:val="0"/>
                                  <w:marTop w:val="0"/>
                                  <w:marBottom w:val="0"/>
                                  <w:divBdr>
                                    <w:top w:val="none" w:sz="0" w:space="0" w:color="auto"/>
                                    <w:left w:val="none" w:sz="0" w:space="0" w:color="auto"/>
                                    <w:bottom w:val="none" w:sz="0" w:space="0" w:color="auto"/>
                                    <w:right w:val="none" w:sz="0" w:space="0" w:color="auto"/>
                                  </w:divBdr>
                                  <w:divsChild>
                                    <w:div w:id="50153096">
                                      <w:marLeft w:val="0"/>
                                      <w:marRight w:val="0"/>
                                      <w:marTop w:val="0"/>
                                      <w:marBottom w:val="0"/>
                                      <w:divBdr>
                                        <w:top w:val="none" w:sz="0" w:space="0" w:color="auto"/>
                                        <w:left w:val="none" w:sz="0" w:space="0" w:color="auto"/>
                                        <w:bottom w:val="none" w:sz="0" w:space="0" w:color="auto"/>
                                        <w:right w:val="none" w:sz="0" w:space="0" w:color="auto"/>
                                      </w:divBdr>
                                    </w:div>
                                    <w:div w:id="162870352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43136735">
                              <w:marLeft w:val="0"/>
                              <w:marRight w:val="0"/>
                              <w:marTop w:val="0"/>
                              <w:marBottom w:val="0"/>
                              <w:divBdr>
                                <w:top w:val="none" w:sz="0" w:space="0" w:color="auto"/>
                                <w:left w:val="none" w:sz="0" w:space="0" w:color="auto"/>
                                <w:bottom w:val="none" w:sz="0" w:space="0" w:color="auto"/>
                                <w:right w:val="none" w:sz="0" w:space="0" w:color="auto"/>
                              </w:divBdr>
                              <w:divsChild>
                                <w:div w:id="980647296">
                                  <w:marLeft w:val="-75"/>
                                  <w:marRight w:val="0"/>
                                  <w:marTop w:val="0"/>
                                  <w:marBottom w:val="0"/>
                                  <w:divBdr>
                                    <w:top w:val="none" w:sz="0" w:space="0" w:color="auto"/>
                                    <w:left w:val="none" w:sz="0" w:space="0" w:color="auto"/>
                                    <w:bottom w:val="none" w:sz="0" w:space="0" w:color="auto"/>
                                    <w:right w:val="none" w:sz="0" w:space="0" w:color="auto"/>
                                  </w:divBdr>
                                  <w:divsChild>
                                    <w:div w:id="849680902">
                                      <w:marLeft w:val="0"/>
                                      <w:marRight w:val="0"/>
                                      <w:marTop w:val="0"/>
                                      <w:marBottom w:val="0"/>
                                      <w:divBdr>
                                        <w:top w:val="none" w:sz="0" w:space="0" w:color="auto"/>
                                        <w:left w:val="none" w:sz="0" w:space="0" w:color="auto"/>
                                        <w:bottom w:val="none" w:sz="0" w:space="0" w:color="auto"/>
                                        <w:right w:val="none" w:sz="0" w:space="0" w:color="auto"/>
                                      </w:divBdr>
                                    </w:div>
                                    <w:div w:id="14880894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038989">
      <w:bodyDiv w:val="1"/>
      <w:marLeft w:val="0"/>
      <w:marRight w:val="0"/>
      <w:marTop w:val="0"/>
      <w:marBottom w:val="0"/>
      <w:divBdr>
        <w:top w:val="none" w:sz="0" w:space="0" w:color="auto"/>
        <w:left w:val="none" w:sz="0" w:space="0" w:color="auto"/>
        <w:bottom w:val="none" w:sz="0" w:space="0" w:color="auto"/>
        <w:right w:val="none" w:sz="0" w:space="0" w:color="auto"/>
      </w:divBdr>
      <w:divsChild>
        <w:div w:id="45837211">
          <w:marLeft w:val="547"/>
          <w:marRight w:val="0"/>
          <w:marTop w:val="0"/>
          <w:marBottom w:val="0"/>
          <w:divBdr>
            <w:top w:val="none" w:sz="0" w:space="0" w:color="auto"/>
            <w:left w:val="none" w:sz="0" w:space="0" w:color="auto"/>
            <w:bottom w:val="none" w:sz="0" w:space="0" w:color="auto"/>
            <w:right w:val="none" w:sz="0" w:space="0" w:color="auto"/>
          </w:divBdr>
        </w:div>
        <w:div w:id="899292701">
          <w:marLeft w:val="547"/>
          <w:marRight w:val="0"/>
          <w:marTop w:val="0"/>
          <w:marBottom w:val="0"/>
          <w:divBdr>
            <w:top w:val="none" w:sz="0" w:space="0" w:color="auto"/>
            <w:left w:val="none" w:sz="0" w:space="0" w:color="auto"/>
            <w:bottom w:val="none" w:sz="0" w:space="0" w:color="auto"/>
            <w:right w:val="none" w:sz="0" w:space="0" w:color="auto"/>
          </w:divBdr>
        </w:div>
        <w:div w:id="1721435441">
          <w:marLeft w:val="547"/>
          <w:marRight w:val="0"/>
          <w:marTop w:val="0"/>
          <w:marBottom w:val="0"/>
          <w:divBdr>
            <w:top w:val="none" w:sz="0" w:space="0" w:color="auto"/>
            <w:left w:val="none" w:sz="0" w:space="0" w:color="auto"/>
            <w:bottom w:val="none" w:sz="0" w:space="0" w:color="auto"/>
            <w:right w:val="none" w:sz="0" w:space="0" w:color="auto"/>
          </w:divBdr>
        </w:div>
      </w:divsChild>
    </w:div>
    <w:div w:id="1066104653">
      <w:bodyDiv w:val="1"/>
      <w:marLeft w:val="0"/>
      <w:marRight w:val="0"/>
      <w:marTop w:val="0"/>
      <w:marBottom w:val="0"/>
      <w:divBdr>
        <w:top w:val="none" w:sz="0" w:space="0" w:color="auto"/>
        <w:left w:val="none" w:sz="0" w:space="0" w:color="auto"/>
        <w:bottom w:val="none" w:sz="0" w:space="0" w:color="auto"/>
        <w:right w:val="none" w:sz="0" w:space="0" w:color="auto"/>
      </w:divBdr>
      <w:divsChild>
        <w:div w:id="1161508179">
          <w:marLeft w:val="0"/>
          <w:marRight w:val="0"/>
          <w:marTop w:val="0"/>
          <w:marBottom w:val="0"/>
          <w:divBdr>
            <w:top w:val="none" w:sz="0" w:space="0" w:color="auto"/>
            <w:left w:val="none" w:sz="0" w:space="0" w:color="auto"/>
            <w:bottom w:val="none" w:sz="0" w:space="0" w:color="auto"/>
            <w:right w:val="none" w:sz="0" w:space="0" w:color="auto"/>
          </w:divBdr>
          <w:divsChild>
            <w:div w:id="243956940">
              <w:marLeft w:val="1"/>
              <w:marRight w:val="1"/>
              <w:marTop w:val="1"/>
              <w:marBottom w:val="1"/>
              <w:divBdr>
                <w:top w:val="none" w:sz="0" w:space="0" w:color="auto"/>
                <w:left w:val="none" w:sz="0" w:space="0" w:color="auto"/>
                <w:bottom w:val="none" w:sz="0" w:space="0" w:color="auto"/>
                <w:right w:val="none" w:sz="0" w:space="0" w:color="auto"/>
              </w:divBdr>
              <w:divsChild>
                <w:div w:id="678510340">
                  <w:marLeft w:val="0"/>
                  <w:marRight w:val="0"/>
                  <w:marTop w:val="0"/>
                  <w:marBottom w:val="0"/>
                  <w:divBdr>
                    <w:top w:val="none" w:sz="0" w:space="0" w:color="auto"/>
                    <w:left w:val="none" w:sz="0" w:space="0" w:color="auto"/>
                    <w:bottom w:val="none" w:sz="0" w:space="0" w:color="auto"/>
                    <w:right w:val="none" w:sz="0" w:space="0" w:color="auto"/>
                  </w:divBdr>
                  <w:divsChild>
                    <w:div w:id="1177035256">
                      <w:marLeft w:val="0"/>
                      <w:marRight w:val="0"/>
                      <w:marTop w:val="0"/>
                      <w:marBottom w:val="0"/>
                      <w:divBdr>
                        <w:top w:val="none" w:sz="0" w:space="0" w:color="auto"/>
                        <w:left w:val="none" w:sz="0" w:space="0" w:color="auto"/>
                        <w:bottom w:val="none" w:sz="0" w:space="0" w:color="auto"/>
                        <w:right w:val="none" w:sz="0" w:space="0" w:color="auto"/>
                      </w:divBdr>
                    </w:div>
                    <w:div w:id="1391733822">
                      <w:marLeft w:val="0"/>
                      <w:marRight w:val="0"/>
                      <w:marTop w:val="0"/>
                      <w:marBottom w:val="0"/>
                      <w:divBdr>
                        <w:top w:val="none" w:sz="0" w:space="0" w:color="auto"/>
                        <w:left w:val="none" w:sz="0" w:space="0" w:color="auto"/>
                        <w:bottom w:val="none" w:sz="0" w:space="0" w:color="auto"/>
                        <w:right w:val="none" w:sz="0" w:space="0" w:color="auto"/>
                      </w:divBdr>
                      <w:divsChild>
                        <w:div w:id="864903791">
                          <w:marLeft w:val="0"/>
                          <w:marRight w:val="0"/>
                          <w:marTop w:val="0"/>
                          <w:marBottom w:val="0"/>
                          <w:divBdr>
                            <w:top w:val="none" w:sz="0" w:space="0" w:color="auto"/>
                            <w:left w:val="none" w:sz="0" w:space="0" w:color="auto"/>
                            <w:bottom w:val="none" w:sz="0" w:space="0" w:color="auto"/>
                            <w:right w:val="none" w:sz="0" w:space="0" w:color="auto"/>
                          </w:divBdr>
                        </w:div>
                      </w:divsChild>
                    </w:div>
                    <w:div w:id="1893342275">
                      <w:marLeft w:val="0"/>
                      <w:marRight w:val="0"/>
                      <w:marTop w:val="0"/>
                      <w:marBottom w:val="0"/>
                      <w:divBdr>
                        <w:top w:val="none" w:sz="0" w:space="0" w:color="auto"/>
                        <w:left w:val="none" w:sz="0" w:space="0" w:color="auto"/>
                        <w:bottom w:val="none" w:sz="0" w:space="0" w:color="auto"/>
                        <w:right w:val="none" w:sz="0" w:space="0" w:color="auto"/>
                      </w:divBdr>
                      <w:divsChild>
                        <w:div w:id="1721973644">
                          <w:marLeft w:val="0"/>
                          <w:marRight w:val="0"/>
                          <w:marTop w:val="0"/>
                          <w:marBottom w:val="0"/>
                          <w:divBdr>
                            <w:top w:val="none" w:sz="0" w:space="0" w:color="auto"/>
                            <w:left w:val="none" w:sz="0" w:space="0" w:color="auto"/>
                            <w:bottom w:val="none" w:sz="0" w:space="0" w:color="auto"/>
                            <w:right w:val="none" w:sz="0" w:space="0" w:color="auto"/>
                          </w:divBdr>
                        </w:div>
                      </w:divsChild>
                    </w:div>
                    <w:div w:id="1942760004">
                      <w:marLeft w:val="0"/>
                      <w:marRight w:val="0"/>
                      <w:marTop w:val="0"/>
                      <w:marBottom w:val="0"/>
                      <w:divBdr>
                        <w:top w:val="none" w:sz="0" w:space="0" w:color="auto"/>
                        <w:left w:val="none" w:sz="0" w:space="0" w:color="auto"/>
                        <w:bottom w:val="none" w:sz="0" w:space="0" w:color="auto"/>
                        <w:right w:val="none" w:sz="0" w:space="0" w:color="auto"/>
                      </w:divBdr>
                      <w:divsChild>
                        <w:div w:id="1884633398">
                          <w:marLeft w:val="0"/>
                          <w:marRight w:val="0"/>
                          <w:marTop w:val="0"/>
                          <w:marBottom w:val="0"/>
                          <w:divBdr>
                            <w:top w:val="none" w:sz="0" w:space="0" w:color="auto"/>
                            <w:left w:val="none" w:sz="0" w:space="0" w:color="auto"/>
                            <w:bottom w:val="none" w:sz="0" w:space="0" w:color="auto"/>
                            <w:right w:val="none" w:sz="0" w:space="0" w:color="auto"/>
                          </w:divBdr>
                        </w:div>
                      </w:divsChild>
                    </w:div>
                    <w:div w:id="1975132717">
                      <w:marLeft w:val="0"/>
                      <w:marRight w:val="0"/>
                      <w:marTop w:val="0"/>
                      <w:marBottom w:val="0"/>
                      <w:divBdr>
                        <w:top w:val="none" w:sz="0" w:space="0" w:color="auto"/>
                        <w:left w:val="none" w:sz="0" w:space="0" w:color="auto"/>
                        <w:bottom w:val="none" w:sz="0" w:space="0" w:color="auto"/>
                        <w:right w:val="none" w:sz="0" w:space="0" w:color="auto"/>
                      </w:divBdr>
                      <w:divsChild>
                        <w:div w:id="374936854">
                          <w:marLeft w:val="0"/>
                          <w:marRight w:val="0"/>
                          <w:marTop w:val="0"/>
                          <w:marBottom w:val="0"/>
                          <w:divBdr>
                            <w:top w:val="none" w:sz="0" w:space="0" w:color="auto"/>
                            <w:left w:val="none" w:sz="0" w:space="0" w:color="auto"/>
                            <w:bottom w:val="none" w:sz="0" w:space="0" w:color="auto"/>
                            <w:right w:val="none" w:sz="0" w:space="0" w:color="auto"/>
                          </w:divBdr>
                        </w:div>
                      </w:divsChild>
                    </w:div>
                    <w:div w:id="1989018587">
                      <w:marLeft w:val="0"/>
                      <w:marRight w:val="0"/>
                      <w:marTop w:val="0"/>
                      <w:marBottom w:val="0"/>
                      <w:divBdr>
                        <w:top w:val="none" w:sz="0" w:space="0" w:color="auto"/>
                        <w:left w:val="none" w:sz="0" w:space="0" w:color="auto"/>
                        <w:bottom w:val="none" w:sz="0" w:space="0" w:color="auto"/>
                        <w:right w:val="none" w:sz="0" w:space="0" w:color="auto"/>
                      </w:divBdr>
                      <w:divsChild>
                        <w:div w:id="12830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890294">
      <w:bodyDiv w:val="1"/>
      <w:marLeft w:val="0"/>
      <w:marRight w:val="0"/>
      <w:marTop w:val="0"/>
      <w:marBottom w:val="0"/>
      <w:divBdr>
        <w:top w:val="none" w:sz="0" w:space="0" w:color="auto"/>
        <w:left w:val="none" w:sz="0" w:space="0" w:color="auto"/>
        <w:bottom w:val="none" w:sz="0" w:space="0" w:color="auto"/>
        <w:right w:val="none" w:sz="0" w:space="0" w:color="auto"/>
      </w:divBdr>
    </w:div>
    <w:div w:id="1197815236">
      <w:bodyDiv w:val="1"/>
      <w:marLeft w:val="0"/>
      <w:marRight w:val="0"/>
      <w:marTop w:val="0"/>
      <w:marBottom w:val="0"/>
      <w:divBdr>
        <w:top w:val="none" w:sz="0" w:space="0" w:color="auto"/>
        <w:left w:val="none" w:sz="0" w:space="0" w:color="auto"/>
        <w:bottom w:val="none" w:sz="0" w:space="0" w:color="auto"/>
        <w:right w:val="none" w:sz="0" w:space="0" w:color="auto"/>
      </w:divBdr>
      <w:divsChild>
        <w:div w:id="503207160">
          <w:marLeft w:val="1166"/>
          <w:marRight w:val="0"/>
          <w:marTop w:val="58"/>
          <w:marBottom w:val="0"/>
          <w:divBdr>
            <w:top w:val="none" w:sz="0" w:space="0" w:color="auto"/>
            <w:left w:val="none" w:sz="0" w:space="0" w:color="auto"/>
            <w:bottom w:val="none" w:sz="0" w:space="0" w:color="auto"/>
            <w:right w:val="none" w:sz="0" w:space="0" w:color="auto"/>
          </w:divBdr>
        </w:div>
        <w:div w:id="715395024">
          <w:marLeft w:val="547"/>
          <w:marRight w:val="0"/>
          <w:marTop w:val="67"/>
          <w:marBottom w:val="0"/>
          <w:divBdr>
            <w:top w:val="none" w:sz="0" w:space="0" w:color="auto"/>
            <w:left w:val="none" w:sz="0" w:space="0" w:color="auto"/>
            <w:bottom w:val="none" w:sz="0" w:space="0" w:color="auto"/>
            <w:right w:val="none" w:sz="0" w:space="0" w:color="auto"/>
          </w:divBdr>
        </w:div>
      </w:divsChild>
    </w:div>
    <w:div w:id="1205680711">
      <w:bodyDiv w:val="1"/>
      <w:marLeft w:val="0"/>
      <w:marRight w:val="0"/>
      <w:marTop w:val="0"/>
      <w:marBottom w:val="0"/>
      <w:divBdr>
        <w:top w:val="none" w:sz="0" w:space="0" w:color="auto"/>
        <w:left w:val="none" w:sz="0" w:space="0" w:color="auto"/>
        <w:bottom w:val="none" w:sz="0" w:space="0" w:color="auto"/>
        <w:right w:val="none" w:sz="0" w:space="0" w:color="auto"/>
      </w:divBdr>
      <w:divsChild>
        <w:div w:id="1725132793">
          <w:marLeft w:val="0"/>
          <w:marRight w:val="0"/>
          <w:marTop w:val="0"/>
          <w:marBottom w:val="0"/>
          <w:divBdr>
            <w:top w:val="none" w:sz="0" w:space="0" w:color="auto"/>
            <w:left w:val="none" w:sz="0" w:space="0" w:color="auto"/>
            <w:bottom w:val="none" w:sz="0" w:space="0" w:color="auto"/>
            <w:right w:val="none" w:sz="0" w:space="0" w:color="auto"/>
          </w:divBdr>
          <w:divsChild>
            <w:div w:id="838040611">
              <w:marLeft w:val="1"/>
              <w:marRight w:val="1"/>
              <w:marTop w:val="1"/>
              <w:marBottom w:val="1"/>
              <w:divBdr>
                <w:top w:val="none" w:sz="0" w:space="0" w:color="auto"/>
                <w:left w:val="none" w:sz="0" w:space="0" w:color="auto"/>
                <w:bottom w:val="none" w:sz="0" w:space="0" w:color="auto"/>
                <w:right w:val="none" w:sz="0" w:space="0" w:color="auto"/>
              </w:divBdr>
              <w:divsChild>
                <w:div w:id="11149012">
                  <w:marLeft w:val="0"/>
                  <w:marRight w:val="0"/>
                  <w:marTop w:val="0"/>
                  <w:marBottom w:val="0"/>
                  <w:divBdr>
                    <w:top w:val="none" w:sz="0" w:space="0" w:color="auto"/>
                    <w:left w:val="none" w:sz="0" w:space="0" w:color="auto"/>
                    <w:bottom w:val="none" w:sz="0" w:space="0" w:color="auto"/>
                    <w:right w:val="none" w:sz="0" w:space="0" w:color="auto"/>
                  </w:divBdr>
                  <w:divsChild>
                    <w:div w:id="758596436">
                      <w:marLeft w:val="0"/>
                      <w:marRight w:val="0"/>
                      <w:marTop w:val="0"/>
                      <w:marBottom w:val="0"/>
                      <w:divBdr>
                        <w:top w:val="none" w:sz="0" w:space="0" w:color="auto"/>
                        <w:left w:val="none" w:sz="0" w:space="0" w:color="auto"/>
                        <w:bottom w:val="none" w:sz="0" w:space="0" w:color="auto"/>
                        <w:right w:val="none" w:sz="0" w:space="0" w:color="auto"/>
                      </w:divBdr>
                      <w:divsChild>
                        <w:div w:id="1266646917">
                          <w:marLeft w:val="0"/>
                          <w:marRight w:val="0"/>
                          <w:marTop w:val="0"/>
                          <w:marBottom w:val="0"/>
                          <w:divBdr>
                            <w:top w:val="none" w:sz="0" w:space="0" w:color="auto"/>
                            <w:left w:val="none" w:sz="0" w:space="0" w:color="auto"/>
                            <w:bottom w:val="none" w:sz="0" w:space="0" w:color="auto"/>
                            <w:right w:val="none" w:sz="0" w:space="0" w:color="auto"/>
                          </w:divBdr>
                        </w:div>
                      </w:divsChild>
                    </w:div>
                    <w:div w:id="14140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15262">
      <w:bodyDiv w:val="1"/>
      <w:marLeft w:val="0"/>
      <w:marRight w:val="0"/>
      <w:marTop w:val="0"/>
      <w:marBottom w:val="0"/>
      <w:divBdr>
        <w:top w:val="none" w:sz="0" w:space="0" w:color="auto"/>
        <w:left w:val="none" w:sz="0" w:space="0" w:color="auto"/>
        <w:bottom w:val="none" w:sz="0" w:space="0" w:color="auto"/>
        <w:right w:val="none" w:sz="0" w:space="0" w:color="auto"/>
      </w:divBdr>
      <w:divsChild>
        <w:div w:id="733161030">
          <w:marLeft w:val="547"/>
          <w:marRight w:val="0"/>
          <w:marTop w:val="86"/>
          <w:marBottom w:val="0"/>
          <w:divBdr>
            <w:top w:val="none" w:sz="0" w:space="0" w:color="auto"/>
            <w:left w:val="none" w:sz="0" w:space="0" w:color="auto"/>
            <w:bottom w:val="none" w:sz="0" w:space="0" w:color="auto"/>
            <w:right w:val="none" w:sz="0" w:space="0" w:color="auto"/>
          </w:divBdr>
        </w:div>
        <w:div w:id="1028795430">
          <w:marLeft w:val="547"/>
          <w:marRight w:val="0"/>
          <w:marTop w:val="86"/>
          <w:marBottom w:val="0"/>
          <w:divBdr>
            <w:top w:val="none" w:sz="0" w:space="0" w:color="auto"/>
            <w:left w:val="none" w:sz="0" w:space="0" w:color="auto"/>
            <w:bottom w:val="none" w:sz="0" w:space="0" w:color="auto"/>
            <w:right w:val="none" w:sz="0" w:space="0" w:color="auto"/>
          </w:divBdr>
        </w:div>
        <w:div w:id="1361122154">
          <w:marLeft w:val="547"/>
          <w:marRight w:val="0"/>
          <w:marTop w:val="86"/>
          <w:marBottom w:val="0"/>
          <w:divBdr>
            <w:top w:val="none" w:sz="0" w:space="0" w:color="auto"/>
            <w:left w:val="none" w:sz="0" w:space="0" w:color="auto"/>
            <w:bottom w:val="none" w:sz="0" w:space="0" w:color="auto"/>
            <w:right w:val="none" w:sz="0" w:space="0" w:color="auto"/>
          </w:divBdr>
        </w:div>
        <w:div w:id="1376539906">
          <w:marLeft w:val="547"/>
          <w:marRight w:val="0"/>
          <w:marTop w:val="86"/>
          <w:marBottom w:val="0"/>
          <w:divBdr>
            <w:top w:val="none" w:sz="0" w:space="0" w:color="auto"/>
            <w:left w:val="none" w:sz="0" w:space="0" w:color="auto"/>
            <w:bottom w:val="none" w:sz="0" w:space="0" w:color="auto"/>
            <w:right w:val="none" w:sz="0" w:space="0" w:color="auto"/>
          </w:divBdr>
        </w:div>
        <w:div w:id="1401828196">
          <w:marLeft w:val="547"/>
          <w:marRight w:val="0"/>
          <w:marTop w:val="86"/>
          <w:marBottom w:val="0"/>
          <w:divBdr>
            <w:top w:val="none" w:sz="0" w:space="0" w:color="auto"/>
            <w:left w:val="none" w:sz="0" w:space="0" w:color="auto"/>
            <w:bottom w:val="none" w:sz="0" w:space="0" w:color="auto"/>
            <w:right w:val="none" w:sz="0" w:space="0" w:color="auto"/>
          </w:divBdr>
        </w:div>
        <w:div w:id="1583879353">
          <w:marLeft w:val="547"/>
          <w:marRight w:val="0"/>
          <w:marTop w:val="86"/>
          <w:marBottom w:val="0"/>
          <w:divBdr>
            <w:top w:val="none" w:sz="0" w:space="0" w:color="auto"/>
            <w:left w:val="none" w:sz="0" w:space="0" w:color="auto"/>
            <w:bottom w:val="none" w:sz="0" w:space="0" w:color="auto"/>
            <w:right w:val="none" w:sz="0" w:space="0" w:color="auto"/>
          </w:divBdr>
        </w:div>
        <w:div w:id="1673099961">
          <w:marLeft w:val="547"/>
          <w:marRight w:val="0"/>
          <w:marTop w:val="86"/>
          <w:marBottom w:val="0"/>
          <w:divBdr>
            <w:top w:val="none" w:sz="0" w:space="0" w:color="auto"/>
            <w:left w:val="none" w:sz="0" w:space="0" w:color="auto"/>
            <w:bottom w:val="none" w:sz="0" w:space="0" w:color="auto"/>
            <w:right w:val="none" w:sz="0" w:space="0" w:color="auto"/>
          </w:divBdr>
        </w:div>
        <w:div w:id="1756320571">
          <w:marLeft w:val="547"/>
          <w:marRight w:val="0"/>
          <w:marTop w:val="86"/>
          <w:marBottom w:val="0"/>
          <w:divBdr>
            <w:top w:val="none" w:sz="0" w:space="0" w:color="auto"/>
            <w:left w:val="none" w:sz="0" w:space="0" w:color="auto"/>
            <w:bottom w:val="none" w:sz="0" w:space="0" w:color="auto"/>
            <w:right w:val="none" w:sz="0" w:space="0" w:color="auto"/>
          </w:divBdr>
        </w:div>
        <w:div w:id="1868323933">
          <w:marLeft w:val="547"/>
          <w:marRight w:val="0"/>
          <w:marTop w:val="86"/>
          <w:marBottom w:val="0"/>
          <w:divBdr>
            <w:top w:val="none" w:sz="0" w:space="0" w:color="auto"/>
            <w:left w:val="none" w:sz="0" w:space="0" w:color="auto"/>
            <w:bottom w:val="none" w:sz="0" w:space="0" w:color="auto"/>
            <w:right w:val="none" w:sz="0" w:space="0" w:color="auto"/>
          </w:divBdr>
        </w:div>
      </w:divsChild>
    </w:div>
    <w:div w:id="1422676413">
      <w:bodyDiv w:val="1"/>
      <w:marLeft w:val="0"/>
      <w:marRight w:val="0"/>
      <w:marTop w:val="0"/>
      <w:marBottom w:val="0"/>
      <w:divBdr>
        <w:top w:val="none" w:sz="0" w:space="0" w:color="auto"/>
        <w:left w:val="none" w:sz="0" w:space="0" w:color="auto"/>
        <w:bottom w:val="none" w:sz="0" w:space="0" w:color="auto"/>
        <w:right w:val="none" w:sz="0" w:space="0" w:color="auto"/>
      </w:divBdr>
      <w:divsChild>
        <w:div w:id="138230453">
          <w:marLeft w:val="547"/>
          <w:marRight w:val="0"/>
          <w:marTop w:val="0"/>
          <w:marBottom w:val="0"/>
          <w:divBdr>
            <w:top w:val="none" w:sz="0" w:space="0" w:color="auto"/>
            <w:left w:val="none" w:sz="0" w:space="0" w:color="auto"/>
            <w:bottom w:val="none" w:sz="0" w:space="0" w:color="auto"/>
            <w:right w:val="none" w:sz="0" w:space="0" w:color="auto"/>
          </w:divBdr>
        </w:div>
        <w:div w:id="284316790">
          <w:marLeft w:val="547"/>
          <w:marRight w:val="0"/>
          <w:marTop w:val="0"/>
          <w:marBottom w:val="0"/>
          <w:divBdr>
            <w:top w:val="none" w:sz="0" w:space="0" w:color="auto"/>
            <w:left w:val="none" w:sz="0" w:space="0" w:color="auto"/>
            <w:bottom w:val="none" w:sz="0" w:space="0" w:color="auto"/>
            <w:right w:val="none" w:sz="0" w:space="0" w:color="auto"/>
          </w:divBdr>
        </w:div>
        <w:div w:id="954365529">
          <w:marLeft w:val="547"/>
          <w:marRight w:val="0"/>
          <w:marTop w:val="0"/>
          <w:marBottom w:val="0"/>
          <w:divBdr>
            <w:top w:val="none" w:sz="0" w:space="0" w:color="auto"/>
            <w:left w:val="none" w:sz="0" w:space="0" w:color="auto"/>
            <w:bottom w:val="none" w:sz="0" w:space="0" w:color="auto"/>
            <w:right w:val="none" w:sz="0" w:space="0" w:color="auto"/>
          </w:divBdr>
        </w:div>
      </w:divsChild>
    </w:div>
    <w:div w:id="1648316871">
      <w:bodyDiv w:val="1"/>
      <w:marLeft w:val="0"/>
      <w:marRight w:val="0"/>
      <w:marTop w:val="0"/>
      <w:marBottom w:val="0"/>
      <w:divBdr>
        <w:top w:val="none" w:sz="0" w:space="0" w:color="auto"/>
        <w:left w:val="none" w:sz="0" w:space="0" w:color="auto"/>
        <w:bottom w:val="none" w:sz="0" w:space="0" w:color="auto"/>
        <w:right w:val="none" w:sz="0" w:space="0" w:color="auto"/>
      </w:divBdr>
    </w:div>
    <w:div w:id="1670401060">
      <w:bodyDiv w:val="1"/>
      <w:marLeft w:val="0"/>
      <w:marRight w:val="0"/>
      <w:marTop w:val="0"/>
      <w:marBottom w:val="0"/>
      <w:divBdr>
        <w:top w:val="none" w:sz="0" w:space="0" w:color="auto"/>
        <w:left w:val="none" w:sz="0" w:space="0" w:color="auto"/>
        <w:bottom w:val="none" w:sz="0" w:space="0" w:color="auto"/>
        <w:right w:val="none" w:sz="0" w:space="0" w:color="auto"/>
      </w:divBdr>
    </w:div>
    <w:div w:id="1673296506">
      <w:bodyDiv w:val="1"/>
      <w:marLeft w:val="0"/>
      <w:marRight w:val="0"/>
      <w:marTop w:val="0"/>
      <w:marBottom w:val="0"/>
      <w:divBdr>
        <w:top w:val="none" w:sz="0" w:space="0" w:color="auto"/>
        <w:left w:val="none" w:sz="0" w:space="0" w:color="auto"/>
        <w:bottom w:val="none" w:sz="0" w:space="0" w:color="auto"/>
        <w:right w:val="none" w:sz="0" w:space="0" w:color="auto"/>
      </w:divBdr>
    </w:div>
    <w:div w:id="1745108938">
      <w:bodyDiv w:val="1"/>
      <w:marLeft w:val="0"/>
      <w:marRight w:val="0"/>
      <w:marTop w:val="0"/>
      <w:marBottom w:val="0"/>
      <w:divBdr>
        <w:top w:val="none" w:sz="0" w:space="0" w:color="auto"/>
        <w:left w:val="none" w:sz="0" w:space="0" w:color="auto"/>
        <w:bottom w:val="none" w:sz="0" w:space="0" w:color="auto"/>
        <w:right w:val="none" w:sz="0" w:space="0" w:color="auto"/>
      </w:divBdr>
    </w:div>
    <w:div w:id="1934313543">
      <w:bodyDiv w:val="1"/>
      <w:marLeft w:val="0"/>
      <w:marRight w:val="0"/>
      <w:marTop w:val="0"/>
      <w:marBottom w:val="0"/>
      <w:divBdr>
        <w:top w:val="none" w:sz="0" w:space="0" w:color="auto"/>
        <w:left w:val="none" w:sz="0" w:space="0" w:color="auto"/>
        <w:bottom w:val="none" w:sz="0" w:space="0" w:color="auto"/>
        <w:right w:val="none" w:sz="0" w:space="0" w:color="auto"/>
      </w:divBdr>
      <w:divsChild>
        <w:div w:id="1250962655">
          <w:marLeft w:val="0"/>
          <w:marRight w:val="0"/>
          <w:marTop w:val="0"/>
          <w:marBottom w:val="0"/>
          <w:divBdr>
            <w:top w:val="none" w:sz="0" w:space="0" w:color="auto"/>
            <w:left w:val="none" w:sz="0" w:space="0" w:color="auto"/>
            <w:bottom w:val="none" w:sz="0" w:space="0" w:color="auto"/>
            <w:right w:val="none" w:sz="0" w:space="0" w:color="auto"/>
          </w:divBdr>
          <w:divsChild>
            <w:div w:id="1437362072">
              <w:marLeft w:val="0"/>
              <w:marRight w:val="0"/>
              <w:marTop w:val="0"/>
              <w:marBottom w:val="0"/>
              <w:divBdr>
                <w:top w:val="none" w:sz="0" w:space="0" w:color="auto"/>
                <w:left w:val="none" w:sz="0" w:space="0" w:color="auto"/>
                <w:bottom w:val="none" w:sz="0" w:space="0" w:color="auto"/>
                <w:right w:val="none" w:sz="0" w:space="0" w:color="auto"/>
              </w:divBdr>
              <w:divsChild>
                <w:div w:id="540173675">
                  <w:marLeft w:val="0"/>
                  <w:marRight w:val="0"/>
                  <w:marTop w:val="0"/>
                  <w:marBottom w:val="0"/>
                  <w:divBdr>
                    <w:top w:val="none" w:sz="0" w:space="0" w:color="auto"/>
                    <w:left w:val="none" w:sz="0" w:space="0" w:color="auto"/>
                    <w:bottom w:val="none" w:sz="0" w:space="0" w:color="auto"/>
                    <w:right w:val="none" w:sz="0" w:space="0" w:color="auto"/>
                  </w:divBdr>
                  <w:divsChild>
                    <w:div w:id="1756438998">
                      <w:marLeft w:val="0"/>
                      <w:marRight w:val="0"/>
                      <w:marTop w:val="0"/>
                      <w:marBottom w:val="0"/>
                      <w:divBdr>
                        <w:top w:val="none" w:sz="0" w:space="0" w:color="auto"/>
                        <w:left w:val="none" w:sz="0" w:space="0" w:color="auto"/>
                        <w:bottom w:val="none" w:sz="0" w:space="0" w:color="auto"/>
                        <w:right w:val="none" w:sz="0" w:space="0" w:color="auto"/>
                      </w:divBdr>
                      <w:divsChild>
                        <w:div w:id="1092243731">
                          <w:marLeft w:val="0"/>
                          <w:marRight w:val="0"/>
                          <w:marTop w:val="0"/>
                          <w:marBottom w:val="0"/>
                          <w:divBdr>
                            <w:top w:val="none" w:sz="0" w:space="0" w:color="auto"/>
                            <w:left w:val="none" w:sz="0" w:space="0" w:color="auto"/>
                            <w:bottom w:val="none" w:sz="0" w:space="0" w:color="auto"/>
                            <w:right w:val="none" w:sz="0" w:space="0" w:color="auto"/>
                          </w:divBdr>
                          <w:divsChild>
                            <w:div w:id="494996189">
                              <w:marLeft w:val="0"/>
                              <w:marRight w:val="0"/>
                              <w:marTop w:val="0"/>
                              <w:marBottom w:val="0"/>
                              <w:divBdr>
                                <w:top w:val="none" w:sz="0" w:space="0" w:color="auto"/>
                                <w:left w:val="none" w:sz="0" w:space="0" w:color="auto"/>
                                <w:bottom w:val="none" w:sz="0" w:space="0" w:color="auto"/>
                                <w:right w:val="none" w:sz="0" w:space="0" w:color="auto"/>
                              </w:divBdr>
                              <w:divsChild>
                                <w:div w:id="246766189">
                                  <w:marLeft w:val="0"/>
                                  <w:marRight w:val="0"/>
                                  <w:marTop w:val="0"/>
                                  <w:marBottom w:val="0"/>
                                  <w:divBdr>
                                    <w:top w:val="none" w:sz="0" w:space="0" w:color="auto"/>
                                    <w:left w:val="none" w:sz="0" w:space="0" w:color="auto"/>
                                    <w:bottom w:val="none" w:sz="0" w:space="0" w:color="auto"/>
                                    <w:right w:val="none" w:sz="0" w:space="0" w:color="auto"/>
                                  </w:divBdr>
                                  <w:divsChild>
                                    <w:div w:id="1506164410">
                                      <w:marLeft w:val="0"/>
                                      <w:marRight w:val="0"/>
                                      <w:marTop w:val="0"/>
                                      <w:marBottom w:val="0"/>
                                      <w:divBdr>
                                        <w:top w:val="none" w:sz="0" w:space="0" w:color="auto"/>
                                        <w:left w:val="none" w:sz="0" w:space="0" w:color="auto"/>
                                        <w:bottom w:val="none" w:sz="0" w:space="0" w:color="auto"/>
                                        <w:right w:val="none" w:sz="0" w:space="0" w:color="auto"/>
                                      </w:divBdr>
                                      <w:divsChild>
                                        <w:div w:id="87504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849380">
      <w:bodyDiv w:val="1"/>
      <w:marLeft w:val="0"/>
      <w:marRight w:val="0"/>
      <w:marTop w:val="0"/>
      <w:marBottom w:val="0"/>
      <w:divBdr>
        <w:top w:val="none" w:sz="0" w:space="0" w:color="auto"/>
        <w:left w:val="none" w:sz="0" w:space="0" w:color="auto"/>
        <w:bottom w:val="none" w:sz="0" w:space="0" w:color="auto"/>
        <w:right w:val="none" w:sz="0" w:space="0" w:color="auto"/>
      </w:divBdr>
    </w:div>
    <w:div w:id="1993094699">
      <w:bodyDiv w:val="1"/>
      <w:marLeft w:val="0"/>
      <w:marRight w:val="0"/>
      <w:marTop w:val="0"/>
      <w:marBottom w:val="0"/>
      <w:divBdr>
        <w:top w:val="none" w:sz="0" w:space="0" w:color="auto"/>
        <w:left w:val="none" w:sz="0" w:space="0" w:color="auto"/>
        <w:bottom w:val="none" w:sz="0" w:space="0" w:color="auto"/>
        <w:right w:val="none" w:sz="0" w:space="0" w:color="auto"/>
      </w:divBdr>
      <w:divsChild>
        <w:div w:id="1067147938">
          <w:marLeft w:val="0"/>
          <w:marRight w:val="0"/>
          <w:marTop w:val="0"/>
          <w:marBottom w:val="0"/>
          <w:divBdr>
            <w:top w:val="none" w:sz="0" w:space="0" w:color="auto"/>
            <w:left w:val="none" w:sz="0" w:space="0" w:color="auto"/>
            <w:bottom w:val="none" w:sz="0" w:space="0" w:color="auto"/>
            <w:right w:val="none" w:sz="0" w:space="0" w:color="auto"/>
          </w:divBdr>
          <w:divsChild>
            <w:div w:id="2075161336">
              <w:marLeft w:val="0"/>
              <w:marRight w:val="0"/>
              <w:marTop w:val="0"/>
              <w:marBottom w:val="0"/>
              <w:divBdr>
                <w:top w:val="none" w:sz="0" w:space="0" w:color="auto"/>
                <w:left w:val="none" w:sz="0" w:space="0" w:color="auto"/>
                <w:bottom w:val="none" w:sz="0" w:space="0" w:color="auto"/>
                <w:right w:val="none" w:sz="0" w:space="0" w:color="auto"/>
              </w:divBdr>
              <w:divsChild>
                <w:div w:id="764031186">
                  <w:marLeft w:val="0"/>
                  <w:marRight w:val="0"/>
                  <w:marTop w:val="0"/>
                  <w:marBottom w:val="0"/>
                  <w:divBdr>
                    <w:top w:val="none" w:sz="0" w:space="0" w:color="auto"/>
                    <w:left w:val="none" w:sz="0" w:space="0" w:color="auto"/>
                    <w:bottom w:val="none" w:sz="0" w:space="0" w:color="auto"/>
                    <w:right w:val="none" w:sz="0" w:space="0" w:color="auto"/>
                  </w:divBdr>
                  <w:divsChild>
                    <w:div w:id="1163200704">
                      <w:marLeft w:val="0"/>
                      <w:marRight w:val="0"/>
                      <w:marTop w:val="100"/>
                      <w:marBottom w:val="100"/>
                      <w:divBdr>
                        <w:top w:val="none" w:sz="0" w:space="0" w:color="auto"/>
                        <w:left w:val="none" w:sz="0" w:space="0" w:color="auto"/>
                        <w:bottom w:val="none" w:sz="0" w:space="0" w:color="auto"/>
                        <w:right w:val="none" w:sz="0" w:space="0" w:color="auto"/>
                      </w:divBdr>
                      <w:divsChild>
                        <w:div w:id="1488201576">
                          <w:marLeft w:val="0"/>
                          <w:marRight w:val="0"/>
                          <w:marTop w:val="0"/>
                          <w:marBottom w:val="0"/>
                          <w:divBdr>
                            <w:top w:val="none" w:sz="0" w:space="0" w:color="auto"/>
                            <w:left w:val="none" w:sz="0" w:space="0" w:color="auto"/>
                            <w:bottom w:val="none" w:sz="0" w:space="0" w:color="auto"/>
                            <w:right w:val="none" w:sz="0" w:space="0" w:color="auto"/>
                          </w:divBdr>
                          <w:divsChild>
                            <w:div w:id="540361194">
                              <w:marLeft w:val="0"/>
                              <w:marRight w:val="0"/>
                              <w:marTop w:val="0"/>
                              <w:marBottom w:val="0"/>
                              <w:divBdr>
                                <w:top w:val="none" w:sz="0" w:space="0" w:color="auto"/>
                                <w:left w:val="none" w:sz="0" w:space="0" w:color="auto"/>
                                <w:bottom w:val="none" w:sz="0" w:space="0" w:color="auto"/>
                                <w:right w:val="none" w:sz="0" w:space="0" w:color="auto"/>
                              </w:divBdr>
                              <w:divsChild>
                                <w:div w:id="371659251">
                                  <w:marLeft w:val="0"/>
                                  <w:marRight w:val="0"/>
                                  <w:marTop w:val="0"/>
                                  <w:marBottom w:val="0"/>
                                  <w:divBdr>
                                    <w:top w:val="none" w:sz="0" w:space="0" w:color="auto"/>
                                    <w:left w:val="none" w:sz="0" w:space="0" w:color="auto"/>
                                    <w:bottom w:val="none" w:sz="0" w:space="0" w:color="auto"/>
                                    <w:right w:val="none" w:sz="0" w:space="0" w:color="auto"/>
                                  </w:divBdr>
                                  <w:divsChild>
                                    <w:div w:id="14306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77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ir.nmhh.hu/publicview/?p=d&amp;name=3melleklet"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9.JPG"/><Relationship Id="rId7" Type="http://schemas.openxmlformats.org/officeDocument/2006/relationships/endnotes" Target="endnotes.xml"/><Relationship Id="rId12" Type="http://schemas.openxmlformats.org/officeDocument/2006/relationships/hyperlink" Target="https://stir.nmhh.hu/publicview/?p=d&amp;name=3melleklet" TargetMode="Externa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eli/dec/2021/2219/oj" TargetMode="External"/><Relationship Id="rId2" Type="http://schemas.openxmlformats.org/officeDocument/2006/relationships/hyperlink" Target="https://nmhh.hu/cikk/191649/Osszefoglalo_a_VHF_III_es_az_UHF_sav_hasznositasarol_szolo_nemzeti_utemterv_vegrehajtasaval_osszefuggo_feladatokrol" TargetMode="External"/><Relationship Id="rId1" Type="http://schemas.openxmlformats.org/officeDocument/2006/relationships/hyperlink" Target="http://nmhh.hu/dokumentum/189921/uhf_nemzeti_utemterv.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unka\Documents\toth_laszlo\Adminisztracio\Sablonok\SGO_sablon\new_2016\NEW_SGO_sablon_2017.dotx" TargetMode="External"/></Relationships>
</file>

<file path=word/theme/theme1.xml><?xml version="1.0" encoding="utf-8"?>
<a:theme xmlns:a="http://schemas.openxmlformats.org/drawingml/2006/main" name="Office-téma">
  <a:themeElements>
    <a:clrScheme name="Egyéni 1. séma">
      <a:dk1>
        <a:sysClr val="windowText" lastClr="000000"/>
      </a:dk1>
      <a:lt1>
        <a:sysClr val="window" lastClr="FFFFFF"/>
      </a:lt1>
      <a:dk2>
        <a:srgbClr val="000000"/>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MHH">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193F12-9FCF-4080-A072-D2E0155B5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NEW_SGO_sablon_2017</Template>
  <TotalTime>10</TotalTime>
  <Pages>21</Pages>
  <Words>5592</Words>
  <Characters>38589</Characters>
  <Application>Microsoft Office Word</Application>
  <DocSecurity>0</DocSecurity>
  <Lines>321</Lines>
  <Paragraphs>88</Paragraphs>
  <ScaleCrop>false</ScaleCrop>
  <HeadingPairs>
    <vt:vector size="2" baseType="variant">
      <vt:variant>
        <vt:lpstr>Cím</vt:lpstr>
      </vt:variant>
      <vt:variant>
        <vt:i4>1</vt:i4>
      </vt:variant>
    </vt:vector>
  </HeadingPairs>
  <TitlesOfParts>
    <vt:vector size="1" baseType="lpstr">
      <vt:lpstr/>
    </vt:vector>
  </TitlesOfParts>
  <Company>NCA</Company>
  <LinksUpToDate>false</LinksUpToDate>
  <CharactersWithSpaces>44093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SGO</dc:creator>
  <cp:keywords/>
  <dc:description/>
  <cp:lastModifiedBy>Ulelay Emília dr.</cp:lastModifiedBy>
  <cp:revision>3</cp:revision>
  <cp:lastPrinted>2017-11-07T17:45:00Z</cp:lastPrinted>
  <dcterms:created xsi:type="dcterms:W3CDTF">2022-05-09T13:27:00Z</dcterms:created>
  <dcterms:modified xsi:type="dcterms:W3CDTF">2022-05-09T13:36:00Z</dcterms:modified>
</cp:coreProperties>
</file>