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vsdx"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color w:val="auto"/>
          <w:spacing w:val="0"/>
          <w:kern w:val="0"/>
          <w:sz w:val="22"/>
          <w:szCs w:val="22"/>
        </w:rPr>
        <w:id w:val="7557074"/>
        <w:docPartObj>
          <w:docPartGallery w:val="Cover Pages"/>
          <w:docPartUnique/>
        </w:docPartObj>
      </w:sdtPr>
      <w:sdtEndPr>
        <w:rPr>
          <w:bCs/>
        </w:rPr>
      </w:sdtEndPr>
      <w:sdtContent>
        <w:p w14:paraId="6CF1E2AC" w14:textId="562C6995" w:rsidR="00517579" w:rsidRDefault="00537B19" w:rsidP="007B2341">
          <w:pPr>
            <w:pStyle w:val="Cmnmhh"/>
            <w:jc w:val="center"/>
          </w:pPr>
          <w:r>
            <w:rPr>
              <w:b w:val="0"/>
              <w:noProof/>
              <w:lang w:eastAsia="hu-HU"/>
            </w:rPr>
            <w:drawing>
              <wp:anchor distT="0" distB="1011555" distL="114300" distR="114300" simplePos="0" relativeHeight="251652608" behindDoc="1" locked="0" layoutInCell="1" allowOverlap="1" wp14:anchorId="1CFE83A5" wp14:editId="6B0D210A">
                <wp:simplePos x="0" y="0"/>
                <wp:positionH relativeFrom="page">
                  <wp:posOffset>0</wp:posOffset>
                </wp:positionH>
                <wp:positionV relativeFrom="page">
                  <wp:posOffset>4445</wp:posOffset>
                </wp:positionV>
                <wp:extent cx="7556500" cy="3351530"/>
                <wp:effectExtent l="0" t="0" r="0" b="0"/>
                <wp:wrapTopAndBottom/>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3351530"/>
                        </a:xfrm>
                        <a:prstGeom prst="rect">
                          <a:avLst/>
                        </a:prstGeom>
                      </pic:spPr>
                    </pic:pic>
                  </a:graphicData>
                </a:graphic>
                <wp14:sizeRelV relativeFrom="margin">
                  <wp14:pctHeight>0</wp14:pctHeight>
                </wp14:sizeRelV>
              </wp:anchor>
            </w:drawing>
          </w:r>
          <w:sdt>
            <w:sdtPr>
              <w:alias w:val="Cím"/>
              <w:tag w:val="Cím"/>
              <w:id w:val="11965258"/>
              <w:placeholder>
                <w:docPart w:val="A7E85A2A3E904405895CBFB5452ECE0A"/>
              </w:placeholder>
            </w:sdtPr>
            <w:sdtContent>
              <w:sdt>
                <w:sdtPr>
                  <w:alias w:val="Cím"/>
                  <w:tag w:val="Cím"/>
                  <w:id w:val="1727338726"/>
                </w:sdtPr>
                <w:sdtContent>
                  <w:sdt>
                    <w:sdtPr>
                      <w:alias w:val="Cím"/>
                      <w:tag w:val="Cím"/>
                      <w:id w:val="27217761"/>
                    </w:sdtPr>
                    <w:sdtContent>
                      <w:r>
                        <w:rPr>
                          <w:bCs/>
                          <w:lang w:val="en-GB"/>
                        </w:rPr>
                        <w:t>Band overview</w:t>
                      </w:r>
                      <w:r>
                        <w:rPr>
                          <w:b w:val="0"/>
                          <w:lang w:val="en-GB"/>
                        </w:rPr>
                        <w:br/>
                      </w:r>
                      <w:r>
                        <w:rPr>
                          <w:bCs/>
                          <w:lang w:val="en-GB"/>
                        </w:rPr>
                        <w:t>32 GHz frequency band</w:t>
                      </w:r>
                    </w:sdtContent>
                  </w:sdt>
                </w:sdtContent>
              </w:sdt>
            </w:sdtContent>
          </w:sdt>
        </w:p>
        <w:p w14:paraId="426048B7" w14:textId="77777777" w:rsidR="00E573D3" w:rsidRDefault="00E573D3">
          <w:pPr>
            <w:pStyle w:val="Bortlapegybnmhh"/>
            <w:spacing w:before="240"/>
            <w:rPr>
              <w:rStyle w:val="BortlapegybnmhhChar"/>
            </w:rPr>
          </w:pPr>
        </w:p>
        <w:p w14:paraId="300519B7" w14:textId="77777777" w:rsidR="00E573D3" w:rsidRDefault="00E573D3">
          <w:pPr>
            <w:pStyle w:val="Bortlapegybnmhh"/>
            <w:spacing w:before="240"/>
            <w:rPr>
              <w:rStyle w:val="BortlapegybnmhhChar"/>
            </w:rPr>
          </w:pPr>
        </w:p>
        <w:p w14:paraId="0F554454" w14:textId="77777777" w:rsidR="00E573D3" w:rsidRDefault="00E573D3">
          <w:pPr>
            <w:pStyle w:val="Bortlapegybnmhh"/>
            <w:spacing w:before="240"/>
            <w:rPr>
              <w:rStyle w:val="BortlapegybnmhhChar"/>
            </w:rPr>
          </w:pPr>
        </w:p>
        <w:p w14:paraId="70166BA5" w14:textId="77777777" w:rsidR="00E573D3" w:rsidRDefault="00E573D3">
          <w:pPr>
            <w:pStyle w:val="Bortlapegybnmhh"/>
            <w:spacing w:before="240"/>
            <w:rPr>
              <w:rStyle w:val="BortlapegybnmhhChar"/>
            </w:rPr>
          </w:pPr>
        </w:p>
        <w:p w14:paraId="74F072B4" w14:textId="77777777" w:rsidR="00E573D3" w:rsidRDefault="00E573D3">
          <w:pPr>
            <w:pStyle w:val="Bortlapegybnmhh"/>
            <w:spacing w:before="240"/>
            <w:rPr>
              <w:rStyle w:val="BortlapegybnmhhChar"/>
            </w:rPr>
          </w:pPr>
        </w:p>
        <w:p w14:paraId="05F96C8C" w14:textId="77777777" w:rsidR="00E573D3" w:rsidRDefault="00E573D3">
          <w:pPr>
            <w:pStyle w:val="Bortlapegybnmhh"/>
            <w:spacing w:before="240"/>
            <w:rPr>
              <w:rStyle w:val="BortlapegybnmhhChar"/>
            </w:rPr>
          </w:pPr>
        </w:p>
        <w:p w14:paraId="4199889A" w14:textId="3CD1AE35" w:rsidR="00E573D3" w:rsidRDefault="00E573D3">
          <w:pPr>
            <w:pStyle w:val="Bortlapegybnmhh"/>
            <w:spacing w:before="240"/>
            <w:rPr>
              <w:rStyle w:val="BortlapegybnmhhChar"/>
            </w:rPr>
          </w:pPr>
        </w:p>
        <w:p w14:paraId="5314F780" w14:textId="77777777" w:rsidR="00E70A7C" w:rsidRDefault="00E70A7C">
          <w:pPr>
            <w:pStyle w:val="Bortlapegybnmhh"/>
            <w:spacing w:before="240"/>
            <w:rPr>
              <w:rStyle w:val="BortlapegybnmhhChar"/>
            </w:rPr>
          </w:pPr>
        </w:p>
        <w:p w14:paraId="1D152BD1" w14:textId="560742CA" w:rsidR="00E573D3" w:rsidRDefault="00E573D3">
          <w:pPr>
            <w:pStyle w:val="Bortlapegybnmhh"/>
            <w:spacing w:before="240"/>
            <w:rPr>
              <w:rStyle w:val="BortlapegybnmhhChar"/>
            </w:rPr>
          </w:pPr>
        </w:p>
        <w:p w14:paraId="6F9A1639" w14:textId="5B11D897" w:rsidR="00970BA4" w:rsidRPr="00215BFC" w:rsidRDefault="00970BA4" w:rsidP="00970BA4">
          <w:pPr>
            <w:pStyle w:val="Bortlapegybnmhh"/>
            <w:spacing w:before="240"/>
            <w:jc w:val="center"/>
            <w:rPr>
              <w:rStyle w:val="BortlapegybnmhhChar"/>
              <w:lang w:val="en-GB"/>
            </w:rPr>
          </w:pPr>
          <w:r w:rsidRPr="00215BFC">
            <w:rPr>
              <w:rStyle w:val="BortlapegybnmhhChar"/>
              <w:lang w:val="en-GB"/>
            </w:rPr>
            <w:t>16 February 2022</w:t>
          </w:r>
        </w:p>
        <w:p w14:paraId="19AC32EB" w14:textId="77777777" w:rsidR="00517579" w:rsidRDefault="00215BFC">
          <w:pPr>
            <w:spacing w:after="200"/>
            <w:jc w:val="left"/>
            <w:rPr>
              <w:b/>
              <w:bCs/>
            </w:rPr>
            <w:sectPr w:rsidR="00517579">
              <w:headerReference w:type="even" r:id="rId9"/>
              <w:headerReference w:type="default" r:id="rId10"/>
              <w:footerReference w:type="even" r:id="rId11"/>
              <w:footerReference w:type="default" r:id="rId12"/>
              <w:headerReference w:type="first" r:id="rId13"/>
              <w:pgSz w:w="11906" w:h="16838"/>
              <w:pgMar w:top="1417" w:right="1417" w:bottom="1417" w:left="1417" w:header="1417" w:footer="709" w:gutter="0"/>
              <w:cols w:space="708"/>
              <w:titlePg/>
              <w:docGrid w:linePitch="360"/>
            </w:sectPr>
          </w:pPr>
        </w:p>
      </w:sdtContent>
    </w:sdt>
    <w:sdt>
      <w:sdtPr>
        <w:rPr>
          <w:rFonts w:asciiTheme="minorHAnsi" w:eastAsiaTheme="minorHAnsi" w:hAnsiTheme="minorHAnsi" w:cstheme="minorHAnsi"/>
          <w:b w:val="0"/>
          <w:bCs w:val="0"/>
          <w:color w:val="auto"/>
          <w:sz w:val="22"/>
          <w:szCs w:val="22"/>
        </w:rPr>
        <w:id w:val="28749728"/>
        <w:docPartObj>
          <w:docPartGallery w:val="Table of Contents"/>
          <w:docPartUnique/>
        </w:docPartObj>
      </w:sdtPr>
      <w:sdtContent>
        <w:p w14:paraId="7E2A1DC3" w14:textId="77777777" w:rsidR="00517579" w:rsidRDefault="00537B19">
          <w:pPr>
            <w:pStyle w:val="Tartalomjegyzkcmsoranmhh"/>
          </w:pPr>
          <w:r>
            <w:rPr>
              <w:lang w:val="en-GB"/>
            </w:rPr>
            <w:t>Table of contents</w:t>
          </w:r>
        </w:p>
        <w:p w14:paraId="35F1E7E0" w14:textId="2F14DDE3" w:rsidR="000028E8" w:rsidRDefault="00537B19">
          <w:pPr>
            <w:pStyle w:val="TJ1"/>
            <w:tabs>
              <w:tab w:val="left" w:pos="440"/>
              <w:tab w:val="right" w:leader="dot" w:pos="9062"/>
            </w:tabs>
            <w:rPr>
              <w:rFonts w:eastAsiaTheme="minorEastAsia" w:cstheme="minorBidi"/>
              <w:noProof/>
              <w:lang w:eastAsia="hu-HU"/>
            </w:rPr>
          </w:pPr>
          <w:r>
            <w:rPr>
              <w:lang w:val="en-GB"/>
            </w:rPr>
            <w:fldChar w:fldCharType="begin"/>
          </w:r>
          <w:r>
            <w:instrText xml:space="preserve"> TOC \o "1-3" \h \z \u </w:instrText>
          </w:r>
          <w:r>
            <w:fldChar w:fldCharType="separate"/>
          </w:r>
          <w:hyperlink w:anchor="_Toc99619486" w:history="1">
            <w:r w:rsidR="000028E8" w:rsidRPr="00A65147">
              <w:rPr>
                <w:rStyle w:val="Hiperhivatkozs"/>
                <w:noProof/>
              </w:rPr>
              <w:t>1.</w:t>
            </w:r>
            <w:r w:rsidR="000028E8">
              <w:rPr>
                <w:rFonts w:eastAsiaTheme="minorEastAsia" w:cstheme="minorBidi"/>
                <w:noProof/>
                <w:lang w:eastAsia="hu-HU"/>
              </w:rPr>
              <w:tab/>
            </w:r>
            <w:r w:rsidR="000028E8" w:rsidRPr="00A65147">
              <w:rPr>
                <w:rStyle w:val="Hiperhivatkozs"/>
                <w:bCs/>
                <w:noProof/>
                <w:lang w:val="en-GB"/>
              </w:rPr>
              <w:t>Summary</w:t>
            </w:r>
            <w:r w:rsidR="000028E8">
              <w:rPr>
                <w:noProof/>
                <w:webHidden/>
              </w:rPr>
              <w:tab/>
            </w:r>
            <w:r w:rsidR="000028E8">
              <w:rPr>
                <w:noProof/>
                <w:webHidden/>
              </w:rPr>
              <w:fldChar w:fldCharType="begin"/>
            </w:r>
            <w:r w:rsidR="000028E8">
              <w:rPr>
                <w:noProof/>
                <w:webHidden/>
              </w:rPr>
              <w:instrText xml:space="preserve"> PAGEREF _Toc99619486 \h </w:instrText>
            </w:r>
            <w:r w:rsidR="000028E8">
              <w:rPr>
                <w:noProof/>
                <w:webHidden/>
              </w:rPr>
            </w:r>
            <w:r w:rsidR="000028E8">
              <w:rPr>
                <w:noProof/>
                <w:webHidden/>
              </w:rPr>
              <w:fldChar w:fldCharType="separate"/>
            </w:r>
            <w:r w:rsidR="000028E8">
              <w:rPr>
                <w:noProof/>
                <w:webHidden/>
              </w:rPr>
              <w:t>3</w:t>
            </w:r>
            <w:r w:rsidR="000028E8">
              <w:rPr>
                <w:noProof/>
                <w:webHidden/>
              </w:rPr>
              <w:fldChar w:fldCharType="end"/>
            </w:r>
          </w:hyperlink>
        </w:p>
        <w:p w14:paraId="1C5959D0" w14:textId="3C6AE38C" w:rsidR="000028E8" w:rsidRDefault="000028E8">
          <w:pPr>
            <w:pStyle w:val="TJ1"/>
            <w:tabs>
              <w:tab w:val="left" w:pos="440"/>
              <w:tab w:val="right" w:leader="dot" w:pos="9062"/>
            </w:tabs>
            <w:rPr>
              <w:rFonts w:eastAsiaTheme="minorEastAsia" w:cstheme="minorBidi"/>
              <w:noProof/>
              <w:lang w:eastAsia="hu-HU"/>
            </w:rPr>
          </w:pPr>
          <w:hyperlink w:anchor="_Toc99619487" w:history="1">
            <w:r w:rsidRPr="00A65147">
              <w:rPr>
                <w:rStyle w:val="Hiperhivatkozs"/>
                <w:noProof/>
              </w:rPr>
              <w:t>2.</w:t>
            </w:r>
            <w:r>
              <w:rPr>
                <w:rFonts w:eastAsiaTheme="minorEastAsia" w:cstheme="minorBidi"/>
                <w:noProof/>
                <w:lang w:eastAsia="hu-HU"/>
              </w:rPr>
              <w:tab/>
            </w:r>
            <w:r w:rsidRPr="00A65147">
              <w:rPr>
                <w:rStyle w:val="Hiperhivatkozs"/>
                <w:bCs/>
                <w:noProof/>
                <w:lang w:val="en-GB"/>
              </w:rPr>
              <w:t>Introduction</w:t>
            </w:r>
            <w:r>
              <w:rPr>
                <w:noProof/>
                <w:webHidden/>
              </w:rPr>
              <w:tab/>
            </w:r>
            <w:r>
              <w:rPr>
                <w:noProof/>
                <w:webHidden/>
              </w:rPr>
              <w:fldChar w:fldCharType="begin"/>
            </w:r>
            <w:r>
              <w:rPr>
                <w:noProof/>
                <w:webHidden/>
              </w:rPr>
              <w:instrText xml:space="preserve"> PAGEREF _Toc99619487 \h </w:instrText>
            </w:r>
            <w:r>
              <w:rPr>
                <w:noProof/>
                <w:webHidden/>
              </w:rPr>
            </w:r>
            <w:r>
              <w:rPr>
                <w:noProof/>
                <w:webHidden/>
              </w:rPr>
              <w:fldChar w:fldCharType="separate"/>
            </w:r>
            <w:r>
              <w:rPr>
                <w:noProof/>
                <w:webHidden/>
              </w:rPr>
              <w:t>4</w:t>
            </w:r>
            <w:r>
              <w:rPr>
                <w:noProof/>
                <w:webHidden/>
              </w:rPr>
              <w:fldChar w:fldCharType="end"/>
            </w:r>
          </w:hyperlink>
        </w:p>
        <w:p w14:paraId="2AD74772" w14:textId="7BB5C3D9" w:rsidR="000028E8" w:rsidRDefault="000028E8">
          <w:pPr>
            <w:pStyle w:val="TJ1"/>
            <w:tabs>
              <w:tab w:val="left" w:pos="440"/>
              <w:tab w:val="right" w:leader="dot" w:pos="9062"/>
            </w:tabs>
            <w:rPr>
              <w:rFonts w:eastAsiaTheme="minorEastAsia" w:cstheme="minorBidi"/>
              <w:noProof/>
              <w:lang w:eastAsia="hu-HU"/>
            </w:rPr>
          </w:pPr>
          <w:hyperlink w:anchor="_Toc99619488" w:history="1">
            <w:r w:rsidRPr="00A65147">
              <w:rPr>
                <w:rStyle w:val="Hiperhivatkozs"/>
                <w:noProof/>
              </w:rPr>
              <w:t>3.</w:t>
            </w:r>
            <w:r>
              <w:rPr>
                <w:rFonts w:eastAsiaTheme="minorEastAsia" w:cstheme="minorBidi"/>
                <w:noProof/>
                <w:lang w:eastAsia="hu-HU"/>
              </w:rPr>
              <w:tab/>
            </w:r>
            <w:r w:rsidRPr="00A65147">
              <w:rPr>
                <w:rStyle w:val="Hiperhivatkozs"/>
                <w:bCs/>
                <w:noProof/>
                <w:lang w:val="en-GB"/>
              </w:rPr>
              <w:t>Regulation of 32 GHz band</w:t>
            </w:r>
            <w:r>
              <w:rPr>
                <w:noProof/>
                <w:webHidden/>
              </w:rPr>
              <w:tab/>
            </w:r>
            <w:r>
              <w:rPr>
                <w:noProof/>
                <w:webHidden/>
              </w:rPr>
              <w:fldChar w:fldCharType="begin"/>
            </w:r>
            <w:r>
              <w:rPr>
                <w:noProof/>
                <w:webHidden/>
              </w:rPr>
              <w:instrText xml:space="preserve"> PAGEREF _Toc99619488 \h </w:instrText>
            </w:r>
            <w:r>
              <w:rPr>
                <w:noProof/>
                <w:webHidden/>
              </w:rPr>
            </w:r>
            <w:r>
              <w:rPr>
                <w:noProof/>
                <w:webHidden/>
              </w:rPr>
              <w:fldChar w:fldCharType="separate"/>
            </w:r>
            <w:r>
              <w:rPr>
                <w:noProof/>
                <w:webHidden/>
              </w:rPr>
              <w:t>6</w:t>
            </w:r>
            <w:r>
              <w:rPr>
                <w:noProof/>
                <w:webHidden/>
              </w:rPr>
              <w:fldChar w:fldCharType="end"/>
            </w:r>
          </w:hyperlink>
        </w:p>
        <w:p w14:paraId="1FDCB3D0" w14:textId="24EE0515" w:rsidR="000028E8" w:rsidRDefault="000028E8">
          <w:pPr>
            <w:pStyle w:val="TJ2"/>
            <w:tabs>
              <w:tab w:val="left" w:pos="880"/>
              <w:tab w:val="right" w:leader="dot" w:pos="9062"/>
            </w:tabs>
            <w:rPr>
              <w:rFonts w:eastAsiaTheme="minorEastAsia" w:cstheme="minorBidi"/>
              <w:noProof/>
              <w:lang w:eastAsia="hu-HU"/>
            </w:rPr>
          </w:pPr>
          <w:hyperlink w:anchor="_Toc99619489" w:history="1">
            <w:r w:rsidRPr="00A65147">
              <w:rPr>
                <w:rStyle w:val="Hiperhivatkozs"/>
                <w:noProof/>
              </w:rPr>
              <w:t>3.1.</w:t>
            </w:r>
            <w:r>
              <w:rPr>
                <w:rFonts w:eastAsiaTheme="minorEastAsia" w:cstheme="minorBidi"/>
                <w:noProof/>
                <w:lang w:eastAsia="hu-HU"/>
              </w:rPr>
              <w:tab/>
            </w:r>
            <w:r w:rsidRPr="00A65147">
              <w:rPr>
                <w:rStyle w:val="Hiperhivatkozs"/>
                <w:bCs/>
                <w:noProof/>
                <w:lang w:val="en-GB"/>
              </w:rPr>
              <w:t>International regulation</w:t>
            </w:r>
            <w:r>
              <w:rPr>
                <w:noProof/>
                <w:webHidden/>
              </w:rPr>
              <w:tab/>
            </w:r>
            <w:r>
              <w:rPr>
                <w:noProof/>
                <w:webHidden/>
              </w:rPr>
              <w:fldChar w:fldCharType="begin"/>
            </w:r>
            <w:r>
              <w:rPr>
                <w:noProof/>
                <w:webHidden/>
              </w:rPr>
              <w:instrText xml:space="preserve"> PAGEREF _Toc99619489 \h </w:instrText>
            </w:r>
            <w:r>
              <w:rPr>
                <w:noProof/>
                <w:webHidden/>
              </w:rPr>
            </w:r>
            <w:r>
              <w:rPr>
                <w:noProof/>
                <w:webHidden/>
              </w:rPr>
              <w:fldChar w:fldCharType="separate"/>
            </w:r>
            <w:r>
              <w:rPr>
                <w:noProof/>
                <w:webHidden/>
              </w:rPr>
              <w:t>6</w:t>
            </w:r>
            <w:r>
              <w:rPr>
                <w:noProof/>
                <w:webHidden/>
              </w:rPr>
              <w:fldChar w:fldCharType="end"/>
            </w:r>
          </w:hyperlink>
        </w:p>
        <w:p w14:paraId="70EAEC68" w14:textId="030F242C" w:rsidR="000028E8" w:rsidRDefault="000028E8">
          <w:pPr>
            <w:pStyle w:val="TJ3"/>
            <w:tabs>
              <w:tab w:val="left" w:pos="1320"/>
              <w:tab w:val="right" w:leader="dot" w:pos="9062"/>
            </w:tabs>
            <w:rPr>
              <w:rFonts w:eastAsiaTheme="minorEastAsia" w:cstheme="minorBidi"/>
              <w:noProof/>
              <w:lang w:eastAsia="hu-HU"/>
            </w:rPr>
          </w:pPr>
          <w:hyperlink w:anchor="_Toc99619490" w:history="1">
            <w:r w:rsidRPr="00A65147">
              <w:rPr>
                <w:rStyle w:val="Hiperhivatkozs"/>
                <w:noProof/>
              </w:rPr>
              <w:t>3.1.1.</w:t>
            </w:r>
            <w:r>
              <w:rPr>
                <w:rFonts w:eastAsiaTheme="minorEastAsia" w:cstheme="minorBidi"/>
                <w:noProof/>
                <w:lang w:eastAsia="hu-HU"/>
              </w:rPr>
              <w:tab/>
            </w:r>
            <w:r w:rsidRPr="00A65147">
              <w:rPr>
                <w:rStyle w:val="Hiperhivatkozs"/>
                <w:bCs/>
                <w:noProof/>
                <w:lang w:val="en-GB"/>
              </w:rPr>
              <w:t>ITU</w:t>
            </w:r>
            <w:r>
              <w:rPr>
                <w:noProof/>
                <w:webHidden/>
              </w:rPr>
              <w:tab/>
            </w:r>
            <w:r>
              <w:rPr>
                <w:noProof/>
                <w:webHidden/>
              </w:rPr>
              <w:fldChar w:fldCharType="begin"/>
            </w:r>
            <w:r>
              <w:rPr>
                <w:noProof/>
                <w:webHidden/>
              </w:rPr>
              <w:instrText xml:space="preserve"> PAGEREF _Toc99619490 \h </w:instrText>
            </w:r>
            <w:r>
              <w:rPr>
                <w:noProof/>
                <w:webHidden/>
              </w:rPr>
            </w:r>
            <w:r>
              <w:rPr>
                <w:noProof/>
                <w:webHidden/>
              </w:rPr>
              <w:fldChar w:fldCharType="separate"/>
            </w:r>
            <w:r>
              <w:rPr>
                <w:noProof/>
                <w:webHidden/>
              </w:rPr>
              <w:t>6</w:t>
            </w:r>
            <w:r>
              <w:rPr>
                <w:noProof/>
                <w:webHidden/>
              </w:rPr>
              <w:fldChar w:fldCharType="end"/>
            </w:r>
          </w:hyperlink>
        </w:p>
        <w:p w14:paraId="7F7C344F" w14:textId="7249FDFF" w:rsidR="000028E8" w:rsidRDefault="000028E8">
          <w:pPr>
            <w:pStyle w:val="TJ3"/>
            <w:tabs>
              <w:tab w:val="left" w:pos="1320"/>
              <w:tab w:val="right" w:leader="dot" w:pos="9062"/>
            </w:tabs>
            <w:rPr>
              <w:rFonts w:eastAsiaTheme="minorEastAsia" w:cstheme="minorBidi"/>
              <w:noProof/>
              <w:lang w:eastAsia="hu-HU"/>
            </w:rPr>
          </w:pPr>
          <w:hyperlink w:anchor="_Toc99619491" w:history="1">
            <w:r w:rsidRPr="00A65147">
              <w:rPr>
                <w:rStyle w:val="Hiperhivatkozs"/>
                <w:noProof/>
              </w:rPr>
              <w:t>3.1.2.</w:t>
            </w:r>
            <w:r>
              <w:rPr>
                <w:rFonts w:eastAsiaTheme="minorEastAsia" w:cstheme="minorBidi"/>
                <w:noProof/>
                <w:lang w:eastAsia="hu-HU"/>
              </w:rPr>
              <w:tab/>
            </w:r>
            <w:r w:rsidRPr="00A65147">
              <w:rPr>
                <w:rStyle w:val="Hiperhivatkozs"/>
                <w:bCs/>
                <w:noProof/>
                <w:lang w:val="en-GB"/>
              </w:rPr>
              <w:t>CEPT</w:t>
            </w:r>
            <w:r>
              <w:rPr>
                <w:noProof/>
                <w:webHidden/>
              </w:rPr>
              <w:tab/>
            </w:r>
            <w:r>
              <w:rPr>
                <w:noProof/>
                <w:webHidden/>
              </w:rPr>
              <w:fldChar w:fldCharType="begin"/>
            </w:r>
            <w:r>
              <w:rPr>
                <w:noProof/>
                <w:webHidden/>
              </w:rPr>
              <w:instrText xml:space="preserve"> PAGEREF _Toc99619491 \h </w:instrText>
            </w:r>
            <w:r>
              <w:rPr>
                <w:noProof/>
                <w:webHidden/>
              </w:rPr>
            </w:r>
            <w:r>
              <w:rPr>
                <w:noProof/>
                <w:webHidden/>
              </w:rPr>
              <w:fldChar w:fldCharType="separate"/>
            </w:r>
            <w:r>
              <w:rPr>
                <w:noProof/>
                <w:webHidden/>
              </w:rPr>
              <w:t>6</w:t>
            </w:r>
            <w:r>
              <w:rPr>
                <w:noProof/>
                <w:webHidden/>
              </w:rPr>
              <w:fldChar w:fldCharType="end"/>
            </w:r>
          </w:hyperlink>
        </w:p>
        <w:p w14:paraId="5AEFB581" w14:textId="5A1873C0" w:rsidR="000028E8" w:rsidRDefault="000028E8">
          <w:pPr>
            <w:pStyle w:val="TJ3"/>
            <w:tabs>
              <w:tab w:val="left" w:pos="1320"/>
              <w:tab w:val="right" w:leader="dot" w:pos="9062"/>
            </w:tabs>
            <w:rPr>
              <w:rFonts w:eastAsiaTheme="minorEastAsia" w:cstheme="minorBidi"/>
              <w:noProof/>
              <w:lang w:eastAsia="hu-HU"/>
            </w:rPr>
          </w:pPr>
          <w:hyperlink w:anchor="_Toc99619492" w:history="1">
            <w:r w:rsidRPr="00A65147">
              <w:rPr>
                <w:rStyle w:val="Hiperhivatkozs"/>
                <w:noProof/>
              </w:rPr>
              <w:t>3.1.3.</w:t>
            </w:r>
            <w:r>
              <w:rPr>
                <w:rFonts w:eastAsiaTheme="minorEastAsia" w:cstheme="minorBidi"/>
                <w:noProof/>
                <w:lang w:eastAsia="hu-HU"/>
              </w:rPr>
              <w:tab/>
            </w:r>
            <w:r w:rsidRPr="00A65147">
              <w:rPr>
                <w:rStyle w:val="Hiperhivatkozs"/>
                <w:bCs/>
                <w:noProof/>
                <w:lang w:val="en-GB"/>
              </w:rPr>
              <w:t>EU</w:t>
            </w:r>
            <w:r>
              <w:rPr>
                <w:noProof/>
                <w:webHidden/>
              </w:rPr>
              <w:tab/>
            </w:r>
            <w:r>
              <w:rPr>
                <w:noProof/>
                <w:webHidden/>
              </w:rPr>
              <w:fldChar w:fldCharType="begin"/>
            </w:r>
            <w:r>
              <w:rPr>
                <w:noProof/>
                <w:webHidden/>
              </w:rPr>
              <w:instrText xml:space="preserve"> PAGEREF _Toc99619492 \h </w:instrText>
            </w:r>
            <w:r>
              <w:rPr>
                <w:noProof/>
                <w:webHidden/>
              </w:rPr>
            </w:r>
            <w:r>
              <w:rPr>
                <w:noProof/>
                <w:webHidden/>
              </w:rPr>
              <w:fldChar w:fldCharType="separate"/>
            </w:r>
            <w:r>
              <w:rPr>
                <w:noProof/>
                <w:webHidden/>
              </w:rPr>
              <w:t>8</w:t>
            </w:r>
            <w:r>
              <w:rPr>
                <w:noProof/>
                <w:webHidden/>
              </w:rPr>
              <w:fldChar w:fldCharType="end"/>
            </w:r>
          </w:hyperlink>
        </w:p>
        <w:p w14:paraId="39130AFA" w14:textId="651CB5B3" w:rsidR="000028E8" w:rsidRDefault="000028E8">
          <w:pPr>
            <w:pStyle w:val="TJ2"/>
            <w:tabs>
              <w:tab w:val="left" w:pos="880"/>
              <w:tab w:val="right" w:leader="dot" w:pos="9062"/>
            </w:tabs>
            <w:rPr>
              <w:rFonts w:eastAsiaTheme="minorEastAsia" w:cstheme="minorBidi"/>
              <w:noProof/>
              <w:lang w:eastAsia="hu-HU"/>
            </w:rPr>
          </w:pPr>
          <w:hyperlink w:anchor="_Toc99619493" w:history="1">
            <w:r w:rsidRPr="00A65147">
              <w:rPr>
                <w:rStyle w:val="Hiperhivatkozs"/>
                <w:noProof/>
              </w:rPr>
              <w:t>3.2.</w:t>
            </w:r>
            <w:r>
              <w:rPr>
                <w:rFonts w:eastAsiaTheme="minorEastAsia" w:cstheme="minorBidi"/>
                <w:noProof/>
                <w:lang w:eastAsia="hu-HU"/>
              </w:rPr>
              <w:tab/>
            </w:r>
            <w:r w:rsidRPr="00A65147">
              <w:rPr>
                <w:rStyle w:val="Hiperhivatkozs"/>
                <w:bCs/>
                <w:noProof/>
                <w:lang w:val="en-GB"/>
              </w:rPr>
              <w:t>National regulation and band use</w:t>
            </w:r>
            <w:r>
              <w:rPr>
                <w:noProof/>
                <w:webHidden/>
              </w:rPr>
              <w:tab/>
            </w:r>
            <w:r>
              <w:rPr>
                <w:noProof/>
                <w:webHidden/>
              </w:rPr>
              <w:fldChar w:fldCharType="begin"/>
            </w:r>
            <w:r>
              <w:rPr>
                <w:noProof/>
                <w:webHidden/>
              </w:rPr>
              <w:instrText xml:space="preserve"> PAGEREF _Toc99619493 \h </w:instrText>
            </w:r>
            <w:r>
              <w:rPr>
                <w:noProof/>
                <w:webHidden/>
              </w:rPr>
            </w:r>
            <w:r>
              <w:rPr>
                <w:noProof/>
                <w:webHidden/>
              </w:rPr>
              <w:fldChar w:fldCharType="separate"/>
            </w:r>
            <w:r>
              <w:rPr>
                <w:noProof/>
                <w:webHidden/>
              </w:rPr>
              <w:t>9</w:t>
            </w:r>
            <w:r>
              <w:rPr>
                <w:noProof/>
                <w:webHidden/>
              </w:rPr>
              <w:fldChar w:fldCharType="end"/>
            </w:r>
          </w:hyperlink>
        </w:p>
        <w:p w14:paraId="2A98EEFD" w14:textId="0261C1AC" w:rsidR="000028E8" w:rsidRDefault="000028E8">
          <w:pPr>
            <w:pStyle w:val="TJ1"/>
            <w:tabs>
              <w:tab w:val="left" w:pos="440"/>
              <w:tab w:val="right" w:leader="dot" w:pos="9062"/>
            </w:tabs>
            <w:rPr>
              <w:rFonts w:eastAsiaTheme="minorEastAsia" w:cstheme="minorBidi"/>
              <w:noProof/>
              <w:lang w:eastAsia="hu-HU"/>
            </w:rPr>
          </w:pPr>
          <w:hyperlink w:anchor="_Toc99619494" w:history="1">
            <w:r w:rsidRPr="00A65147">
              <w:rPr>
                <w:rStyle w:val="Hiperhivatkozs"/>
                <w:noProof/>
              </w:rPr>
              <w:t>4.</w:t>
            </w:r>
            <w:r>
              <w:rPr>
                <w:rFonts w:eastAsiaTheme="minorEastAsia" w:cstheme="minorBidi"/>
                <w:noProof/>
                <w:lang w:eastAsia="hu-HU"/>
              </w:rPr>
              <w:tab/>
            </w:r>
            <w:r w:rsidRPr="00A65147">
              <w:rPr>
                <w:rStyle w:val="Hiperhivatkozs"/>
                <w:bCs/>
                <w:noProof/>
                <w:lang w:val="en-GB"/>
              </w:rPr>
              <w:t>National regulatory plans in the 32 GHz frequency band</w:t>
            </w:r>
            <w:r>
              <w:rPr>
                <w:noProof/>
                <w:webHidden/>
              </w:rPr>
              <w:tab/>
            </w:r>
            <w:r>
              <w:rPr>
                <w:noProof/>
                <w:webHidden/>
              </w:rPr>
              <w:fldChar w:fldCharType="begin"/>
            </w:r>
            <w:r>
              <w:rPr>
                <w:noProof/>
                <w:webHidden/>
              </w:rPr>
              <w:instrText xml:space="preserve"> PAGEREF _Toc99619494 \h </w:instrText>
            </w:r>
            <w:r>
              <w:rPr>
                <w:noProof/>
                <w:webHidden/>
              </w:rPr>
            </w:r>
            <w:r>
              <w:rPr>
                <w:noProof/>
                <w:webHidden/>
              </w:rPr>
              <w:fldChar w:fldCharType="separate"/>
            </w:r>
            <w:r>
              <w:rPr>
                <w:noProof/>
                <w:webHidden/>
              </w:rPr>
              <w:t>10</w:t>
            </w:r>
            <w:r>
              <w:rPr>
                <w:noProof/>
                <w:webHidden/>
              </w:rPr>
              <w:fldChar w:fldCharType="end"/>
            </w:r>
          </w:hyperlink>
        </w:p>
        <w:p w14:paraId="48153567" w14:textId="6F709B9B" w:rsidR="000028E8" w:rsidRDefault="000028E8">
          <w:pPr>
            <w:pStyle w:val="TJ2"/>
            <w:tabs>
              <w:tab w:val="left" w:pos="880"/>
              <w:tab w:val="right" w:leader="dot" w:pos="9062"/>
            </w:tabs>
            <w:rPr>
              <w:rFonts w:eastAsiaTheme="minorEastAsia" w:cstheme="minorBidi"/>
              <w:noProof/>
              <w:lang w:eastAsia="hu-HU"/>
            </w:rPr>
          </w:pPr>
          <w:hyperlink w:anchor="_Toc99619495" w:history="1">
            <w:r w:rsidRPr="00A65147">
              <w:rPr>
                <w:rStyle w:val="Hiperhivatkozs"/>
                <w:noProof/>
              </w:rPr>
              <w:t>4.1.</w:t>
            </w:r>
            <w:r>
              <w:rPr>
                <w:rFonts w:eastAsiaTheme="minorEastAsia" w:cstheme="minorBidi"/>
                <w:noProof/>
                <w:lang w:eastAsia="hu-HU"/>
              </w:rPr>
              <w:tab/>
            </w:r>
            <w:r w:rsidRPr="00A65147">
              <w:rPr>
                <w:rStyle w:val="Hiperhivatkozs"/>
                <w:bCs/>
                <w:noProof/>
                <w:lang w:val="en-GB"/>
              </w:rPr>
              <w:t>Technical regulatory considerations</w:t>
            </w:r>
            <w:r>
              <w:rPr>
                <w:noProof/>
                <w:webHidden/>
              </w:rPr>
              <w:tab/>
            </w:r>
            <w:r>
              <w:rPr>
                <w:noProof/>
                <w:webHidden/>
              </w:rPr>
              <w:fldChar w:fldCharType="begin"/>
            </w:r>
            <w:r>
              <w:rPr>
                <w:noProof/>
                <w:webHidden/>
              </w:rPr>
              <w:instrText xml:space="preserve"> PAGEREF _Toc99619495 \h </w:instrText>
            </w:r>
            <w:r>
              <w:rPr>
                <w:noProof/>
                <w:webHidden/>
              </w:rPr>
            </w:r>
            <w:r>
              <w:rPr>
                <w:noProof/>
                <w:webHidden/>
              </w:rPr>
              <w:fldChar w:fldCharType="separate"/>
            </w:r>
            <w:r>
              <w:rPr>
                <w:noProof/>
                <w:webHidden/>
              </w:rPr>
              <w:t>10</w:t>
            </w:r>
            <w:r>
              <w:rPr>
                <w:noProof/>
                <w:webHidden/>
              </w:rPr>
              <w:fldChar w:fldCharType="end"/>
            </w:r>
          </w:hyperlink>
        </w:p>
        <w:p w14:paraId="70AE93EC" w14:textId="6AE57841" w:rsidR="000028E8" w:rsidRDefault="000028E8">
          <w:pPr>
            <w:pStyle w:val="TJ3"/>
            <w:tabs>
              <w:tab w:val="left" w:pos="1320"/>
              <w:tab w:val="right" w:leader="dot" w:pos="9062"/>
            </w:tabs>
            <w:rPr>
              <w:rFonts w:eastAsiaTheme="minorEastAsia" w:cstheme="minorBidi"/>
              <w:noProof/>
              <w:lang w:eastAsia="hu-HU"/>
            </w:rPr>
          </w:pPr>
          <w:hyperlink w:anchor="_Toc99619496" w:history="1">
            <w:r w:rsidRPr="00A65147">
              <w:rPr>
                <w:rStyle w:val="Hiperhivatkozs"/>
                <w:noProof/>
              </w:rPr>
              <w:t>4.1.1.</w:t>
            </w:r>
            <w:r>
              <w:rPr>
                <w:rFonts w:eastAsiaTheme="minorEastAsia" w:cstheme="minorBidi"/>
                <w:noProof/>
                <w:lang w:eastAsia="hu-HU"/>
              </w:rPr>
              <w:tab/>
            </w:r>
            <w:r w:rsidRPr="00A65147">
              <w:rPr>
                <w:rStyle w:val="Hiperhivatkozs"/>
                <w:bCs/>
                <w:noProof/>
                <w:lang w:val="en-GB"/>
              </w:rPr>
              <w:t>Band and channel arrangements</w:t>
            </w:r>
            <w:r>
              <w:rPr>
                <w:noProof/>
                <w:webHidden/>
              </w:rPr>
              <w:tab/>
            </w:r>
            <w:r>
              <w:rPr>
                <w:noProof/>
                <w:webHidden/>
              </w:rPr>
              <w:fldChar w:fldCharType="begin"/>
            </w:r>
            <w:r>
              <w:rPr>
                <w:noProof/>
                <w:webHidden/>
              </w:rPr>
              <w:instrText xml:space="preserve"> PAGEREF _Toc99619496 \h </w:instrText>
            </w:r>
            <w:r>
              <w:rPr>
                <w:noProof/>
                <w:webHidden/>
              </w:rPr>
            </w:r>
            <w:r>
              <w:rPr>
                <w:noProof/>
                <w:webHidden/>
              </w:rPr>
              <w:fldChar w:fldCharType="separate"/>
            </w:r>
            <w:r>
              <w:rPr>
                <w:noProof/>
                <w:webHidden/>
              </w:rPr>
              <w:t>10</w:t>
            </w:r>
            <w:r>
              <w:rPr>
                <w:noProof/>
                <w:webHidden/>
              </w:rPr>
              <w:fldChar w:fldCharType="end"/>
            </w:r>
          </w:hyperlink>
        </w:p>
        <w:p w14:paraId="746DA6F6" w14:textId="31B65279" w:rsidR="000028E8" w:rsidRDefault="000028E8">
          <w:pPr>
            <w:pStyle w:val="TJ3"/>
            <w:tabs>
              <w:tab w:val="left" w:pos="1320"/>
              <w:tab w:val="right" w:leader="dot" w:pos="9062"/>
            </w:tabs>
            <w:rPr>
              <w:rFonts w:eastAsiaTheme="minorEastAsia" w:cstheme="minorBidi"/>
              <w:noProof/>
              <w:lang w:eastAsia="hu-HU"/>
            </w:rPr>
          </w:pPr>
          <w:hyperlink w:anchor="_Toc99619497" w:history="1">
            <w:r w:rsidRPr="00A65147">
              <w:rPr>
                <w:rStyle w:val="Hiperhivatkozs"/>
                <w:noProof/>
              </w:rPr>
              <w:t>4.1.2.</w:t>
            </w:r>
            <w:r>
              <w:rPr>
                <w:rFonts w:eastAsiaTheme="minorEastAsia" w:cstheme="minorBidi"/>
                <w:noProof/>
                <w:lang w:eastAsia="hu-HU"/>
              </w:rPr>
              <w:tab/>
            </w:r>
            <w:r w:rsidRPr="00A65147">
              <w:rPr>
                <w:rStyle w:val="Hiperhivatkozs"/>
                <w:bCs/>
                <w:noProof/>
                <w:lang w:val="en-GB"/>
              </w:rPr>
              <w:t>Considerations for user blocks and for the management of adjacent block interference</w:t>
            </w:r>
            <w:r>
              <w:rPr>
                <w:noProof/>
                <w:webHidden/>
              </w:rPr>
              <w:tab/>
            </w:r>
            <w:r>
              <w:rPr>
                <w:noProof/>
                <w:webHidden/>
              </w:rPr>
              <w:fldChar w:fldCharType="begin"/>
            </w:r>
            <w:r>
              <w:rPr>
                <w:noProof/>
                <w:webHidden/>
              </w:rPr>
              <w:instrText xml:space="preserve"> PAGEREF _Toc99619497 \h </w:instrText>
            </w:r>
            <w:r>
              <w:rPr>
                <w:noProof/>
                <w:webHidden/>
              </w:rPr>
            </w:r>
            <w:r>
              <w:rPr>
                <w:noProof/>
                <w:webHidden/>
              </w:rPr>
              <w:fldChar w:fldCharType="separate"/>
            </w:r>
            <w:r>
              <w:rPr>
                <w:noProof/>
                <w:webHidden/>
              </w:rPr>
              <w:t>10</w:t>
            </w:r>
            <w:r>
              <w:rPr>
                <w:noProof/>
                <w:webHidden/>
              </w:rPr>
              <w:fldChar w:fldCharType="end"/>
            </w:r>
          </w:hyperlink>
        </w:p>
        <w:p w14:paraId="2DAB30AB" w14:textId="15960265" w:rsidR="000028E8" w:rsidRDefault="000028E8">
          <w:pPr>
            <w:pStyle w:val="TJ3"/>
            <w:tabs>
              <w:tab w:val="left" w:pos="1320"/>
              <w:tab w:val="right" w:leader="dot" w:pos="9062"/>
            </w:tabs>
            <w:rPr>
              <w:rFonts w:eastAsiaTheme="minorEastAsia" w:cstheme="minorBidi"/>
              <w:noProof/>
              <w:lang w:eastAsia="hu-HU"/>
            </w:rPr>
          </w:pPr>
          <w:hyperlink w:anchor="_Toc99619498" w:history="1">
            <w:r w:rsidRPr="00A65147">
              <w:rPr>
                <w:rStyle w:val="Hiperhivatkozs"/>
                <w:noProof/>
              </w:rPr>
              <w:t>4.1.3.</w:t>
            </w:r>
            <w:r>
              <w:rPr>
                <w:rFonts w:eastAsiaTheme="minorEastAsia" w:cstheme="minorBidi"/>
                <w:noProof/>
                <w:lang w:eastAsia="hu-HU"/>
              </w:rPr>
              <w:tab/>
            </w:r>
            <w:r w:rsidRPr="00A65147">
              <w:rPr>
                <w:rStyle w:val="Hiperhivatkozs"/>
                <w:bCs/>
                <w:noProof/>
                <w:lang w:val="en-GB"/>
              </w:rPr>
              <w:t>Aspects related to equipment tuning range</w:t>
            </w:r>
            <w:r>
              <w:rPr>
                <w:noProof/>
                <w:webHidden/>
              </w:rPr>
              <w:tab/>
            </w:r>
            <w:r>
              <w:rPr>
                <w:noProof/>
                <w:webHidden/>
              </w:rPr>
              <w:fldChar w:fldCharType="begin"/>
            </w:r>
            <w:r>
              <w:rPr>
                <w:noProof/>
                <w:webHidden/>
              </w:rPr>
              <w:instrText xml:space="preserve"> PAGEREF _Toc99619498 \h </w:instrText>
            </w:r>
            <w:r>
              <w:rPr>
                <w:noProof/>
                <w:webHidden/>
              </w:rPr>
            </w:r>
            <w:r>
              <w:rPr>
                <w:noProof/>
                <w:webHidden/>
              </w:rPr>
              <w:fldChar w:fldCharType="separate"/>
            </w:r>
            <w:r>
              <w:rPr>
                <w:noProof/>
                <w:webHidden/>
              </w:rPr>
              <w:t>12</w:t>
            </w:r>
            <w:r>
              <w:rPr>
                <w:noProof/>
                <w:webHidden/>
              </w:rPr>
              <w:fldChar w:fldCharType="end"/>
            </w:r>
          </w:hyperlink>
        </w:p>
        <w:p w14:paraId="1B76C8FF" w14:textId="72089D4F" w:rsidR="000028E8" w:rsidRDefault="000028E8">
          <w:pPr>
            <w:pStyle w:val="TJ2"/>
            <w:tabs>
              <w:tab w:val="left" w:pos="880"/>
              <w:tab w:val="right" w:leader="dot" w:pos="9062"/>
            </w:tabs>
            <w:rPr>
              <w:rFonts w:eastAsiaTheme="minorEastAsia" w:cstheme="minorBidi"/>
              <w:noProof/>
              <w:lang w:eastAsia="hu-HU"/>
            </w:rPr>
          </w:pPr>
          <w:hyperlink w:anchor="_Toc99619499" w:history="1">
            <w:r w:rsidRPr="00A65147">
              <w:rPr>
                <w:rStyle w:val="Hiperhivatkozs"/>
                <w:noProof/>
              </w:rPr>
              <w:t>4.2.</w:t>
            </w:r>
            <w:r>
              <w:rPr>
                <w:rFonts w:eastAsiaTheme="minorEastAsia" w:cstheme="minorBidi"/>
                <w:noProof/>
                <w:lang w:eastAsia="hu-HU"/>
              </w:rPr>
              <w:tab/>
            </w:r>
            <w:r w:rsidRPr="00A65147">
              <w:rPr>
                <w:rStyle w:val="Hiperhivatkozs"/>
                <w:bCs/>
                <w:noProof/>
                <w:lang w:val="en-GB"/>
              </w:rPr>
              <w:t>Regulation according to the NFFF Decree for the future use of the 32 GHz frequency band</w:t>
            </w:r>
            <w:r>
              <w:rPr>
                <w:noProof/>
                <w:webHidden/>
              </w:rPr>
              <w:tab/>
            </w:r>
            <w:r>
              <w:rPr>
                <w:noProof/>
                <w:webHidden/>
              </w:rPr>
              <w:fldChar w:fldCharType="begin"/>
            </w:r>
            <w:r>
              <w:rPr>
                <w:noProof/>
                <w:webHidden/>
              </w:rPr>
              <w:instrText xml:space="preserve"> PAGEREF _Toc99619499 \h </w:instrText>
            </w:r>
            <w:r>
              <w:rPr>
                <w:noProof/>
                <w:webHidden/>
              </w:rPr>
            </w:r>
            <w:r>
              <w:rPr>
                <w:noProof/>
                <w:webHidden/>
              </w:rPr>
              <w:fldChar w:fldCharType="separate"/>
            </w:r>
            <w:r>
              <w:rPr>
                <w:noProof/>
                <w:webHidden/>
              </w:rPr>
              <w:t>13</w:t>
            </w:r>
            <w:r>
              <w:rPr>
                <w:noProof/>
                <w:webHidden/>
              </w:rPr>
              <w:fldChar w:fldCharType="end"/>
            </w:r>
          </w:hyperlink>
        </w:p>
        <w:p w14:paraId="37098CF1" w14:textId="4F0B0FEA" w:rsidR="000028E8" w:rsidRDefault="000028E8">
          <w:pPr>
            <w:pStyle w:val="TJ3"/>
            <w:tabs>
              <w:tab w:val="left" w:pos="1320"/>
              <w:tab w:val="right" w:leader="dot" w:pos="9062"/>
            </w:tabs>
            <w:rPr>
              <w:rFonts w:eastAsiaTheme="minorEastAsia" w:cstheme="minorBidi"/>
              <w:noProof/>
              <w:lang w:eastAsia="hu-HU"/>
            </w:rPr>
          </w:pPr>
          <w:hyperlink w:anchor="_Toc99619500" w:history="1">
            <w:r w:rsidRPr="00A65147">
              <w:rPr>
                <w:rStyle w:val="Hiperhivatkozs"/>
                <w:noProof/>
              </w:rPr>
              <w:t>4.2.1.</w:t>
            </w:r>
            <w:r>
              <w:rPr>
                <w:rFonts w:eastAsiaTheme="minorEastAsia" w:cstheme="minorBidi"/>
                <w:noProof/>
                <w:lang w:eastAsia="hu-HU"/>
              </w:rPr>
              <w:tab/>
            </w:r>
            <w:r w:rsidRPr="00A65147">
              <w:rPr>
                <w:rStyle w:val="Hiperhivatkozs"/>
                <w:bCs/>
                <w:noProof/>
                <w:lang w:val="en-GB"/>
              </w:rPr>
              <w:t>Radio spectrum management requirements</w:t>
            </w:r>
            <w:r>
              <w:rPr>
                <w:noProof/>
                <w:webHidden/>
              </w:rPr>
              <w:tab/>
            </w:r>
            <w:r>
              <w:rPr>
                <w:noProof/>
                <w:webHidden/>
              </w:rPr>
              <w:fldChar w:fldCharType="begin"/>
            </w:r>
            <w:r>
              <w:rPr>
                <w:noProof/>
                <w:webHidden/>
              </w:rPr>
              <w:instrText xml:space="preserve"> PAGEREF _Toc99619500 \h </w:instrText>
            </w:r>
            <w:r>
              <w:rPr>
                <w:noProof/>
                <w:webHidden/>
              </w:rPr>
            </w:r>
            <w:r>
              <w:rPr>
                <w:noProof/>
                <w:webHidden/>
              </w:rPr>
              <w:fldChar w:fldCharType="separate"/>
            </w:r>
            <w:r>
              <w:rPr>
                <w:noProof/>
                <w:webHidden/>
              </w:rPr>
              <w:t>13</w:t>
            </w:r>
            <w:r>
              <w:rPr>
                <w:noProof/>
                <w:webHidden/>
              </w:rPr>
              <w:fldChar w:fldCharType="end"/>
            </w:r>
          </w:hyperlink>
        </w:p>
        <w:p w14:paraId="0470DD22" w14:textId="5635C4EE" w:rsidR="000028E8" w:rsidRDefault="000028E8">
          <w:pPr>
            <w:pStyle w:val="TJ3"/>
            <w:tabs>
              <w:tab w:val="left" w:pos="1320"/>
              <w:tab w:val="right" w:leader="dot" w:pos="9062"/>
            </w:tabs>
            <w:rPr>
              <w:rFonts w:eastAsiaTheme="minorEastAsia" w:cstheme="minorBidi"/>
              <w:noProof/>
              <w:lang w:eastAsia="hu-HU"/>
            </w:rPr>
          </w:pPr>
          <w:hyperlink w:anchor="_Toc99619501" w:history="1">
            <w:r w:rsidRPr="00A65147">
              <w:rPr>
                <w:rStyle w:val="Hiperhivatkozs"/>
                <w:noProof/>
              </w:rPr>
              <w:t>4.2.2.</w:t>
            </w:r>
            <w:r>
              <w:rPr>
                <w:rFonts w:eastAsiaTheme="minorEastAsia" w:cstheme="minorBidi"/>
                <w:noProof/>
                <w:lang w:eastAsia="hu-HU"/>
              </w:rPr>
              <w:tab/>
            </w:r>
            <w:r w:rsidRPr="00A65147">
              <w:rPr>
                <w:rStyle w:val="Hiperhivatkozs"/>
                <w:bCs/>
                <w:noProof/>
                <w:lang w:val="en-GB"/>
              </w:rPr>
              <w:t>Conditions for obtaining right of radio spectrum use and conditions of using the band</w:t>
            </w:r>
            <w:r>
              <w:rPr>
                <w:noProof/>
                <w:webHidden/>
              </w:rPr>
              <w:tab/>
            </w:r>
            <w:r>
              <w:rPr>
                <w:noProof/>
                <w:webHidden/>
              </w:rPr>
              <w:fldChar w:fldCharType="begin"/>
            </w:r>
            <w:r>
              <w:rPr>
                <w:noProof/>
                <w:webHidden/>
              </w:rPr>
              <w:instrText xml:space="preserve"> PAGEREF _Toc99619501 \h </w:instrText>
            </w:r>
            <w:r>
              <w:rPr>
                <w:noProof/>
                <w:webHidden/>
              </w:rPr>
            </w:r>
            <w:r>
              <w:rPr>
                <w:noProof/>
                <w:webHidden/>
              </w:rPr>
              <w:fldChar w:fldCharType="separate"/>
            </w:r>
            <w:r>
              <w:rPr>
                <w:noProof/>
                <w:webHidden/>
              </w:rPr>
              <w:t>14</w:t>
            </w:r>
            <w:r>
              <w:rPr>
                <w:noProof/>
                <w:webHidden/>
              </w:rPr>
              <w:fldChar w:fldCharType="end"/>
            </w:r>
          </w:hyperlink>
        </w:p>
        <w:p w14:paraId="78E0242F" w14:textId="75593EEF" w:rsidR="000028E8" w:rsidRDefault="000028E8">
          <w:pPr>
            <w:pStyle w:val="TJ3"/>
            <w:tabs>
              <w:tab w:val="left" w:pos="1320"/>
              <w:tab w:val="right" w:leader="dot" w:pos="9062"/>
            </w:tabs>
            <w:rPr>
              <w:rFonts w:eastAsiaTheme="minorEastAsia" w:cstheme="minorBidi"/>
              <w:noProof/>
              <w:lang w:eastAsia="hu-HU"/>
            </w:rPr>
          </w:pPr>
          <w:hyperlink w:anchor="_Toc99619502" w:history="1">
            <w:r w:rsidRPr="00A65147">
              <w:rPr>
                <w:rStyle w:val="Hiperhivatkozs"/>
                <w:noProof/>
              </w:rPr>
              <w:t>4.2.3.</w:t>
            </w:r>
            <w:r>
              <w:rPr>
                <w:rFonts w:eastAsiaTheme="minorEastAsia" w:cstheme="minorBidi"/>
                <w:noProof/>
                <w:lang w:eastAsia="hu-HU"/>
              </w:rPr>
              <w:tab/>
            </w:r>
            <w:r w:rsidRPr="00A65147">
              <w:rPr>
                <w:rStyle w:val="Hiperhivatkozs"/>
                <w:bCs/>
                <w:noProof/>
                <w:lang w:val="en-GB"/>
              </w:rPr>
              <w:t>Rules for coexistence of user blocks</w:t>
            </w:r>
            <w:r>
              <w:rPr>
                <w:noProof/>
                <w:webHidden/>
              </w:rPr>
              <w:tab/>
            </w:r>
            <w:r>
              <w:rPr>
                <w:noProof/>
                <w:webHidden/>
              </w:rPr>
              <w:fldChar w:fldCharType="begin"/>
            </w:r>
            <w:r>
              <w:rPr>
                <w:noProof/>
                <w:webHidden/>
              </w:rPr>
              <w:instrText xml:space="preserve"> PAGEREF _Toc99619502 \h </w:instrText>
            </w:r>
            <w:r>
              <w:rPr>
                <w:noProof/>
                <w:webHidden/>
              </w:rPr>
            </w:r>
            <w:r>
              <w:rPr>
                <w:noProof/>
                <w:webHidden/>
              </w:rPr>
              <w:fldChar w:fldCharType="separate"/>
            </w:r>
            <w:r>
              <w:rPr>
                <w:noProof/>
                <w:webHidden/>
              </w:rPr>
              <w:t>14</w:t>
            </w:r>
            <w:r>
              <w:rPr>
                <w:noProof/>
                <w:webHidden/>
              </w:rPr>
              <w:fldChar w:fldCharType="end"/>
            </w:r>
          </w:hyperlink>
        </w:p>
        <w:p w14:paraId="49D9202D" w14:textId="1CAF317B" w:rsidR="000028E8" w:rsidRDefault="000028E8">
          <w:pPr>
            <w:pStyle w:val="TJ1"/>
            <w:tabs>
              <w:tab w:val="left" w:pos="440"/>
              <w:tab w:val="right" w:leader="dot" w:pos="9062"/>
            </w:tabs>
            <w:rPr>
              <w:rFonts w:eastAsiaTheme="minorEastAsia" w:cstheme="minorBidi"/>
              <w:noProof/>
              <w:lang w:eastAsia="hu-HU"/>
            </w:rPr>
          </w:pPr>
          <w:hyperlink w:anchor="_Toc99619503" w:history="1">
            <w:r w:rsidRPr="00A65147">
              <w:rPr>
                <w:rStyle w:val="Hiperhivatkozs"/>
                <w:noProof/>
              </w:rPr>
              <w:t>5.</w:t>
            </w:r>
            <w:r>
              <w:rPr>
                <w:rFonts w:eastAsiaTheme="minorEastAsia" w:cstheme="minorBidi"/>
                <w:noProof/>
                <w:lang w:eastAsia="hu-HU"/>
              </w:rPr>
              <w:tab/>
            </w:r>
            <w:r w:rsidRPr="00A65147">
              <w:rPr>
                <w:rStyle w:val="Hiperhivatkozs"/>
                <w:bCs/>
                <w:noProof/>
                <w:lang w:val="en-GB"/>
              </w:rPr>
              <w:t>Issues related to migration of fixed service systems in the 26 GHz frequency band</w:t>
            </w:r>
            <w:r>
              <w:rPr>
                <w:noProof/>
                <w:webHidden/>
              </w:rPr>
              <w:tab/>
            </w:r>
            <w:r>
              <w:rPr>
                <w:noProof/>
                <w:webHidden/>
              </w:rPr>
              <w:fldChar w:fldCharType="begin"/>
            </w:r>
            <w:r>
              <w:rPr>
                <w:noProof/>
                <w:webHidden/>
              </w:rPr>
              <w:instrText xml:space="preserve"> PAGEREF _Toc99619503 \h </w:instrText>
            </w:r>
            <w:r>
              <w:rPr>
                <w:noProof/>
                <w:webHidden/>
              </w:rPr>
            </w:r>
            <w:r>
              <w:rPr>
                <w:noProof/>
                <w:webHidden/>
              </w:rPr>
              <w:fldChar w:fldCharType="separate"/>
            </w:r>
            <w:r>
              <w:rPr>
                <w:noProof/>
                <w:webHidden/>
              </w:rPr>
              <w:t>15</w:t>
            </w:r>
            <w:r>
              <w:rPr>
                <w:noProof/>
                <w:webHidden/>
              </w:rPr>
              <w:fldChar w:fldCharType="end"/>
            </w:r>
          </w:hyperlink>
        </w:p>
        <w:p w14:paraId="29B436FD" w14:textId="6238BD2F" w:rsidR="000028E8" w:rsidRDefault="000028E8">
          <w:pPr>
            <w:pStyle w:val="TJ1"/>
            <w:tabs>
              <w:tab w:val="left" w:pos="440"/>
              <w:tab w:val="right" w:leader="dot" w:pos="9062"/>
            </w:tabs>
            <w:rPr>
              <w:rFonts w:eastAsiaTheme="minorEastAsia" w:cstheme="minorBidi"/>
              <w:noProof/>
              <w:lang w:eastAsia="hu-HU"/>
            </w:rPr>
          </w:pPr>
          <w:hyperlink w:anchor="_Toc99619504" w:history="1">
            <w:r w:rsidRPr="00A65147">
              <w:rPr>
                <w:rStyle w:val="Hiperhivatkozs"/>
                <w:noProof/>
              </w:rPr>
              <w:t>6.</w:t>
            </w:r>
            <w:r>
              <w:rPr>
                <w:rFonts w:eastAsiaTheme="minorEastAsia" w:cstheme="minorBidi"/>
                <w:noProof/>
                <w:lang w:eastAsia="hu-HU"/>
              </w:rPr>
              <w:tab/>
            </w:r>
            <w:r w:rsidRPr="00A65147">
              <w:rPr>
                <w:rStyle w:val="Hiperhivatkozs"/>
                <w:bCs/>
                <w:noProof/>
                <w:lang w:val="en-GB"/>
              </w:rPr>
              <w:t>Interference issues related to adjacent frequency bands</w:t>
            </w:r>
            <w:r>
              <w:rPr>
                <w:noProof/>
                <w:webHidden/>
              </w:rPr>
              <w:tab/>
            </w:r>
            <w:r>
              <w:rPr>
                <w:noProof/>
                <w:webHidden/>
              </w:rPr>
              <w:fldChar w:fldCharType="begin"/>
            </w:r>
            <w:r>
              <w:rPr>
                <w:noProof/>
                <w:webHidden/>
              </w:rPr>
              <w:instrText xml:space="preserve"> PAGEREF _Toc99619504 \h </w:instrText>
            </w:r>
            <w:r>
              <w:rPr>
                <w:noProof/>
                <w:webHidden/>
              </w:rPr>
            </w:r>
            <w:r>
              <w:rPr>
                <w:noProof/>
                <w:webHidden/>
              </w:rPr>
              <w:fldChar w:fldCharType="separate"/>
            </w:r>
            <w:r>
              <w:rPr>
                <w:noProof/>
                <w:webHidden/>
              </w:rPr>
              <w:t>15</w:t>
            </w:r>
            <w:r>
              <w:rPr>
                <w:noProof/>
                <w:webHidden/>
              </w:rPr>
              <w:fldChar w:fldCharType="end"/>
            </w:r>
          </w:hyperlink>
        </w:p>
        <w:p w14:paraId="01AE5D2F" w14:textId="65F7E84F" w:rsidR="000028E8" w:rsidRDefault="000028E8">
          <w:pPr>
            <w:pStyle w:val="TJ2"/>
            <w:tabs>
              <w:tab w:val="left" w:pos="880"/>
              <w:tab w:val="right" w:leader="dot" w:pos="9062"/>
            </w:tabs>
            <w:rPr>
              <w:rFonts w:eastAsiaTheme="minorEastAsia" w:cstheme="minorBidi"/>
              <w:noProof/>
              <w:lang w:eastAsia="hu-HU"/>
            </w:rPr>
          </w:pPr>
          <w:hyperlink w:anchor="_Toc99619505" w:history="1">
            <w:r w:rsidRPr="00A65147">
              <w:rPr>
                <w:rStyle w:val="Hiperhivatkozs"/>
                <w:noProof/>
              </w:rPr>
              <w:t>6.1.</w:t>
            </w:r>
            <w:r>
              <w:rPr>
                <w:rFonts w:eastAsiaTheme="minorEastAsia" w:cstheme="minorBidi"/>
                <w:noProof/>
                <w:lang w:eastAsia="hu-HU"/>
              </w:rPr>
              <w:tab/>
            </w:r>
            <w:r w:rsidRPr="00A65147">
              <w:rPr>
                <w:rStyle w:val="Hiperhivatkozs"/>
                <w:bCs/>
                <w:noProof/>
                <w:lang w:val="en-GB"/>
              </w:rPr>
              <w:t>31.5-31.8 GHz frequency range</w:t>
            </w:r>
            <w:r>
              <w:rPr>
                <w:noProof/>
                <w:webHidden/>
              </w:rPr>
              <w:tab/>
            </w:r>
            <w:r>
              <w:rPr>
                <w:noProof/>
                <w:webHidden/>
              </w:rPr>
              <w:fldChar w:fldCharType="begin"/>
            </w:r>
            <w:r>
              <w:rPr>
                <w:noProof/>
                <w:webHidden/>
              </w:rPr>
              <w:instrText xml:space="preserve"> PAGEREF _Toc99619505 \h </w:instrText>
            </w:r>
            <w:r>
              <w:rPr>
                <w:noProof/>
                <w:webHidden/>
              </w:rPr>
            </w:r>
            <w:r>
              <w:rPr>
                <w:noProof/>
                <w:webHidden/>
              </w:rPr>
              <w:fldChar w:fldCharType="separate"/>
            </w:r>
            <w:r>
              <w:rPr>
                <w:noProof/>
                <w:webHidden/>
              </w:rPr>
              <w:t>15</w:t>
            </w:r>
            <w:r>
              <w:rPr>
                <w:noProof/>
                <w:webHidden/>
              </w:rPr>
              <w:fldChar w:fldCharType="end"/>
            </w:r>
          </w:hyperlink>
        </w:p>
        <w:p w14:paraId="19397C50" w14:textId="4C10AA8F" w:rsidR="000028E8" w:rsidRDefault="000028E8">
          <w:pPr>
            <w:pStyle w:val="TJ2"/>
            <w:tabs>
              <w:tab w:val="left" w:pos="880"/>
              <w:tab w:val="right" w:leader="dot" w:pos="9062"/>
            </w:tabs>
            <w:rPr>
              <w:rFonts w:eastAsiaTheme="minorEastAsia" w:cstheme="minorBidi"/>
              <w:noProof/>
              <w:lang w:eastAsia="hu-HU"/>
            </w:rPr>
          </w:pPr>
          <w:hyperlink w:anchor="_Toc99619506" w:history="1">
            <w:r w:rsidRPr="00A65147">
              <w:rPr>
                <w:rStyle w:val="Hiperhivatkozs"/>
                <w:noProof/>
              </w:rPr>
              <w:t>6.2.</w:t>
            </w:r>
            <w:r>
              <w:rPr>
                <w:rFonts w:eastAsiaTheme="minorEastAsia" w:cstheme="minorBidi"/>
                <w:noProof/>
                <w:lang w:eastAsia="hu-HU"/>
              </w:rPr>
              <w:tab/>
            </w:r>
            <w:r w:rsidRPr="00A65147">
              <w:rPr>
                <w:rStyle w:val="Hiperhivatkozs"/>
                <w:bCs/>
                <w:noProof/>
                <w:lang w:val="en-GB"/>
              </w:rPr>
              <w:t>33.4-35.2 GHz frequency range</w:t>
            </w:r>
            <w:r>
              <w:rPr>
                <w:noProof/>
                <w:webHidden/>
              </w:rPr>
              <w:tab/>
            </w:r>
            <w:r>
              <w:rPr>
                <w:noProof/>
                <w:webHidden/>
              </w:rPr>
              <w:fldChar w:fldCharType="begin"/>
            </w:r>
            <w:r>
              <w:rPr>
                <w:noProof/>
                <w:webHidden/>
              </w:rPr>
              <w:instrText xml:space="preserve"> PAGEREF _Toc99619506 \h </w:instrText>
            </w:r>
            <w:r>
              <w:rPr>
                <w:noProof/>
                <w:webHidden/>
              </w:rPr>
            </w:r>
            <w:r>
              <w:rPr>
                <w:noProof/>
                <w:webHidden/>
              </w:rPr>
              <w:fldChar w:fldCharType="separate"/>
            </w:r>
            <w:r>
              <w:rPr>
                <w:noProof/>
                <w:webHidden/>
              </w:rPr>
              <w:t>15</w:t>
            </w:r>
            <w:r>
              <w:rPr>
                <w:noProof/>
                <w:webHidden/>
              </w:rPr>
              <w:fldChar w:fldCharType="end"/>
            </w:r>
          </w:hyperlink>
        </w:p>
        <w:p w14:paraId="4D62D14C" w14:textId="3E1CD77D" w:rsidR="000028E8" w:rsidRDefault="000028E8">
          <w:pPr>
            <w:pStyle w:val="TJ1"/>
            <w:tabs>
              <w:tab w:val="left" w:pos="440"/>
              <w:tab w:val="right" w:leader="dot" w:pos="9062"/>
            </w:tabs>
            <w:rPr>
              <w:rFonts w:eastAsiaTheme="minorEastAsia" w:cstheme="minorBidi"/>
              <w:noProof/>
              <w:lang w:eastAsia="hu-HU"/>
            </w:rPr>
          </w:pPr>
          <w:hyperlink w:anchor="_Toc99619507" w:history="1">
            <w:r w:rsidRPr="00A65147">
              <w:rPr>
                <w:rStyle w:val="Hiperhivatkozs"/>
                <w:noProof/>
              </w:rPr>
              <w:t>7.</w:t>
            </w:r>
            <w:r>
              <w:rPr>
                <w:rFonts w:eastAsiaTheme="minorEastAsia" w:cstheme="minorBidi"/>
                <w:noProof/>
                <w:lang w:eastAsia="hu-HU"/>
              </w:rPr>
              <w:tab/>
            </w:r>
            <w:r w:rsidRPr="00A65147">
              <w:rPr>
                <w:rStyle w:val="Hiperhivatkozs"/>
                <w:bCs/>
                <w:noProof/>
                <w:lang w:val="en-GB"/>
              </w:rPr>
              <w:t>Radio spectrum use in border areas and international coordination</w:t>
            </w:r>
            <w:r>
              <w:rPr>
                <w:noProof/>
                <w:webHidden/>
              </w:rPr>
              <w:tab/>
            </w:r>
            <w:r>
              <w:rPr>
                <w:noProof/>
                <w:webHidden/>
              </w:rPr>
              <w:fldChar w:fldCharType="begin"/>
            </w:r>
            <w:r>
              <w:rPr>
                <w:noProof/>
                <w:webHidden/>
              </w:rPr>
              <w:instrText xml:space="preserve"> PAGEREF _Toc99619507 \h </w:instrText>
            </w:r>
            <w:r>
              <w:rPr>
                <w:noProof/>
                <w:webHidden/>
              </w:rPr>
            </w:r>
            <w:r>
              <w:rPr>
                <w:noProof/>
                <w:webHidden/>
              </w:rPr>
              <w:fldChar w:fldCharType="separate"/>
            </w:r>
            <w:r>
              <w:rPr>
                <w:noProof/>
                <w:webHidden/>
              </w:rPr>
              <w:t>16</w:t>
            </w:r>
            <w:r>
              <w:rPr>
                <w:noProof/>
                <w:webHidden/>
              </w:rPr>
              <w:fldChar w:fldCharType="end"/>
            </w:r>
          </w:hyperlink>
        </w:p>
        <w:p w14:paraId="63041EFC" w14:textId="00EE70D6" w:rsidR="000028E8" w:rsidRDefault="000028E8">
          <w:pPr>
            <w:pStyle w:val="TJ1"/>
            <w:tabs>
              <w:tab w:val="left" w:pos="440"/>
              <w:tab w:val="right" w:leader="dot" w:pos="9062"/>
            </w:tabs>
            <w:rPr>
              <w:rFonts w:eastAsiaTheme="minorEastAsia" w:cstheme="minorBidi"/>
              <w:noProof/>
              <w:lang w:eastAsia="hu-HU"/>
            </w:rPr>
          </w:pPr>
          <w:hyperlink w:anchor="_Toc99619508" w:history="1">
            <w:r w:rsidRPr="00A65147">
              <w:rPr>
                <w:rStyle w:val="Hiperhivatkozs"/>
                <w:noProof/>
              </w:rPr>
              <w:t>8.</w:t>
            </w:r>
            <w:r>
              <w:rPr>
                <w:rFonts w:eastAsiaTheme="minorEastAsia" w:cstheme="minorBidi"/>
                <w:noProof/>
                <w:lang w:eastAsia="hu-HU"/>
              </w:rPr>
              <w:tab/>
            </w:r>
            <w:r w:rsidRPr="00A65147">
              <w:rPr>
                <w:rStyle w:val="Hiperhivatkozs"/>
                <w:bCs/>
                <w:noProof/>
                <w:lang w:val="en-GB"/>
              </w:rPr>
              <w:t>Radio spectrum fees</w:t>
            </w:r>
            <w:r>
              <w:rPr>
                <w:noProof/>
                <w:webHidden/>
              </w:rPr>
              <w:tab/>
            </w:r>
            <w:r>
              <w:rPr>
                <w:noProof/>
                <w:webHidden/>
              </w:rPr>
              <w:fldChar w:fldCharType="begin"/>
            </w:r>
            <w:r>
              <w:rPr>
                <w:noProof/>
                <w:webHidden/>
              </w:rPr>
              <w:instrText xml:space="preserve"> PAGEREF _Toc99619508 \h </w:instrText>
            </w:r>
            <w:r>
              <w:rPr>
                <w:noProof/>
                <w:webHidden/>
              </w:rPr>
            </w:r>
            <w:r>
              <w:rPr>
                <w:noProof/>
                <w:webHidden/>
              </w:rPr>
              <w:fldChar w:fldCharType="separate"/>
            </w:r>
            <w:r>
              <w:rPr>
                <w:noProof/>
                <w:webHidden/>
              </w:rPr>
              <w:t>17</w:t>
            </w:r>
            <w:r>
              <w:rPr>
                <w:noProof/>
                <w:webHidden/>
              </w:rPr>
              <w:fldChar w:fldCharType="end"/>
            </w:r>
          </w:hyperlink>
        </w:p>
        <w:p w14:paraId="3025833D" w14:textId="22A3F21C" w:rsidR="000028E8" w:rsidRDefault="000028E8">
          <w:pPr>
            <w:pStyle w:val="TJ1"/>
            <w:tabs>
              <w:tab w:val="right" w:leader="dot" w:pos="9062"/>
            </w:tabs>
            <w:rPr>
              <w:rFonts w:eastAsiaTheme="minorEastAsia" w:cstheme="minorBidi"/>
              <w:noProof/>
              <w:lang w:eastAsia="hu-HU"/>
            </w:rPr>
          </w:pPr>
          <w:hyperlink w:anchor="_Toc99619509" w:history="1">
            <w:r w:rsidRPr="00A65147">
              <w:rPr>
                <w:rStyle w:val="Hiperhivatkozs"/>
                <w:bCs/>
                <w:noProof/>
                <w:lang w:val="en-GB"/>
              </w:rPr>
              <w:t>Attachment: 32 GHz band arrangement with 28 MHz basic blocks</w:t>
            </w:r>
            <w:r>
              <w:rPr>
                <w:noProof/>
                <w:webHidden/>
              </w:rPr>
              <w:tab/>
            </w:r>
            <w:r>
              <w:rPr>
                <w:noProof/>
                <w:webHidden/>
              </w:rPr>
              <w:fldChar w:fldCharType="begin"/>
            </w:r>
            <w:r>
              <w:rPr>
                <w:noProof/>
                <w:webHidden/>
              </w:rPr>
              <w:instrText xml:space="preserve"> PAGEREF _Toc99619509 \h </w:instrText>
            </w:r>
            <w:r>
              <w:rPr>
                <w:noProof/>
                <w:webHidden/>
              </w:rPr>
            </w:r>
            <w:r>
              <w:rPr>
                <w:noProof/>
                <w:webHidden/>
              </w:rPr>
              <w:fldChar w:fldCharType="separate"/>
            </w:r>
            <w:r>
              <w:rPr>
                <w:noProof/>
                <w:webHidden/>
              </w:rPr>
              <w:t>18</w:t>
            </w:r>
            <w:r>
              <w:rPr>
                <w:noProof/>
                <w:webHidden/>
              </w:rPr>
              <w:fldChar w:fldCharType="end"/>
            </w:r>
          </w:hyperlink>
        </w:p>
        <w:p w14:paraId="77FAEE04" w14:textId="1AC2BE92" w:rsidR="00517579" w:rsidRDefault="00537B19">
          <w:r>
            <w:fldChar w:fldCharType="end"/>
          </w:r>
        </w:p>
      </w:sdtContent>
    </w:sdt>
    <w:p w14:paraId="7089FE0B" w14:textId="77777777" w:rsidR="00517579" w:rsidRDefault="00537B19">
      <w:pPr>
        <w:spacing w:after="200"/>
        <w:jc w:val="left"/>
      </w:pPr>
      <w:r>
        <w:rPr>
          <w:lang w:val="en-GB"/>
        </w:rPr>
        <w:br w:type="page"/>
      </w:r>
    </w:p>
    <w:p w14:paraId="78E3F017" w14:textId="51A0803E" w:rsidR="007B2341" w:rsidRDefault="00BD1A83" w:rsidP="007B2341">
      <w:pPr>
        <w:pStyle w:val="Cmsor1szmozottnmhh"/>
        <w:ind w:left="431" w:hanging="431"/>
      </w:pPr>
      <w:bookmarkStart w:id="0" w:name="_Toc89185023"/>
      <w:bookmarkStart w:id="1" w:name="_Toc82171056"/>
      <w:bookmarkStart w:id="2" w:name="_Toc99619486"/>
      <w:bookmarkStart w:id="3" w:name="_Toc451860698"/>
      <w:r>
        <w:rPr>
          <w:bCs/>
          <w:lang w:val="en-GB"/>
        </w:rPr>
        <w:lastRenderedPageBreak/>
        <w:t>Summary</w:t>
      </w:r>
      <w:bookmarkEnd w:id="0"/>
      <w:bookmarkEnd w:id="1"/>
      <w:bookmarkEnd w:id="2"/>
    </w:p>
    <w:p w14:paraId="1D98932D" w14:textId="5F6D843F" w:rsidR="00E573D3" w:rsidRDefault="006C2AF4" w:rsidP="00E573D3">
      <w:pPr>
        <w:pStyle w:val="Behzottbekezdsnmhh"/>
      </w:pPr>
      <w:r>
        <w:rPr>
          <w:lang w:val="en-GB"/>
        </w:rPr>
        <w:t xml:space="preserve">Making </w:t>
      </w:r>
      <w:r w:rsidR="00E573D3">
        <w:rPr>
          <w:lang w:val="en-GB"/>
        </w:rPr>
        <w:t xml:space="preserve">the 32 GHz frequency band </w:t>
      </w:r>
      <w:r w:rsidR="005A4080">
        <w:rPr>
          <w:lang w:val="en-GB"/>
        </w:rPr>
        <w:t xml:space="preserve">available </w:t>
      </w:r>
      <w:r w:rsidR="00E573D3">
        <w:rPr>
          <w:lang w:val="en-GB"/>
        </w:rPr>
        <w:t xml:space="preserve">for </w:t>
      </w:r>
      <w:r w:rsidR="00696DFC">
        <w:rPr>
          <w:lang w:val="en-GB"/>
        </w:rPr>
        <w:t xml:space="preserve">fixed-site </w:t>
      </w:r>
      <w:r w:rsidR="00E573D3">
        <w:rPr>
          <w:lang w:val="en-GB"/>
        </w:rPr>
        <w:t>point-to-point and point-to-multipoint systems has become necessary due to the EU obligations to utilise the 26 GHz band for MFCN</w:t>
      </w:r>
      <w:r w:rsidR="00E573D3">
        <w:rPr>
          <w:vertAlign w:val="superscript"/>
          <w:lang w:val="en-GB"/>
        </w:rPr>
        <w:footnoteReference w:id="1"/>
      </w:r>
      <w:r w:rsidR="00E573D3">
        <w:rPr>
          <w:lang w:val="en-GB"/>
        </w:rPr>
        <w:t xml:space="preserve"> purposes.</w:t>
      </w:r>
    </w:p>
    <w:p w14:paraId="7A12A430" w14:textId="3C297DBE" w:rsidR="00FF5C04" w:rsidRDefault="00A759B4" w:rsidP="00E573D3">
      <w:pPr>
        <w:pStyle w:val="Behzottbekezdsnmhh"/>
      </w:pPr>
      <w:r>
        <w:rPr>
          <w:lang w:val="en-GB"/>
        </w:rPr>
        <w:t>To accelerate digitalisation, the 24.25-27.5 GHz frequency band (known as the 26 GHz frequency band in</w:t>
      </w:r>
      <w:r>
        <w:rPr>
          <w:color w:val="000000"/>
          <w:shd w:val="clear" w:color="auto" w:fill="FFFFFF"/>
          <w:lang w:val="en-GB"/>
        </w:rPr>
        <w:t xml:space="preserve"> view of EU regulations</w:t>
      </w:r>
      <w:r>
        <w:rPr>
          <w:lang w:val="en-GB"/>
        </w:rPr>
        <w:t xml:space="preserve">) is also a 5G pioneer band. Furthermore, as a result of the decisions of the 2019 World Radiocommunication Conference (WRC-19), the 26 GHz frequency band has been </w:t>
      </w:r>
      <w:r w:rsidRPr="004E0043">
        <w:rPr>
          <w:lang w:val="en-GB"/>
        </w:rPr>
        <w:t xml:space="preserve">identified </w:t>
      </w:r>
      <w:r w:rsidRPr="00936EE2">
        <w:rPr>
          <w:lang w:val="en-GB"/>
        </w:rPr>
        <w:t>for mobile service applications</w:t>
      </w:r>
      <w:r w:rsidR="00263B11" w:rsidRPr="00936EE2">
        <w:rPr>
          <w:lang w:val="en-GB"/>
        </w:rPr>
        <w:t xml:space="preserve"> globally</w:t>
      </w:r>
      <w:r w:rsidRPr="00936EE2">
        <w:rPr>
          <w:lang w:val="en-GB"/>
        </w:rPr>
        <w:t>.</w:t>
      </w:r>
    </w:p>
    <w:p w14:paraId="0B2728B8" w14:textId="5613E9DE" w:rsidR="00E573D3" w:rsidRDefault="0064156A" w:rsidP="00E573D3">
      <w:pPr>
        <w:spacing w:after="200"/>
        <w:rPr>
          <w:sz w:val="20"/>
          <w:szCs w:val="20"/>
        </w:rPr>
      </w:pPr>
      <w:r>
        <w:rPr>
          <w:sz w:val="20"/>
          <w:szCs w:val="20"/>
          <w:lang w:val="en-GB"/>
        </w:rPr>
        <w:t xml:space="preserve">Accordingly, for the future use of the 26 GHz frequency band, international documents containing basic decisions on utilisation have been made, including EU legal acts establishing an obligation, under which the 24.25–27.5 GHz frequency range </w:t>
      </w:r>
      <w:r w:rsidR="00F711B1">
        <w:rPr>
          <w:sz w:val="20"/>
          <w:szCs w:val="20"/>
          <w:lang w:val="en-GB"/>
        </w:rPr>
        <w:t xml:space="preserve">shall </w:t>
      </w:r>
      <w:r>
        <w:rPr>
          <w:sz w:val="20"/>
          <w:szCs w:val="20"/>
          <w:lang w:val="en-GB"/>
        </w:rPr>
        <w:t>be designated and made available on a non-exclusive basis for terrestrial systems capable of providing wireless broadband electronic communications services.</w:t>
      </w:r>
    </w:p>
    <w:p w14:paraId="37ED28C2" w14:textId="54ECA851" w:rsidR="004136A4" w:rsidRDefault="004136A4" w:rsidP="004136A4">
      <w:pPr>
        <w:pStyle w:val="Behzottbekezdsnmhh"/>
      </w:pPr>
      <w:r>
        <w:rPr>
          <w:lang w:val="en-GB"/>
        </w:rPr>
        <w:t>Pursuant to Decree No. 7/2015 (XI. 13.) NMHH on the national frequency allocation and the rules of using frequency bands (hereinafter: NFFF Decree), currently fixed point-to-point and point-to-multipoint systems can operate in the 24.5-26.5 GHz frequency band. Network operators have obtained entitlement to radio spectrum use through auction procedures and mainly implement backhaul network links (typically point-to-point) in the frequency band. The entitlements to radio spectrum use expire between 2024 and 2027, the vast majority in 2027.</w:t>
      </w:r>
    </w:p>
    <w:p w14:paraId="7851CE51" w14:textId="227B1375" w:rsidR="00E573D3" w:rsidRPr="00510E47" w:rsidRDefault="00E573D3" w:rsidP="00E573D3">
      <w:pPr>
        <w:spacing w:after="200"/>
        <w:rPr>
          <w:sz w:val="20"/>
          <w:szCs w:val="20"/>
        </w:rPr>
      </w:pPr>
      <w:r>
        <w:rPr>
          <w:sz w:val="20"/>
          <w:szCs w:val="20"/>
          <w:lang w:val="en-GB"/>
        </w:rPr>
        <w:t xml:space="preserve">In the NMHH’s view, it is only possible to make the 26 GHz frequency band available to MFCN if it ensures the possibility to operate backhaul networks by allowing the use of another frequency band </w:t>
      </w:r>
      <w:r>
        <w:rPr>
          <w:sz w:val="20"/>
          <w:szCs w:val="20"/>
          <w:lang w:val="en-GB"/>
        </w:rPr>
        <w:sym w:font="Symbol" w:char="F02D"/>
      </w:r>
      <w:r>
        <w:rPr>
          <w:sz w:val="20"/>
          <w:szCs w:val="20"/>
          <w:lang w:val="en-GB"/>
        </w:rPr>
        <w:t xml:space="preserve"> preferably with similar propagation characteristics and available spectrum</w:t>
      </w:r>
      <w:r>
        <w:rPr>
          <w:sz w:val="20"/>
          <w:szCs w:val="20"/>
          <w:lang w:val="en-GB"/>
        </w:rPr>
        <w:sym w:font="Symbol" w:char="F02D"/>
      </w:r>
      <w:r>
        <w:rPr>
          <w:sz w:val="20"/>
          <w:szCs w:val="20"/>
          <w:lang w:val="en-GB"/>
        </w:rPr>
        <w:t xml:space="preserve">. The 32 GHz frequency band has been identified by the NMHH for this purpose. This was discussed with market players at a public consultation in December 2019. As a result of these discussions, the main technical design elements for the conditions for using the 32 GHz frequency band were defined in the NFFF Decree in 2020. Further details are included in the draft amendment to the NFFF Decree, which is currently undergoing technical notification </w:t>
      </w:r>
      <w:r w:rsidR="007A4AD6">
        <w:rPr>
          <w:sz w:val="20"/>
          <w:szCs w:val="20"/>
          <w:lang w:val="en-GB"/>
        </w:rPr>
        <w:t xml:space="preserve">procedure </w:t>
      </w:r>
      <w:r>
        <w:rPr>
          <w:sz w:val="20"/>
          <w:szCs w:val="20"/>
          <w:lang w:val="en-GB"/>
        </w:rPr>
        <w:t>and is expected to be published and enter into force in April 2022.</w:t>
      </w:r>
    </w:p>
    <w:p w14:paraId="7564F175" w14:textId="76EDC127" w:rsidR="00E573D3" w:rsidRPr="001E0E77" w:rsidRDefault="00E573D3" w:rsidP="00E573D3">
      <w:pPr>
        <w:spacing w:after="200"/>
        <w:rPr>
          <w:sz w:val="20"/>
          <w:szCs w:val="20"/>
        </w:rPr>
      </w:pPr>
      <w:r>
        <w:rPr>
          <w:sz w:val="20"/>
          <w:szCs w:val="20"/>
          <w:lang w:val="en-GB"/>
        </w:rPr>
        <w:t xml:space="preserve">The early distribution of the 32 GHz frequency band will allow new links to be established in this band, and enable the migration of links currently operating in the 26 GHz frequency band. After the migration, the 26 GHz frequency band will also be vacated. This will remove any further obstacles to meeting the EU obligation in case of market demand, and allow the introduction of MFCN (mostly 5G NR) in the frequency band. </w:t>
      </w:r>
    </w:p>
    <w:p w14:paraId="4BB7C344" w14:textId="7E7DEB9D" w:rsidR="00041388" w:rsidRDefault="00E573D3" w:rsidP="00E573D3">
      <w:pPr>
        <w:pStyle w:val="Behzottbekezdsnmhh"/>
      </w:pPr>
      <w:r>
        <w:rPr>
          <w:lang w:val="en-GB"/>
        </w:rPr>
        <w:t>.</w:t>
      </w:r>
      <w:r>
        <w:rPr>
          <w:lang w:val="en-GB"/>
        </w:rPr>
        <w:br w:type="page"/>
      </w:r>
    </w:p>
    <w:p w14:paraId="63CAE463" w14:textId="77777777" w:rsidR="00041388" w:rsidRDefault="00041388" w:rsidP="00041388">
      <w:pPr>
        <w:pStyle w:val="Cmsor1szmozottnmhh"/>
        <w:ind w:left="431" w:hanging="431"/>
      </w:pPr>
      <w:bookmarkStart w:id="4" w:name="_Toc89185024"/>
      <w:bookmarkStart w:id="5" w:name="_Toc82171057"/>
      <w:bookmarkStart w:id="6" w:name="_Toc473880713"/>
      <w:bookmarkStart w:id="7" w:name="_Toc99619487"/>
      <w:r>
        <w:rPr>
          <w:bCs/>
          <w:lang w:val="en-GB"/>
        </w:rPr>
        <w:lastRenderedPageBreak/>
        <w:t>Introduction</w:t>
      </w:r>
      <w:bookmarkEnd w:id="4"/>
      <w:bookmarkEnd w:id="5"/>
      <w:bookmarkEnd w:id="6"/>
      <w:bookmarkEnd w:id="7"/>
    </w:p>
    <w:p w14:paraId="59A33BFB" w14:textId="777F61CB" w:rsidR="00E573D3" w:rsidRDefault="00E573D3" w:rsidP="00E573D3">
      <w:pPr>
        <w:pStyle w:val="Behzottbekezdsnmhh"/>
        <w:tabs>
          <w:tab w:val="left" w:pos="977"/>
        </w:tabs>
      </w:pPr>
      <w:r>
        <w:rPr>
          <w:lang w:val="en-GB"/>
        </w:rPr>
        <w:t>Based on the WRC</w:t>
      </w:r>
      <w:r>
        <w:rPr>
          <w:rStyle w:val="Lbjegyzet-hivatkozs"/>
          <w:lang w:val="en-GB"/>
        </w:rPr>
        <w:footnoteReference w:id="2"/>
      </w:r>
      <w:r w:rsidR="008776E6">
        <w:rPr>
          <w:lang w:val="en-GB"/>
        </w:rPr>
        <w:t>-15 decision</w:t>
      </w:r>
      <w:r>
        <w:rPr>
          <w:lang w:val="en-GB"/>
        </w:rPr>
        <w:t>, agenda item 1.13 of the WRC-19 discussed the potential for global use of frequency bands suitable for 5G systems. The frequency bands studied included the 26 GHz and 32 GHz frequency bands. On the basis of the technical investigations carried out, WRC-19 has allocated the entire 26 GHz frequency band (24.25-27.5 GHz) to the mobile service and identified it as the band for mobile service applications (IMT</w:t>
      </w:r>
      <w:r>
        <w:rPr>
          <w:rStyle w:val="Lbjegyzet-hivatkozs"/>
          <w:lang w:val="en-GB"/>
        </w:rPr>
        <w:footnoteReference w:id="3"/>
      </w:r>
      <w:r>
        <w:rPr>
          <w:lang w:val="en-GB"/>
        </w:rPr>
        <w:t>)</w:t>
      </w:r>
      <w:r w:rsidR="0055235F">
        <w:rPr>
          <w:lang w:val="en-GB"/>
        </w:rPr>
        <w:t xml:space="preserve"> globally</w:t>
      </w:r>
      <w:r>
        <w:rPr>
          <w:lang w:val="en-GB"/>
        </w:rPr>
        <w:t>, while it rejected the idea of using the 32 GHz frequency band for this purpose.</w:t>
      </w:r>
    </w:p>
    <w:p w14:paraId="6640E2E0" w14:textId="464376DE" w:rsidR="00E573D3" w:rsidRDefault="004136A4" w:rsidP="006944D0">
      <w:pPr>
        <w:pStyle w:val="Behzottbekezdsnmhh"/>
      </w:pPr>
      <w:r>
        <w:rPr>
          <w:lang w:val="en-GB"/>
        </w:rPr>
        <w:t>In addition to the 700 MHz and 3400-3800 MHz frequency bands, the 24.25-27.5 GHz frequency band, i.e. the 26 GHz frequency band (5G pioneer bands), has been identified by the European Commission to facilitate the development of mobile services in line with the RSPG</w:t>
      </w:r>
      <w:r>
        <w:rPr>
          <w:rStyle w:val="Lbjegyzet-hivatkozs"/>
          <w:lang w:val="en-GB"/>
        </w:rPr>
        <w:footnoteReference w:id="4"/>
      </w:r>
      <w:r>
        <w:rPr>
          <w:lang w:val="en-GB"/>
        </w:rPr>
        <w:t>‘s opinion on 5G spectrum issues. Based on this opinion</w:t>
      </w:r>
      <w:r>
        <w:rPr>
          <w:rStyle w:val="Lbjegyzet-hivatkozs"/>
          <w:lang w:val="en-GB"/>
        </w:rPr>
        <w:footnoteReference w:id="5"/>
      </w:r>
      <w:r w:rsidR="00AF2C02">
        <w:rPr>
          <w:lang w:val="en-GB"/>
        </w:rPr>
        <w:t>,</w:t>
      </w:r>
      <w:r>
        <w:rPr>
          <w:lang w:val="en-GB"/>
        </w:rPr>
        <w:t xml:space="preserve"> an EU mandate</w:t>
      </w:r>
      <w:r>
        <w:rPr>
          <w:rStyle w:val="Lbjegyzet-hivatkozs"/>
          <w:lang w:val="en-GB"/>
        </w:rPr>
        <w:footnoteReference w:id="6"/>
      </w:r>
      <w:r>
        <w:rPr>
          <w:lang w:val="en-GB"/>
        </w:rPr>
        <w:t xml:space="preserve"> was established on 7 December 2016, inviting the CEPT</w:t>
      </w:r>
      <w:r>
        <w:rPr>
          <w:rStyle w:val="Lbjegyzet-hivatkozs"/>
          <w:lang w:val="en-GB"/>
        </w:rPr>
        <w:footnoteReference w:id="7"/>
      </w:r>
      <w:r>
        <w:rPr>
          <w:lang w:val="en-GB"/>
        </w:rPr>
        <w:t xml:space="preserve"> to study 5G deployment for the bands specified in the document, taking into account current uses. </w:t>
      </w:r>
    </w:p>
    <w:p w14:paraId="624C8B48" w14:textId="64CDFECA" w:rsidR="00E573D3" w:rsidRDefault="00E573D3" w:rsidP="00E573D3">
      <w:pPr>
        <w:pStyle w:val="Behzottbekezdsnmhh"/>
        <w:tabs>
          <w:tab w:val="left" w:pos="977"/>
        </w:tabs>
      </w:pPr>
      <w:r w:rsidRPr="004E0043">
        <w:rPr>
          <w:lang w:val="en-GB"/>
        </w:rPr>
        <w:t>In addition to the 26 GHz frequency band, the EU mandate identified the 32 GHz and 42 GHz frequency bands as potential 5G frequency bands among those above 6 GHz. These were studied as part of the preparations for the WRC-19. Prior to the WRC-19, it was decided at European lev</w:t>
      </w:r>
      <w:r w:rsidRPr="00936EE2">
        <w:rPr>
          <w:lang w:val="en-GB"/>
        </w:rPr>
        <w:t>el that the introduction of 5G in the 32 GHz frequency band was not recommended due to compatibility issues with other services. In the meantime, EU decisions have been taken to enable the use of the 26 GHz frequency band in a harmonised way, including for 5G purposes. As an implementation obligation, the 26 GHz frequency band had to be made available for wireless broadband electronic communications networks, in particular 5G, by 31 December 2020, depending on market needs. To this end, Decree No. 7/2015 (XI.13.) NMHH on the national frequency allocation and the rules of using frequency bands (hereinafter: NFFF Decree) included terrestrial electronic communications networks (including 5</w:t>
      </w:r>
      <w:r w:rsidRPr="00DD5334">
        <w:rPr>
          <w:lang w:val="en-GB"/>
        </w:rPr>
        <w:t>G MFCN systems) as planned applications in the 26 GHz frequency band. Even in the case of market demand, the introduction of 5G in the 26 GHz frequency band will only be effectively an option if it is possible to replace the existing fixed use in another f</w:t>
      </w:r>
      <w:r w:rsidRPr="00E71F7F">
        <w:rPr>
          <w:lang w:val="en-GB"/>
        </w:rPr>
        <w:t>requency band. For this purpose, the NMHH identified the 32 GHz frequency band, which is similar to, although not exactly the same as, the 26 GHz frequency band in terms of its application, wave propagation characteristics and spectrum</w:t>
      </w:r>
      <w:r w:rsidR="00585614" w:rsidRPr="00E71F7F">
        <w:rPr>
          <w:lang w:val="en-GB"/>
        </w:rPr>
        <w:t xml:space="preserve"> amou</w:t>
      </w:r>
      <w:r w:rsidR="00585614" w:rsidRPr="001C1A86">
        <w:rPr>
          <w:lang w:val="en-GB"/>
        </w:rPr>
        <w:t>nt</w:t>
      </w:r>
      <w:r w:rsidRPr="001C1A86">
        <w:rPr>
          <w:lang w:val="en-GB"/>
        </w:rPr>
        <w:t>.</w:t>
      </w:r>
    </w:p>
    <w:p w14:paraId="2D88362E" w14:textId="2F173BA7" w:rsidR="00E573D3" w:rsidRDefault="00E573D3" w:rsidP="00E573D3">
      <w:pPr>
        <w:pStyle w:val="Behzottbekezdsnmhh"/>
        <w:tabs>
          <w:tab w:val="left" w:pos="977"/>
        </w:tabs>
      </w:pPr>
      <w:r>
        <w:rPr>
          <w:lang w:val="en-GB"/>
        </w:rPr>
        <w:t>In a significant part of the 26 GHz frequency band identified for 5G, fixed point-to-point and point-to-multipoint systems operate in the 24.5-26.5 GHz frequency range. Right holders mainly operate backhaul network links (typically point-to-point) in the frequency band. The vast majority of entitlements to radio spectrum use will expire in 2027.</w:t>
      </w:r>
    </w:p>
    <w:p w14:paraId="5D934133" w14:textId="3F0734B4" w:rsidR="00E573D3" w:rsidRDefault="00E573D3" w:rsidP="00FE2890">
      <w:pPr>
        <w:pStyle w:val="Behzottbekezdsnmhh"/>
        <w:tabs>
          <w:tab w:val="left" w:pos="977"/>
        </w:tabs>
      </w:pPr>
      <w:r>
        <w:rPr>
          <w:lang w:val="en-GB"/>
        </w:rPr>
        <w:t xml:space="preserve">Existing studies indicate that the coexistence of fixed service systems currently operating in the 26 GHz frequency band with planned next-generation mobile service systems can lead to compatibility issues, which can only be resolved by setting specific protection conditions, and therefore, if the frequency band is opened up to 5G NR systems, it is essential to provide an alternative frequency band for the operation of fixed service systems. The NMHH identified the 32 GHz frequency band for this </w:t>
      </w:r>
      <w:r>
        <w:rPr>
          <w:lang w:val="en-GB"/>
        </w:rPr>
        <w:lastRenderedPageBreak/>
        <w:t xml:space="preserve">purpose. The technical conditions required for the use of this frequency band by fixed service systems are currently available both at international level and in the </w:t>
      </w:r>
      <w:r w:rsidR="00CF1591">
        <w:rPr>
          <w:lang w:val="en-GB"/>
        </w:rPr>
        <w:t xml:space="preserve">national </w:t>
      </w:r>
      <w:r>
        <w:rPr>
          <w:lang w:val="en-GB"/>
        </w:rPr>
        <w:t>regulation (NFFF Decree).</w:t>
      </w:r>
    </w:p>
    <w:p w14:paraId="75392E18" w14:textId="3715F1E5" w:rsidR="00E573D3" w:rsidRDefault="00E573D3" w:rsidP="00E573D3">
      <w:pPr>
        <w:pStyle w:val="Behzottbekezdsnmhh"/>
        <w:tabs>
          <w:tab w:val="left" w:pos="977"/>
        </w:tabs>
      </w:pPr>
      <w:r>
        <w:rPr>
          <w:lang w:val="en-GB"/>
        </w:rPr>
        <w:t xml:space="preserve">The 32 GHz frequency band has already been designated for fixed service systems in the NFFF Decree, including some of the band use conditions, and further regulatory </w:t>
      </w:r>
      <w:r>
        <w:rPr>
          <w:color w:val="000000"/>
          <w:shd w:val="clear" w:color="auto" w:fill="FFFFFF"/>
          <w:lang w:val="en-GB"/>
        </w:rPr>
        <w:t>details and possible amendments are included in the draft amendment to the NFFF Decree, which is currently undergoing technical notification</w:t>
      </w:r>
      <w:r w:rsidR="007A4AD6">
        <w:rPr>
          <w:color w:val="000000"/>
          <w:shd w:val="clear" w:color="auto" w:fill="FFFFFF"/>
          <w:lang w:val="en-GB"/>
        </w:rPr>
        <w:t xml:space="preserve"> procedure</w:t>
      </w:r>
      <w:r>
        <w:rPr>
          <w:color w:val="000000"/>
          <w:shd w:val="clear" w:color="auto" w:fill="FFFFFF"/>
          <w:lang w:val="en-GB"/>
        </w:rPr>
        <w:t>.</w:t>
      </w:r>
      <w:r>
        <w:rPr>
          <w:lang w:val="en-GB"/>
        </w:rPr>
        <w:t xml:space="preserve"> Similar to the 26 GHz frequency band, entitlement to radio spectrum use can be obtained in the frequency band through competitive procedure and radio spectrum use in</w:t>
      </w:r>
      <w:r w:rsidR="00F82364">
        <w:rPr>
          <w:lang w:val="en-GB"/>
        </w:rPr>
        <w:t xml:space="preserve"> the framework of</w:t>
      </w:r>
      <w:r>
        <w:rPr>
          <w:lang w:val="en-GB"/>
        </w:rPr>
        <w:t xml:space="preserve"> block management will be possible, taking into account the efficient use of radio spectrum. This will allow operators with entitlement to radio spectrum use to install systems at the national level according to their specific needs, which may be suitable for </w:t>
      </w:r>
      <w:r w:rsidR="00F82364">
        <w:rPr>
          <w:lang w:val="en-GB"/>
        </w:rPr>
        <w:t xml:space="preserve">connecting next generation base stations to </w:t>
      </w:r>
      <w:r>
        <w:rPr>
          <w:lang w:val="en-GB"/>
        </w:rPr>
        <w:t>the backbone network . Increasingly more advanced technologies in microwave systems make it possible to serve new systems in a flexible way as a complement to the optical network.</w:t>
      </w:r>
    </w:p>
    <w:p w14:paraId="49230B2D" w14:textId="51E5C71C" w:rsidR="00E573D3" w:rsidRDefault="00CA3B28" w:rsidP="00041388">
      <w:pPr>
        <w:pStyle w:val="Behzottbekezdsnmhh"/>
        <w:tabs>
          <w:tab w:val="left" w:pos="977"/>
        </w:tabs>
      </w:pPr>
      <w:r>
        <w:rPr>
          <w:lang w:val="en-GB"/>
        </w:rPr>
        <w:t xml:space="preserve">Under current international regulations, it is possible to use channels with a bandwidth of 112 MHz and 224 MHz in addition to those with 56 MHz. In the case of block management, it must be taken into account that the amount of radio spectrum available for </w:t>
      </w:r>
      <w:r w:rsidR="002E1C08">
        <w:rPr>
          <w:lang w:val="en-GB"/>
        </w:rPr>
        <w:t xml:space="preserve">distribution </w:t>
      </w:r>
      <w:r>
        <w:rPr>
          <w:lang w:val="en-GB"/>
        </w:rPr>
        <w:t xml:space="preserve">in the frequency band is limited and the upper limit of the size of user blocks determined on the basis of expected needs determines the </w:t>
      </w:r>
      <w:r w:rsidR="002E1C08">
        <w:rPr>
          <w:lang w:val="en-GB"/>
        </w:rPr>
        <w:t xml:space="preserve">size </w:t>
      </w:r>
      <w:r>
        <w:rPr>
          <w:lang w:val="en-GB"/>
        </w:rPr>
        <w:t xml:space="preserve">of channel bandwidth that can be used. In addition, it is worth considering that the territorial </w:t>
      </w:r>
      <w:r w:rsidR="002E1C08">
        <w:rPr>
          <w:lang w:val="en-GB"/>
        </w:rPr>
        <w:t xml:space="preserve">coverage </w:t>
      </w:r>
      <w:r>
        <w:rPr>
          <w:lang w:val="en-GB"/>
        </w:rPr>
        <w:t xml:space="preserve">of the entitlement to radio spectrum use acquired in the frequency band is basically </w:t>
      </w:r>
      <w:r w:rsidR="002E1C08">
        <w:rPr>
          <w:lang w:val="en-GB"/>
        </w:rPr>
        <w:t>nationwide</w:t>
      </w:r>
      <w:r>
        <w:rPr>
          <w:lang w:val="en-GB"/>
        </w:rPr>
        <w:t>. Based on the above, the NMHH reached the regulatory decision to define the</w:t>
      </w:r>
      <w:r w:rsidR="00E521DF">
        <w:rPr>
          <w:lang w:val="en-GB"/>
        </w:rPr>
        <w:t xml:space="preserve"> </w:t>
      </w:r>
      <w:r>
        <w:rPr>
          <w:lang w:val="en-GB"/>
        </w:rPr>
        <w:t>distribution method in the band in a competitive procedure.</w:t>
      </w:r>
    </w:p>
    <w:p w14:paraId="58A31542" w14:textId="77777777" w:rsidR="00041388" w:rsidRDefault="00041388" w:rsidP="00041388">
      <w:pPr>
        <w:spacing w:after="200"/>
        <w:jc w:val="left"/>
        <w:rPr>
          <w:sz w:val="20"/>
          <w:szCs w:val="20"/>
        </w:rPr>
      </w:pPr>
      <w:r>
        <w:rPr>
          <w:lang w:val="en-GB"/>
        </w:rPr>
        <w:br w:type="page"/>
      </w:r>
    </w:p>
    <w:p w14:paraId="03735B13" w14:textId="77777777" w:rsidR="00041388" w:rsidRDefault="00041388" w:rsidP="00041388">
      <w:pPr>
        <w:pStyle w:val="Cmsor1szmozottnmhh"/>
        <w:pageBreakBefore w:val="0"/>
        <w:ind w:left="431" w:hanging="431"/>
      </w:pPr>
      <w:bookmarkStart w:id="8" w:name="_Toc89185025"/>
      <w:bookmarkStart w:id="9" w:name="_Toc82171058"/>
      <w:bookmarkStart w:id="10" w:name="_Toc99619488"/>
      <w:r>
        <w:rPr>
          <w:bCs/>
          <w:lang w:val="en-GB"/>
        </w:rPr>
        <w:lastRenderedPageBreak/>
        <w:t>Regulation of 32 GHz band</w:t>
      </w:r>
      <w:bookmarkEnd w:id="8"/>
      <w:bookmarkEnd w:id="9"/>
      <w:bookmarkEnd w:id="10"/>
    </w:p>
    <w:p w14:paraId="7B799010" w14:textId="77777777" w:rsidR="00041388" w:rsidRDefault="00041388" w:rsidP="00041388">
      <w:pPr>
        <w:pStyle w:val="Cmsor2szmozottnmhh"/>
        <w:ind w:left="578" w:hanging="578"/>
      </w:pPr>
      <w:bookmarkStart w:id="11" w:name="_Toc89185026"/>
      <w:bookmarkStart w:id="12" w:name="_Toc82171059"/>
      <w:bookmarkStart w:id="13" w:name="_Toc473880715"/>
      <w:bookmarkStart w:id="14" w:name="_Toc99619489"/>
      <w:r>
        <w:rPr>
          <w:bCs/>
          <w:lang w:val="en-GB"/>
        </w:rPr>
        <w:t>International regulation</w:t>
      </w:r>
      <w:bookmarkEnd w:id="11"/>
      <w:bookmarkEnd w:id="12"/>
      <w:bookmarkEnd w:id="13"/>
      <w:bookmarkEnd w:id="14"/>
    </w:p>
    <w:p w14:paraId="01989D71" w14:textId="77777777" w:rsidR="00041388" w:rsidRDefault="00041388" w:rsidP="00041388">
      <w:pPr>
        <w:pStyle w:val="Cmsor3szmozottnmhh"/>
        <w:ind w:left="1287"/>
      </w:pPr>
      <w:bookmarkStart w:id="15" w:name="_Toc89185027"/>
      <w:bookmarkStart w:id="16" w:name="_Toc82171060"/>
      <w:bookmarkStart w:id="17" w:name="_Toc473880717"/>
      <w:bookmarkStart w:id="18" w:name="_Toc99619490"/>
      <w:bookmarkStart w:id="19" w:name="_Toc473880716"/>
      <w:r>
        <w:rPr>
          <w:bCs/>
          <w:lang w:val="en-GB"/>
        </w:rPr>
        <w:t>ITU</w:t>
      </w:r>
      <w:bookmarkEnd w:id="15"/>
      <w:bookmarkEnd w:id="16"/>
      <w:bookmarkEnd w:id="17"/>
      <w:bookmarkEnd w:id="18"/>
    </w:p>
    <w:p w14:paraId="56DCB39E" w14:textId="476DB973" w:rsidR="00041388" w:rsidRDefault="00041388" w:rsidP="00041388">
      <w:pPr>
        <w:pStyle w:val="Behzottbekezdsnmhh"/>
        <w:rPr>
          <w:i/>
        </w:rPr>
      </w:pPr>
      <w:r w:rsidRPr="004E0043">
        <w:rPr>
          <w:lang w:val="en-GB"/>
        </w:rPr>
        <w:t>The allocation as per the RR</w:t>
      </w:r>
      <w:r w:rsidRPr="004E0043">
        <w:rPr>
          <w:rStyle w:val="Lbjegyzet-hivatkozs"/>
          <w:lang w:val="en-GB"/>
        </w:rPr>
        <w:footnoteReference w:id="8"/>
      </w:r>
      <w:r w:rsidRPr="004E0043">
        <w:rPr>
          <w:lang w:val="en-GB"/>
        </w:rPr>
        <w:t xml:space="preserve"> for the 31.8-33.4 GHz frequency band is set out in the table below based on Annex 1 to the NFFF Decree.</w:t>
      </w:r>
      <w:r>
        <w:rPr>
          <w:lang w:val="en-GB"/>
        </w:rPr>
        <w:t xml:space="preserve"> </w:t>
      </w:r>
    </w:p>
    <w:p w14:paraId="6BE39DBF" w14:textId="77777777" w:rsidR="00041388" w:rsidRDefault="00041388" w:rsidP="00041388">
      <w:pPr>
        <w:pStyle w:val="Behzottbekezdsnmhh"/>
        <w:rPr>
          <w:i/>
        </w:rPr>
      </w:pPr>
    </w:p>
    <w:tbl>
      <w:tblPr>
        <w:tblStyle w:val="NormalTablePHPDOCX"/>
        <w:tblW w:w="9561" w:type="dxa"/>
        <w:tblInd w:w="-6" w:type="dxa"/>
        <w:tblBorders>
          <w:top w:val="single" w:sz="5" w:space="0" w:color="000000"/>
          <w:left w:val="single" w:sz="5" w:space="0" w:color="000000"/>
          <w:bottom w:val="single" w:sz="15" w:space="0" w:color="000000"/>
          <w:right w:val="single" w:sz="5" w:space="0" w:color="000000"/>
        </w:tblBorders>
        <w:tblLayout w:type="fixed"/>
        <w:tblLook w:val="04A0" w:firstRow="1" w:lastRow="0" w:firstColumn="1" w:lastColumn="0" w:noHBand="0" w:noVBand="1"/>
      </w:tblPr>
      <w:tblGrid>
        <w:gridCol w:w="21"/>
        <w:gridCol w:w="519"/>
        <w:gridCol w:w="21"/>
        <w:gridCol w:w="2229"/>
        <w:gridCol w:w="21"/>
        <w:gridCol w:w="2229"/>
        <w:gridCol w:w="2250"/>
        <w:gridCol w:w="21"/>
        <w:gridCol w:w="2229"/>
        <w:gridCol w:w="21"/>
      </w:tblGrid>
      <w:tr w:rsidR="00041388" w14:paraId="72758799" w14:textId="77777777" w:rsidTr="00D96CED">
        <w:trPr>
          <w:gridAfter w:val="1"/>
          <w:wAfter w:w="21" w:type="dxa"/>
          <w:trHeight w:val="120"/>
          <w:tblHeader/>
        </w:trPr>
        <w:tc>
          <w:tcPr>
            <w:tcW w:w="540" w:type="dxa"/>
            <w:gridSpan w:val="2"/>
            <w:tcBorders>
              <w:top w:val="single" w:sz="5" w:space="0" w:color="000000"/>
              <w:left w:val="single" w:sz="5" w:space="0" w:color="000000"/>
              <w:bottom w:val="single" w:sz="3" w:space="0" w:color="000000"/>
              <w:right w:val="single" w:sz="5" w:space="0" w:color="000000"/>
            </w:tcBorders>
            <w:tcMar>
              <w:top w:w="15" w:type="dxa"/>
              <w:left w:w="15" w:type="dxa"/>
              <w:bottom w:w="15" w:type="dxa"/>
              <w:right w:w="15" w:type="dxa"/>
            </w:tcMar>
            <w:vAlign w:val="center"/>
          </w:tcPr>
          <w:p w14:paraId="16279C87" w14:textId="77777777" w:rsidR="00041388" w:rsidRPr="007E0713" w:rsidRDefault="00041388" w:rsidP="00D96CED">
            <w:pPr>
              <w:spacing w:after="0" w:line="240" w:lineRule="auto"/>
              <w:jc w:val="center"/>
            </w:pPr>
            <w:r>
              <w:rPr>
                <w:rFonts w:ascii="Arial" w:eastAsia="Arial" w:hAnsi="Arial" w:cs="Arial"/>
                <w:color w:val="000000"/>
                <w:sz w:val="14"/>
                <w:szCs w:val="14"/>
                <w:lang w:val="en-GB"/>
              </w:rPr>
              <w:t> </w:t>
            </w:r>
          </w:p>
        </w:tc>
        <w:tc>
          <w:tcPr>
            <w:tcW w:w="2250" w:type="dxa"/>
            <w:gridSpan w:val="2"/>
            <w:tcBorders>
              <w:top w:val="single" w:sz="5" w:space="0" w:color="000000"/>
              <w:left w:val="single" w:sz="5" w:space="0" w:color="000000"/>
              <w:bottom w:val="single" w:sz="15" w:space="0" w:color="000000"/>
              <w:right w:val="single" w:sz="5" w:space="0" w:color="000000"/>
            </w:tcBorders>
            <w:tcMar>
              <w:top w:w="15" w:type="dxa"/>
              <w:left w:w="15" w:type="dxa"/>
              <w:bottom w:w="15" w:type="dxa"/>
              <w:right w:w="15" w:type="dxa"/>
            </w:tcMar>
            <w:vAlign w:val="center"/>
          </w:tcPr>
          <w:p w14:paraId="08ACAF81" w14:textId="77777777" w:rsidR="00041388" w:rsidRDefault="00041388" w:rsidP="00D96CED">
            <w:pPr>
              <w:spacing w:after="0" w:line="240" w:lineRule="auto"/>
              <w:jc w:val="center"/>
            </w:pPr>
            <w:r>
              <w:rPr>
                <w:rFonts w:ascii="Arial" w:eastAsia="Arial" w:hAnsi="Arial" w:cs="Arial"/>
                <w:color w:val="000000"/>
                <w:sz w:val="14"/>
                <w:szCs w:val="14"/>
                <w:lang w:val="en-GB"/>
              </w:rPr>
              <w:t>A</w:t>
            </w:r>
          </w:p>
        </w:tc>
        <w:tc>
          <w:tcPr>
            <w:tcW w:w="2250" w:type="dxa"/>
            <w:gridSpan w:val="2"/>
            <w:tcBorders>
              <w:top w:val="single" w:sz="5" w:space="0" w:color="000000"/>
              <w:left w:val="single" w:sz="5" w:space="0" w:color="000000"/>
              <w:bottom w:val="single" w:sz="15" w:space="0" w:color="000000"/>
              <w:right w:val="single" w:sz="5" w:space="0" w:color="000000"/>
            </w:tcBorders>
            <w:tcMar>
              <w:top w:w="15" w:type="dxa"/>
              <w:left w:w="15" w:type="dxa"/>
              <w:bottom w:w="15" w:type="dxa"/>
              <w:right w:w="15" w:type="dxa"/>
            </w:tcMar>
            <w:vAlign w:val="center"/>
          </w:tcPr>
          <w:p w14:paraId="63D58DC6" w14:textId="77777777" w:rsidR="00041388" w:rsidRDefault="00041388" w:rsidP="00D96CED">
            <w:pPr>
              <w:spacing w:after="0" w:line="240" w:lineRule="auto"/>
              <w:jc w:val="center"/>
            </w:pPr>
            <w:r>
              <w:rPr>
                <w:rFonts w:ascii="Arial" w:eastAsia="Arial" w:hAnsi="Arial" w:cs="Arial"/>
                <w:color w:val="000000"/>
                <w:sz w:val="14"/>
                <w:szCs w:val="14"/>
                <w:lang w:val="en-GB"/>
              </w:rPr>
              <w:t>B</w:t>
            </w:r>
          </w:p>
        </w:tc>
        <w:tc>
          <w:tcPr>
            <w:tcW w:w="2250" w:type="dxa"/>
            <w:tcBorders>
              <w:top w:val="single" w:sz="5" w:space="0" w:color="000000"/>
              <w:left w:val="single" w:sz="5" w:space="0" w:color="000000"/>
              <w:bottom w:val="single" w:sz="15" w:space="0" w:color="000000"/>
              <w:right w:val="single" w:sz="5" w:space="0" w:color="000000"/>
            </w:tcBorders>
            <w:tcMar>
              <w:top w:w="15" w:type="dxa"/>
              <w:left w:w="15" w:type="dxa"/>
              <w:bottom w:w="15" w:type="dxa"/>
              <w:right w:w="15" w:type="dxa"/>
            </w:tcMar>
            <w:vAlign w:val="center"/>
          </w:tcPr>
          <w:p w14:paraId="12ACE1B0" w14:textId="77777777" w:rsidR="00041388" w:rsidRDefault="00041388" w:rsidP="00D96CED">
            <w:pPr>
              <w:spacing w:after="0" w:line="240" w:lineRule="auto"/>
              <w:jc w:val="center"/>
            </w:pPr>
            <w:r>
              <w:rPr>
                <w:rFonts w:ascii="Arial" w:eastAsia="Arial" w:hAnsi="Arial" w:cs="Arial"/>
                <w:color w:val="000000"/>
                <w:sz w:val="14"/>
                <w:szCs w:val="14"/>
                <w:lang w:val="en-GB"/>
              </w:rPr>
              <w:t>C</w:t>
            </w:r>
          </w:p>
        </w:tc>
        <w:tc>
          <w:tcPr>
            <w:tcW w:w="2250" w:type="dxa"/>
            <w:gridSpan w:val="2"/>
            <w:tcBorders>
              <w:top w:val="single" w:sz="5" w:space="0" w:color="000000"/>
              <w:left w:val="single" w:sz="5" w:space="0" w:color="000000"/>
              <w:bottom w:val="single" w:sz="15" w:space="0" w:color="000000"/>
              <w:right w:val="single" w:sz="5" w:space="0" w:color="000000"/>
            </w:tcBorders>
            <w:tcMar>
              <w:top w:w="15" w:type="dxa"/>
              <w:left w:w="15" w:type="dxa"/>
              <w:bottom w:w="15" w:type="dxa"/>
              <w:right w:w="15" w:type="dxa"/>
            </w:tcMar>
            <w:vAlign w:val="center"/>
          </w:tcPr>
          <w:p w14:paraId="0D5AE0FA" w14:textId="77777777" w:rsidR="00041388" w:rsidRDefault="00041388" w:rsidP="00D96CED">
            <w:pPr>
              <w:spacing w:after="0" w:line="240" w:lineRule="auto"/>
              <w:jc w:val="center"/>
            </w:pPr>
            <w:r>
              <w:rPr>
                <w:rFonts w:ascii="Arial" w:eastAsia="Arial" w:hAnsi="Arial" w:cs="Arial"/>
                <w:color w:val="000000"/>
                <w:sz w:val="14"/>
                <w:szCs w:val="14"/>
                <w:lang w:val="en-GB"/>
              </w:rPr>
              <w:t>D</w:t>
            </w:r>
          </w:p>
        </w:tc>
      </w:tr>
      <w:tr w:rsidR="00041388" w14:paraId="5A5D553E" w14:textId="77777777" w:rsidTr="00D96CED">
        <w:trPr>
          <w:gridAfter w:val="1"/>
          <w:wAfter w:w="21" w:type="dxa"/>
          <w:tblHeader/>
        </w:trPr>
        <w:tc>
          <w:tcPr>
            <w:tcW w:w="540"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14:paraId="21DFDBF0" w14:textId="77777777" w:rsidR="00041388" w:rsidRDefault="00041388" w:rsidP="00D96CED">
            <w:pPr>
              <w:spacing w:after="0" w:line="240" w:lineRule="auto"/>
              <w:jc w:val="center"/>
            </w:pPr>
            <w:r>
              <w:rPr>
                <w:rFonts w:ascii="Arial" w:eastAsia="Arial" w:hAnsi="Arial" w:cs="Arial"/>
                <w:color w:val="000000"/>
                <w:sz w:val="14"/>
                <w:szCs w:val="14"/>
                <w:lang w:val="en-GB"/>
              </w:rPr>
              <w:t>1 </w:t>
            </w:r>
          </w:p>
        </w:tc>
        <w:tc>
          <w:tcPr>
            <w:tcW w:w="6750" w:type="dxa"/>
            <w:gridSpan w:val="5"/>
            <w:tcBorders>
              <w:top w:val="single" w:sz="5" w:space="0" w:color="000000"/>
              <w:left w:val="single" w:sz="15" w:space="0" w:color="000000"/>
              <w:bottom w:val="single" w:sz="5" w:space="0" w:color="000000"/>
              <w:right w:val="single" w:sz="5" w:space="0" w:color="000000"/>
            </w:tcBorders>
            <w:tcMar>
              <w:top w:w="15" w:type="dxa"/>
              <w:left w:w="15" w:type="dxa"/>
              <w:bottom w:w="15" w:type="dxa"/>
              <w:right w:w="15" w:type="dxa"/>
            </w:tcMar>
            <w:vAlign w:val="center"/>
          </w:tcPr>
          <w:p w14:paraId="24055AA2" w14:textId="77777777" w:rsidR="00041388" w:rsidRDefault="00041388" w:rsidP="00D96CED">
            <w:pPr>
              <w:spacing w:after="0" w:line="240" w:lineRule="auto"/>
              <w:jc w:val="center"/>
            </w:pPr>
            <w:r>
              <w:rPr>
                <w:rFonts w:ascii="Arial" w:eastAsia="Arial" w:hAnsi="Arial" w:cs="Arial"/>
                <w:color w:val="000000"/>
                <w:sz w:val="14"/>
                <w:szCs w:val="14"/>
                <w:lang w:val="en-GB"/>
              </w:rPr>
              <w:t>TABLE OF FREQUENCY ALLOCATIONS</w:t>
            </w:r>
          </w:p>
        </w:tc>
        <w:tc>
          <w:tcPr>
            <w:tcW w:w="2250" w:type="dxa"/>
            <w:gridSpan w:val="2"/>
            <w:vMerge w:val="restart"/>
            <w:tcBorders>
              <w:top w:val="single" w:sz="5" w:space="0" w:color="000000"/>
              <w:left w:val="single" w:sz="15" w:space="0" w:color="000000"/>
              <w:bottom w:val="single" w:sz="15" w:space="0" w:color="000000"/>
              <w:right w:val="single" w:sz="15" w:space="0" w:color="000000"/>
            </w:tcBorders>
            <w:tcMar>
              <w:top w:w="15" w:type="dxa"/>
              <w:left w:w="15" w:type="dxa"/>
              <w:bottom w:w="15" w:type="dxa"/>
              <w:right w:w="15" w:type="dxa"/>
            </w:tcMar>
            <w:vAlign w:val="center"/>
          </w:tcPr>
          <w:p w14:paraId="7C72C786" w14:textId="77777777" w:rsidR="00041388" w:rsidRDefault="00041388" w:rsidP="00D96CED">
            <w:pPr>
              <w:spacing w:after="0" w:line="240" w:lineRule="auto"/>
              <w:jc w:val="center"/>
            </w:pPr>
            <w:r>
              <w:rPr>
                <w:rFonts w:ascii="Arial" w:eastAsia="Arial" w:hAnsi="Arial" w:cs="Arial"/>
                <w:color w:val="000000"/>
                <w:sz w:val="14"/>
                <w:szCs w:val="14"/>
                <w:lang w:val="en-GB"/>
              </w:rPr>
              <w:t>RR ALLOCATION RELEVANT TO HUNGARY</w:t>
            </w:r>
          </w:p>
        </w:tc>
      </w:tr>
      <w:tr w:rsidR="00041388" w14:paraId="49DE7EA7" w14:textId="77777777" w:rsidTr="00D96CED">
        <w:trPr>
          <w:gridAfter w:val="1"/>
          <w:wAfter w:w="21" w:type="dxa"/>
          <w:tblHeader/>
        </w:trPr>
        <w:tc>
          <w:tcPr>
            <w:tcW w:w="540"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14:paraId="499C0536" w14:textId="77777777" w:rsidR="00041388" w:rsidRDefault="00041388" w:rsidP="00D96CED">
            <w:pPr>
              <w:spacing w:after="0" w:line="240" w:lineRule="auto"/>
              <w:jc w:val="center"/>
            </w:pPr>
            <w:r>
              <w:rPr>
                <w:rFonts w:ascii="Arial" w:eastAsia="Arial" w:hAnsi="Arial" w:cs="Arial"/>
                <w:color w:val="000000"/>
                <w:sz w:val="14"/>
                <w:szCs w:val="14"/>
                <w:lang w:val="en-GB"/>
              </w:rPr>
              <w:t>2 </w:t>
            </w:r>
          </w:p>
        </w:tc>
        <w:tc>
          <w:tcPr>
            <w:tcW w:w="2250" w:type="dxa"/>
            <w:gridSpan w:val="2"/>
            <w:tcBorders>
              <w:top w:val="single" w:sz="5" w:space="0" w:color="000000"/>
              <w:left w:val="single" w:sz="15" w:space="0" w:color="000000"/>
              <w:bottom w:val="single" w:sz="15" w:space="0" w:color="000000"/>
              <w:right w:val="single" w:sz="5" w:space="0" w:color="000000"/>
            </w:tcBorders>
            <w:tcMar>
              <w:top w:w="15" w:type="dxa"/>
              <w:left w:w="15" w:type="dxa"/>
              <w:bottom w:w="15" w:type="dxa"/>
              <w:right w:w="15" w:type="dxa"/>
            </w:tcMar>
            <w:vAlign w:val="center"/>
          </w:tcPr>
          <w:p w14:paraId="0180D2B8" w14:textId="789101AF" w:rsidR="00041388" w:rsidRDefault="00041388" w:rsidP="00D96CED">
            <w:pPr>
              <w:spacing w:after="0" w:line="240" w:lineRule="auto"/>
              <w:jc w:val="center"/>
            </w:pPr>
            <w:r>
              <w:rPr>
                <w:rFonts w:ascii="Arial" w:eastAsia="Arial" w:hAnsi="Arial" w:cs="Arial"/>
                <w:color w:val="000000"/>
                <w:sz w:val="14"/>
                <w:szCs w:val="14"/>
                <w:lang w:val="en-GB"/>
              </w:rPr>
              <w:t>REGION 1</w:t>
            </w:r>
          </w:p>
        </w:tc>
        <w:tc>
          <w:tcPr>
            <w:tcW w:w="2250" w:type="dxa"/>
            <w:gridSpan w:val="2"/>
            <w:tcBorders>
              <w:top w:val="single" w:sz="5" w:space="0" w:color="000000"/>
              <w:left w:val="single" w:sz="5" w:space="0" w:color="000000"/>
              <w:bottom w:val="single" w:sz="15" w:space="0" w:color="000000"/>
              <w:right w:val="single" w:sz="5" w:space="0" w:color="000000"/>
            </w:tcBorders>
            <w:tcMar>
              <w:top w:w="15" w:type="dxa"/>
              <w:left w:w="15" w:type="dxa"/>
              <w:bottom w:w="15" w:type="dxa"/>
              <w:right w:w="15" w:type="dxa"/>
            </w:tcMar>
            <w:vAlign w:val="center"/>
          </w:tcPr>
          <w:p w14:paraId="4620981D" w14:textId="7FE55C44" w:rsidR="00041388" w:rsidRDefault="00041388" w:rsidP="00D96CED">
            <w:pPr>
              <w:spacing w:after="0" w:line="240" w:lineRule="auto"/>
              <w:jc w:val="center"/>
            </w:pPr>
            <w:r>
              <w:rPr>
                <w:rFonts w:ascii="Arial" w:eastAsia="Arial" w:hAnsi="Arial" w:cs="Arial"/>
                <w:color w:val="000000"/>
                <w:sz w:val="14"/>
                <w:szCs w:val="14"/>
                <w:lang w:val="en-GB"/>
              </w:rPr>
              <w:t>REGION 2</w:t>
            </w:r>
          </w:p>
        </w:tc>
        <w:tc>
          <w:tcPr>
            <w:tcW w:w="2250" w:type="dxa"/>
            <w:tcBorders>
              <w:top w:val="single" w:sz="5" w:space="0" w:color="000000"/>
              <w:left w:val="single" w:sz="5" w:space="0" w:color="000000"/>
              <w:bottom w:val="single" w:sz="15" w:space="0" w:color="000000"/>
              <w:right w:val="single" w:sz="5" w:space="0" w:color="000000"/>
            </w:tcBorders>
            <w:tcMar>
              <w:top w:w="15" w:type="dxa"/>
              <w:left w:w="15" w:type="dxa"/>
              <w:bottom w:w="15" w:type="dxa"/>
              <w:right w:w="15" w:type="dxa"/>
            </w:tcMar>
            <w:vAlign w:val="center"/>
          </w:tcPr>
          <w:p w14:paraId="6B785E03" w14:textId="2B2675D6" w:rsidR="00041388" w:rsidRDefault="00041388" w:rsidP="00D96CED">
            <w:pPr>
              <w:spacing w:after="0" w:line="240" w:lineRule="auto"/>
              <w:jc w:val="center"/>
            </w:pPr>
            <w:r>
              <w:rPr>
                <w:rFonts w:ascii="Arial" w:eastAsia="Arial" w:hAnsi="Arial" w:cs="Arial"/>
                <w:color w:val="000000"/>
                <w:sz w:val="14"/>
                <w:szCs w:val="14"/>
                <w:lang w:val="en-GB"/>
              </w:rPr>
              <w:t>REGION 3</w:t>
            </w:r>
          </w:p>
        </w:tc>
        <w:tc>
          <w:tcPr>
            <w:tcW w:w="2250" w:type="dxa"/>
            <w:gridSpan w:val="2"/>
            <w:vMerge/>
            <w:tcBorders>
              <w:top w:val="single" w:sz="5" w:space="0" w:color="000000"/>
              <w:left w:val="single" w:sz="15" w:space="0" w:color="000000"/>
              <w:bottom w:val="single" w:sz="15" w:space="0" w:color="000000"/>
              <w:right w:val="single" w:sz="15" w:space="0" w:color="000000"/>
            </w:tcBorders>
          </w:tcPr>
          <w:p w14:paraId="03BB775B" w14:textId="77777777" w:rsidR="00041388" w:rsidRDefault="00041388" w:rsidP="00D96CED"/>
        </w:tc>
      </w:tr>
      <w:tr w:rsidR="00041388" w14:paraId="79EE1666" w14:textId="77777777" w:rsidTr="00D96CED">
        <w:trPr>
          <w:gridBefore w:val="1"/>
          <w:wBefore w:w="21" w:type="dxa"/>
          <w:cantSplit/>
        </w:trPr>
        <w:tc>
          <w:tcPr>
            <w:tcW w:w="540" w:type="dxa"/>
            <w:gridSpan w:val="2"/>
            <w:tcBorders>
              <w:top w:val="single" w:sz="5" w:space="0" w:color="000000"/>
              <w:left w:val="single" w:sz="5" w:space="0" w:color="000000"/>
              <w:right w:val="single" w:sz="15" w:space="0" w:color="000000"/>
            </w:tcBorders>
            <w:tcMar>
              <w:top w:w="15" w:type="dxa"/>
              <w:left w:w="15" w:type="dxa"/>
              <w:bottom w:w="15" w:type="dxa"/>
              <w:right w:w="15" w:type="dxa"/>
            </w:tcMar>
          </w:tcPr>
          <w:p w14:paraId="77ADA707" w14:textId="77777777" w:rsidR="00041388" w:rsidRDefault="00041388" w:rsidP="00D96CED">
            <w:pPr>
              <w:keepNext/>
              <w:keepLines/>
              <w:spacing w:after="0" w:line="240" w:lineRule="auto"/>
              <w:ind w:left="45" w:hanging="150"/>
              <w:jc w:val="center"/>
              <w:textAlignment w:val="top"/>
            </w:pPr>
            <w:r>
              <w:rPr>
                <w:rFonts w:ascii="Arial" w:eastAsia="Arial" w:hAnsi="Arial" w:cs="Arial"/>
                <w:color w:val="000000"/>
                <w:sz w:val="14"/>
                <w:szCs w:val="14"/>
                <w:lang w:val="en-GB"/>
              </w:rPr>
              <w:t>519</w:t>
            </w:r>
          </w:p>
        </w:tc>
        <w:tc>
          <w:tcPr>
            <w:tcW w:w="2250" w:type="dxa"/>
            <w:gridSpan w:val="2"/>
            <w:tcBorders>
              <w:top w:val="single" w:sz="5" w:space="0" w:color="000000"/>
              <w:left w:val="single" w:sz="5" w:space="0" w:color="000000"/>
            </w:tcBorders>
            <w:tcMar>
              <w:top w:w="15" w:type="dxa"/>
              <w:left w:w="15" w:type="dxa"/>
              <w:bottom w:w="15" w:type="dxa"/>
              <w:right w:w="15" w:type="dxa"/>
            </w:tcMar>
          </w:tcPr>
          <w:p w14:paraId="5BEDB9FE" w14:textId="77777777" w:rsidR="00041388" w:rsidRDefault="00041388" w:rsidP="00D96CED">
            <w:pPr>
              <w:spacing w:after="0" w:line="240" w:lineRule="auto"/>
            </w:pPr>
            <w:r>
              <w:rPr>
                <w:rFonts w:ascii="Arial" w:eastAsia="Arial" w:hAnsi="Arial" w:cs="Arial"/>
                <w:b/>
                <w:bCs/>
                <w:color w:val="000000"/>
                <w:sz w:val="14"/>
                <w:szCs w:val="14"/>
                <w:lang w:val="en-GB"/>
              </w:rPr>
              <w:t>31,8–32 GHz</w:t>
            </w:r>
          </w:p>
        </w:tc>
        <w:tc>
          <w:tcPr>
            <w:tcW w:w="4500" w:type="dxa"/>
            <w:gridSpan w:val="3"/>
            <w:tcBorders>
              <w:top w:val="single" w:sz="5" w:space="0" w:color="000000"/>
            </w:tcBorders>
            <w:tcMar>
              <w:top w:w="15" w:type="dxa"/>
              <w:left w:w="15" w:type="dxa"/>
              <w:bottom w:w="15" w:type="dxa"/>
              <w:right w:w="15" w:type="dxa"/>
            </w:tcMar>
          </w:tcPr>
          <w:p w14:paraId="4A052841"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FIXED 5.547A</w:t>
            </w:r>
          </w:p>
          <w:p w14:paraId="42E61D6E"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RADIONAVIGATION</w:t>
            </w:r>
          </w:p>
          <w:p w14:paraId="1103DA4F"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 xml:space="preserve">SPACE RESEARCH (deep space) (space-to-Earth) </w:t>
            </w:r>
          </w:p>
        </w:tc>
        <w:tc>
          <w:tcPr>
            <w:tcW w:w="2250" w:type="dxa"/>
            <w:gridSpan w:val="2"/>
            <w:tcBorders>
              <w:top w:val="single" w:sz="5" w:space="0" w:color="000000"/>
              <w:left w:val="single" w:sz="15" w:space="0" w:color="000000"/>
              <w:right w:val="single" w:sz="15" w:space="0" w:color="000000"/>
            </w:tcBorders>
            <w:tcMar>
              <w:top w:w="15" w:type="dxa"/>
              <w:left w:w="15" w:type="dxa"/>
              <w:bottom w:w="15" w:type="dxa"/>
              <w:right w:w="15" w:type="dxa"/>
            </w:tcMar>
          </w:tcPr>
          <w:p w14:paraId="5BDAB7E7" w14:textId="77777777" w:rsidR="00041388" w:rsidRDefault="00041388" w:rsidP="00D96CED">
            <w:pPr>
              <w:spacing w:after="0" w:line="240" w:lineRule="auto"/>
            </w:pPr>
            <w:r>
              <w:rPr>
                <w:rFonts w:ascii="Arial" w:eastAsia="Arial" w:hAnsi="Arial" w:cs="Arial"/>
                <w:b/>
                <w:bCs/>
                <w:color w:val="000000"/>
                <w:sz w:val="14"/>
                <w:szCs w:val="14"/>
                <w:lang w:val="en-GB"/>
              </w:rPr>
              <w:t>31,8–32 GHz</w:t>
            </w:r>
          </w:p>
          <w:p w14:paraId="70CE0363"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FIXED 5.547A</w:t>
            </w:r>
          </w:p>
          <w:p w14:paraId="2A64F171"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RADIONAVIGATION</w:t>
            </w:r>
          </w:p>
          <w:p w14:paraId="7D8F34EB" w14:textId="448BD556" w:rsidR="00041388" w:rsidRDefault="00041388" w:rsidP="007E0713">
            <w:pPr>
              <w:keepLines/>
              <w:spacing w:after="0" w:line="240" w:lineRule="auto"/>
              <w:ind w:left="150" w:hanging="150"/>
              <w:jc w:val="left"/>
              <w:textAlignment w:val="top"/>
            </w:pPr>
            <w:r>
              <w:rPr>
                <w:rFonts w:ascii="Arial" w:eastAsia="Arial" w:hAnsi="Arial" w:cs="Arial"/>
                <w:color w:val="000000"/>
                <w:sz w:val="14"/>
                <w:szCs w:val="14"/>
                <w:lang w:val="en-GB"/>
              </w:rPr>
              <w:t xml:space="preserve">SPACE RESEARCH (deep space) </w:t>
            </w:r>
            <w:r>
              <w:rPr>
                <w:rFonts w:ascii="Arial" w:eastAsia="Arial" w:hAnsi="Arial" w:cs="Arial"/>
                <w:color w:val="000000"/>
                <w:sz w:val="14"/>
                <w:szCs w:val="14"/>
                <w:lang w:val="en-GB"/>
              </w:rPr>
              <w:br/>
              <w:t xml:space="preserve">(space-to-Earth) </w:t>
            </w:r>
          </w:p>
        </w:tc>
      </w:tr>
      <w:tr w:rsidR="00041388" w14:paraId="2CD0F4FD" w14:textId="77777777" w:rsidTr="00D96CED">
        <w:trPr>
          <w:gridBefore w:val="1"/>
          <w:wBefore w:w="21" w:type="dxa"/>
          <w:cantSplit/>
        </w:trPr>
        <w:tc>
          <w:tcPr>
            <w:tcW w:w="540" w:type="dxa"/>
            <w:gridSpan w:val="2"/>
            <w:tcBorders>
              <w:left w:val="single" w:sz="5" w:space="0" w:color="000000"/>
              <w:bottom w:val="single" w:sz="5" w:space="0" w:color="000000"/>
              <w:right w:val="single" w:sz="15" w:space="0" w:color="000000"/>
            </w:tcBorders>
            <w:tcMar>
              <w:top w:w="15" w:type="dxa"/>
              <w:left w:w="15" w:type="dxa"/>
              <w:bottom w:w="15" w:type="dxa"/>
              <w:right w:w="15" w:type="dxa"/>
            </w:tcMar>
          </w:tcPr>
          <w:p w14:paraId="3DDE5126" w14:textId="77777777" w:rsidR="00041388" w:rsidRDefault="00041388" w:rsidP="00D96CED">
            <w:pPr>
              <w:spacing w:after="0" w:line="240" w:lineRule="auto"/>
              <w:jc w:val="center"/>
            </w:pPr>
            <w:r>
              <w:rPr>
                <w:rFonts w:ascii="Arial" w:eastAsia="Arial" w:hAnsi="Arial" w:cs="Arial"/>
                <w:color w:val="000000"/>
                <w:sz w:val="14"/>
                <w:szCs w:val="14"/>
                <w:lang w:val="en-GB"/>
              </w:rPr>
              <w:t> </w:t>
            </w:r>
          </w:p>
        </w:tc>
        <w:tc>
          <w:tcPr>
            <w:tcW w:w="2250" w:type="dxa"/>
            <w:gridSpan w:val="2"/>
            <w:tcBorders>
              <w:left w:val="single" w:sz="5" w:space="0" w:color="000000"/>
              <w:bottom w:val="single" w:sz="5" w:space="0" w:color="000000"/>
            </w:tcBorders>
            <w:tcMar>
              <w:top w:w="15" w:type="dxa"/>
              <w:left w:w="15" w:type="dxa"/>
              <w:bottom w:w="15" w:type="dxa"/>
              <w:right w:w="15" w:type="dxa"/>
            </w:tcMar>
          </w:tcPr>
          <w:p w14:paraId="14DBEFA8" w14:textId="77777777" w:rsidR="00041388" w:rsidRDefault="00041388" w:rsidP="00D96CED">
            <w:pPr>
              <w:keepLines/>
              <w:spacing w:after="0" w:line="240" w:lineRule="auto"/>
              <w:textAlignment w:val="top"/>
            </w:pPr>
            <w:r>
              <w:rPr>
                <w:rFonts w:ascii="Arial" w:eastAsia="Arial" w:hAnsi="Arial" w:cs="Arial"/>
                <w:color w:val="000000"/>
                <w:sz w:val="14"/>
                <w:szCs w:val="14"/>
                <w:lang w:val="en-GB"/>
              </w:rPr>
              <w:t> </w:t>
            </w:r>
          </w:p>
          <w:p w14:paraId="5485B322" w14:textId="438F5856" w:rsidR="00041388" w:rsidRDefault="00041388" w:rsidP="00E70452">
            <w:pPr>
              <w:spacing w:after="0" w:line="240" w:lineRule="auto"/>
            </w:pPr>
            <w:r>
              <w:rPr>
                <w:rFonts w:ascii="Arial" w:eastAsia="Arial" w:hAnsi="Arial" w:cs="Arial"/>
                <w:color w:val="000000"/>
                <w:sz w:val="14"/>
                <w:szCs w:val="14"/>
                <w:lang w:val="en-GB"/>
              </w:rPr>
              <w:t xml:space="preserve"> </w:t>
            </w:r>
          </w:p>
        </w:tc>
        <w:tc>
          <w:tcPr>
            <w:tcW w:w="4500" w:type="dxa"/>
            <w:gridSpan w:val="3"/>
            <w:tcBorders>
              <w:bottom w:val="single" w:sz="5" w:space="0" w:color="000000"/>
            </w:tcBorders>
            <w:tcMar>
              <w:top w:w="15" w:type="dxa"/>
              <w:left w:w="15" w:type="dxa"/>
              <w:bottom w:w="15" w:type="dxa"/>
              <w:right w:w="15" w:type="dxa"/>
            </w:tcMar>
            <w:vAlign w:val="bottom"/>
          </w:tcPr>
          <w:p w14:paraId="2835F48C" w14:textId="553DFD43" w:rsidR="00041388" w:rsidRDefault="00041388" w:rsidP="00D96CED">
            <w:pPr>
              <w:spacing w:after="0" w:line="240" w:lineRule="auto"/>
            </w:pPr>
            <w:r>
              <w:rPr>
                <w:rFonts w:ascii="Arial" w:eastAsia="Arial" w:hAnsi="Arial" w:cs="Arial"/>
                <w:color w:val="000000"/>
                <w:sz w:val="14"/>
                <w:szCs w:val="14"/>
                <w:lang w:val="en-GB"/>
              </w:rPr>
              <w:t> 5.547 5.547B 5.548</w:t>
            </w:r>
          </w:p>
        </w:tc>
        <w:tc>
          <w:tcPr>
            <w:tcW w:w="2250" w:type="dxa"/>
            <w:gridSpan w:val="2"/>
            <w:tcBorders>
              <w:left w:val="single" w:sz="15" w:space="0" w:color="000000"/>
              <w:bottom w:val="single" w:sz="5" w:space="0" w:color="000000"/>
              <w:right w:val="single" w:sz="15" w:space="0" w:color="000000"/>
            </w:tcBorders>
            <w:tcMar>
              <w:top w:w="15" w:type="dxa"/>
              <w:left w:w="15" w:type="dxa"/>
              <w:bottom w:w="15" w:type="dxa"/>
              <w:right w:w="15" w:type="dxa"/>
            </w:tcMar>
            <w:vAlign w:val="bottom"/>
          </w:tcPr>
          <w:p w14:paraId="38F3667E" w14:textId="77777777" w:rsidR="00041388" w:rsidRDefault="00041388" w:rsidP="00D96CED">
            <w:pPr>
              <w:keepLines/>
              <w:spacing w:after="0" w:line="240" w:lineRule="auto"/>
              <w:textAlignment w:val="bottom"/>
            </w:pPr>
            <w:r>
              <w:rPr>
                <w:rFonts w:ascii="Arial" w:eastAsia="Arial" w:hAnsi="Arial" w:cs="Arial"/>
                <w:color w:val="000000"/>
                <w:sz w:val="14"/>
                <w:szCs w:val="14"/>
                <w:lang w:val="en-GB"/>
              </w:rPr>
              <w:t> </w:t>
            </w:r>
          </w:p>
          <w:p w14:paraId="6CAFBC1F" w14:textId="77777777" w:rsidR="00041388" w:rsidRDefault="00041388" w:rsidP="00D96CED">
            <w:pPr>
              <w:spacing w:after="0" w:line="240" w:lineRule="auto"/>
            </w:pPr>
            <w:r>
              <w:rPr>
                <w:rFonts w:ascii="Arial" w:eastAsia="Arial" w:hAnsi="Arial" w:cs="Arial"/>
                <w:color w:val="000000"/>
                <w:sz w:val="14"/>
                <w:szCs w:val="14"/>
                <w:lang w:val="en-GB"/>
              </w:rPr>
              <w:t xml:space="preserve"> 5.547 5.548</w:t>
            </w:r>
          </w:p>
        </w:tc>
      </w:tr>
      <w:tr w:rsidR="00041388" w14:paraId="4966F0D2" w14:textId="77777777" w:rsidTr="00D96CED">
        <w:trPr>
          <w:gridBefore w:val="1"/>
          <w:wBefore w:w="21" w:type="dxa"/>
          <w:cantSplit/>
        </w:trPr>
        <w:tc>
          <w:tcPr>
            <w:tcW w:w="540" w:type="dxa"/>
            <w:gridSpan w:val="2"/>
            <w:tcBorders>
              <w:top w:val="single" w:sz="5" w:space="0" w:color="000000"/>
              <w:left w:val="single" w:sz="5" w:space="0" w:color="000000"/>
              <w:right w:val="single" w:sz="15" w:space="0" w:color="000000"/>
            </w:tcBorders>
            <w:tcMar>
              <w:top w:w="15" w:type="dxa"/>
              <w:left w:w="15" w:type="dxa"/>
              <w:bottom w:w="15" w:type="dxa"/>
              <w:right w:w="15" w:type="dxa"/>
            </w:tcMar>
          </w:tcPr>
          <w:p w14:paraId="67534DF9" w14:textId="77777777" w:rsidR="00041388" w:rsidRDefault="00041388" w:rsidP="00D96CED">
            <w:pPr>
              <w:keepNext/>
              <w:keepLines/>
              <w:spacing w:after="0" w:line="240" w:lineRule="auto"/>
              <w:ind w:left="45" w:hanging="150"/>
              <w:jc w:val="center"/>
              <w:textAlignment w:val="top"/>
            </w:pPr>
            <w:r>
              <w:rPr>
                <w:rFonts w:ascii="Arial" w:eastAsia="Arial" w:hAnsi="Arial" w:cs="Arial"/>
                <w:color w:val="000000"/>
                <w:sz w:val="14"/>
                <w:szCs w:val="14"/>
                <w:lang w:val="en-GB"/>
              </w:rPr>
              <w:t>520</w:t>
            </w:r>
          </w:p>
        </w:tc>
        <w:tc>
          <w:tcPr>
            <w:tcW w:w="2250" w:type="dxa"/>
            <w:gridSpan w:val="2"/>
            <w:tcBorders>
              <w:top w:val="single" w:sz="5" w:space="0" w:color="000000"/>
              <w:left w:val="single" w:sz="5" w:space="0" w:color="000000"/>
            </w:tcBorders>
            <w:tcMar>
              <w:top w:w="15" w:type="dxa"/>
              <w:left w:w="15" w:type="dxa"/>
              <w:bottom w:w="15" w:type="dxa"/>
              <w:right w:w="15" w:type="dxa"/>
            </w:tcMar>
          </w:tcPr>
          <w:p w14:paraId="01E32EEA" w14:textId="77777777" w:rsidR="00041388" w:rsidRDefault="00041388" w:rsidP="00D96CED">
            <w:pPr>
              <w:spacing w:after="0" w:line="240" w:lineRule="auto"/>
            </w:pPr>
            <w:r>
              <w:rPr>
                <w:rFonts w:ascii="Arial" w:eastAsia="Arial" w:hAnsi="Arial" w:cs="Arial"/>
                <w:b/>
                <w:bCs/>
                <w:color w:val="000000"/>
                <w:sz w:val="14"/>
                <w:szCs w:val="14"/>
                <w:lang w:val="en-GB"/>
              </w:rPr>
              <w:t>32–32.3 GHz</w:t>
            </w:r>
          </w:p>
        </w:tc>
        <w:tc>
          <w:tcPr>
            <w:tcW w:w="4500" w:type="dxa"/>
            <w:gridSpan w:val="3"/>
            <w:tcBorders>
              <w:top w:val="single" w:sz="5" w:space="0" w:color="000000"/>
            </w:tcBorders>
            <w:tcMar>
              <w:top w:w="15" w:type="dxa"/>
              <w:left w:w="15" w:type="dxa"/>
              <w:bottom w:w="15" w:type="dxa"/>
              <w:right w:w="15" w:type="dxa"/>
            </w:tcMar>
          </w:tcPr>
          <w:p w14:paraId="038B783D"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FIXED 5.547A</w:t>
            </w:r>
          </w:p>
          <w:p w14:paraId="18907C9B"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RADIONAVIGATION</w:t>
            </w:r>
          </w:p>
          <w:p w14:paraId="7A08F281"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 xml:space="preserve">SPACE RESEARCH (deep space) (space-to-Earth) </w:t>
            </w:r>
          </w:p>
        </w:tc>
        <w:tc>
          <w:tcPr>
            <w:tcW w:w="2250" w:type="dxa"/>
            <w:gridSpan w:val="2"/>
            <w:tcBorders>
              <w:top w:val="single" w:sz="5" w:space="0" w:color="000000"/>
              <w:left w:val="single" w:sz="15" w:space="0" w:color="000000"/>
              <w:right w:val="single" w:sz="15" w:space="0" w:color="000000"/>
            </w:tcBorders>
            <w:tcMar>
              <w:top w:w="15" w:type="dxa"/>
              <w:left w:w="15" w:type="dxa"/>
              <w:bottom w:w="15" w:type="dxa"/>
              <w:right w:w="15" w:type="dxa"/>
            </w:tcMar>
          </w:tcPr>
          <w:p w14:paraId="444C3643" w14:textId="77777777" w:rsidR="00041388" w:rsidRDefault="00041388" w:rsidP="00D96CED">
            <w:pPr>
              <w:spacing w:after="0" w:line="240" w:lineRule="auto"/>
            </w:pPr>
            <w:r>
              <w:rPr>
                <w:rFonts w:ascii="Arial" w:eastAsia="Arial" w:hAnsi="Arial" w:cs="Arial"/>
                <w:b/>
                <w:bCs/>
                <w:color w:val="000000"/>
                <w:sz w:val="14"/>
                <w:szCs w:val="14"/>
                <w:lang w:val="en-GB"/>
              </w:rPr>
              <w:t>32–32.3 GHz</w:t>
            </w:r>
          </w:p>
          <w:p w14:paraId="3ACA8015"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FIXED 5.547A</w:t>
            </w:r>
          </w:p>
          <w:p w14:paraId="05A07402"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RADIONAVIGATION</w:t>
            </w:r>
          </w:p>
          <w:p w14:paraId="778F240D" w14:textId="0D4A85F1" w:rsidR="00041388" w:rsidRDefault="00041388" w:rsidP="007E0713">
            <w:pPr>
              <w:keepLines/>
              <w:spacing w:after="0" w:line="240" w:lineRule="auto"/>
              <w:ind w:left="150" w:hanging="150"/>
              <w:jc w:val="left"/>
              <w:textAlignment w:val="top"/>
            </w:pPr>
            <w:r>
              <w:rPr>
                <w:rFonts w:ascii="Arial" w:eastAsia="Arial" w:hAnsi="Arial" w:cs="Arial"/>
                <w:color w:val="000000"/>
                <w:sz w:val="14"/>
                <w:szCs w:val="14"/>
                <w:lang w:val="en-GB"/>
              </w:rPr>
              <w:t xml:space="preserve">SPACE RESEARCH (deep space) </w:t>
            </w:r>
            <w:r>
              <w:rPr>
                <w:rFonts w:ascii="Arial" w:eastAsia="Arial" w:hAnsi="Arial" w:cs="Arial"/>
                <w:color w:val="000000"/>
                <w:sz w:val="14"/>
                <w:szCs w:val="14"/>
                <w:lang w:val="en-GB"/>
              </w:rPr>
              <w:br/>
              <w:t xml:space="preserve">(space-to-Earth) </w:t>
            </w:r>
          </w:p>
        </w:tc>
      </w:tr>
      <w:tr w:rsidR="00041388" w14:paraId="16F69DAF" w14:textId="77777777" w:rsidTr="00D96CED">
        <w:trPr>
          <w:gridBefore w:val="1"/>
          <w:wBefore w:w="21" w:type="dxa"/>
          <w:cantSplit/>
        </w:trPr>
        <w:tc>
          <w:tcPr>
            <w:tcW w:w="540" w:type="dxa"/>
            <w:gridSpan w:val="2"/>
            <w:tcBorders>
              <w:left w:val="single" w:sz="5" w:space="0" w:color="000000"/>
              <w:bottom w:val="single" w:sz="5" w:space="0" w:color="000000"/>
              <w:right w:val="single" w:sz="15" w:space="0" w:color="000000"/>
            </w:tcBorders>
            <w:tcMar>
              <w:top w:w="15" w:type="dxa"/>
              <w:left w:w="15" w:type="dxa"/>
              <w:bottom w:w="15" w:type="dxa"/>
              <w:right w:w="15" w:type="dxa"/>
            </w:tcMar>
          </w:tcPr>
          <w:p w14:paraId="0D3189ED" w14:textId="77777777" w:rsidR="00041388" w:rsidRDefault="00041388" w:rsidP="00D96CED">
            <w:pPr>
              <w:spacing w:after="0" w:line="240" w:lineRule="auto"/>
              <w:jc w:val="center"/>
            </w:pPr>
            <w:r>
              <w:rPr>
                <w:rFonts w:ascii="Arial" w:eastAsia="Arial" w:hAnsi="Arial" w:cs="Arial"/>
                <w:color w:val="000000"/>
                <w:sz w:val="14"/>
                <w:szCs w:val="14"/>
                <w:lang w:val="en-GB"/>
              </w:rPr>
              <w:t> </w:t>
            </w:r>
          </w:p>
        </w:tc>
        <w:tc>
          <w:tcPr>
            <w:tcW w:w="2250" w:type="dxa"/>
            <w:gridSpan w:val="2"/>
            <w:tcBorders>
              <w:left w:val="single" w:sz="5" w:space="0" w:color="000000"/>
              <w:bottom w:val="single" w:sz="5" w:space="0" w:color="000000"/>
            </w:tcBorders>
            <w:tcMar>
              <w:top w:w="15" w:type="dxa"/>
              <w:left w:w="15" w:type="dxa"/>
              <w:bottom w:w="15" w:type="dxa"/>
              <w:right w:w="15" w:type="dxa"/>
            </w:tcMar>
          </w:tcPr>
          <w:p w14:paraId="4084F036" w14:textId="77777777" w:rsidR="00041388" w:rsidRDefault="00041388" w:rsidP="00D96CED">
            <w:pPr>
              <w:keepLines/>
              <w:spacing w:after="0" w:line="240" w:lineRule="auto"/>
              <w:textAlignment w:val="top"/>
            </w:pPr>
            <w:r>
              <w:rPr>
                <w:rFonts w:ascii="Arial" w:eastAsia="Arial" w:hAnsi="Arial" w:cs="Arial"/>
                <w:color w:val="000000"/>
                <w:sz w:val="14"/>
                <w:szCs w:val="14"/>
                <w:lang w:val="en-GB"/>
              </w:rPr>
              <w:t> </w:t>
            </w:r>
          </w:p>
          <w:p w14:paraId="47001A6A" w14:textId="6D3CA50B" w:rsidR="00041388" w:rsidRDefault="00041388" w:rsidP="00E70452">
            <w:pPr>
              <w:spacing w:after="0" w:line="240" w:lineRule="auto"/>
            </w:pPr>
            <w:r>
              <w:rPr>
                <w:rFonts w:ascii="Arial" w:eastAsia="Arial" w:hAnsi="Arial" w:cs="Arial"/>
                <w:color w:val="000000"/>
                <w:sz w:val="14"/>
                <w:szCs w:val="14"/>
                <w:lang w:val="en-GB"/>
              </w:rPr>
              <w:t xml:space="preserve"> </w:t>
            </w:r>
          </w:p>
        </w:tc>
        <w:tc>
          <w:tcPr>
            <w:tcW w:w="4500" w:type="dxa"/>
            <w:gridSpan w:val="3"/>
            <w:tcBorders>
              <w:bottom w:val="single" w:sz="5" w:space="0" w:color="000000"/>
            </w:tcBorders>
            <w:tcMar>
              <w:top w:w="15" w:type="dxa"/>
              <w:left w:w="15" w:type="dxa"/>
              <w:bottom w:w="15" w:type="dxa"/>
              <w:right w:w="15" w:type="dxa"/>
            </w:tcMar>
            <w:vAlign w:val="bottom"/>
          </w:tcPr>
          <w:p w14:paraId="6A022355" w14:textId="448B3B43" w:rsidR="00041388" w:rsidRDefault="00041388" w:rsidP="00D96CED">
            <w:pPr>
              <w:spacing w:after="0" w:line="240" w:lineRule="auto"/>
            </w:pPr>
            <w:r>
              <w:rPr>
                <w:rFonts w:ascii="Arial" w:eastAsia="Arial" w:hAnsi="Arial" w:cs="Arial"/>
                <w:color w:val="000000"/>
                <w:sz w:val="14"/>
                <w:szCs w:val="14"/>
                <w:lang w:val="en-GB"/>
              </w:rPr>
              <w:t> 5.547 5.547C 5.548</w:t>
            </w:r>
          </w:p>
        </w:tc>
        <w:tc>
          <w:tcPr>
            <w:tcW w:w="2250" w:type="dxa"/>
            <w:gridSpan w:val="2"/>
            <w:tcBorders>
              <w:left w:val="single" w:sz="15" w:space="0" w:color="000000"/>
              <w:bottom w:val="single" w:sz="5" w:space="0" w:color="000000"/>
              <w:right w:val="single" w:sz="15" w:space="0" w:color="000000"/>
            </w:tcBorders>
            <w:tcMar>
              <w:top w:w="15" w:type="dxa"/>
              <w:left w:w="15" w:type="dxa"/>
              <w:bottom w:w="15" w:type="dxa"/>
              <w:right w:w="15" w:type="dxa"/>
            </w:tcMar>
            <w:vAlign w:val="bottom"/>
          </w:tcPr>
          <w:p w14:paraId="6F125103" w14:textId="77777777" w:rsidR="00041388" w:rsidRDefault="00041388" w:rsidP="00D96CED">
            <w:pPr>
              <w:keepLines/>
              <w:spacing w:after="0" w:line="240" w:lineRule="auto"/>
              <w:textAlignment w:val="bottom"/>
            </w:pPr>
            <w:r>
              <w:rPr>
                <w:rFonts w:ascii="Arial" w:eastAsia="Arial" w:hAnsi="Arial" w:cs="Arial"/>
                <w:color w:val="000000"/>
                <w:sz w:val="14"/>
                <w:szCs w:val="14"/>
                <w:lang w:val="en-GB"/>
              </w:rPr>
              <w:t> </w:t>
            </w:r>
          </w:p>
          <w:p w14:paraId="2CBAD7D4" w14:textId="77777777" w:rsidR="00041388" w:rsidRDefault="00041388" w:rsidP="00D96CED">
            <w:pPr>
              <w:spacing w:after="0" w:line="240" w:lineRule="auto"/>
            </w:pPr>
            <w:r>
              <w:rPr>
                <w:rFonts w:ascii="Arial" w:eastAsia="Arial" w:hAnsi="Arial" w:cs="Arial"/>
                <w:color w:val="000000"/>
                <w:sz w:val="14"/>
                <w:szCs w:val="14"/>
                <w:lang w:val="en-GB"/>
              </w:rPr>
              <w:t xml:space="preserve"> 5.547 5.548</w:t>
            </w:r>
          </w:p>
        </w:tc>
      </w:tr>
      <w:tr w:rsidR="00041388" w14:paraId="4DDDAC5A" w14:textId="77777777" w:rsidTr="00D96CED">
        <w:trPr>
          <w:gridBefore w:val="1"/>
          <w:wBefore w:w="21" w:type="dxa"/>
          <w:cantSplit/>
        </w:trPr>
        <w:tc>
          <w:tcPr>
            <w:tcW w:w="540" w:type="dxa"/>
            <w:gridSpan w:val="2"/>
            <w:tcBorders>
              <w:top w:val="single" w:sz="5" w:space="0" w:color="000000"/>
              <w:left w:val="single" w:sz="5" w:space="0" w:color="000000"/>
              <w:right w:val="single" w:sz="15" w:space="0" w:color="000000"/>
            </w:tcBorders>
            <w:tcMar>
              <w:top w:w="15" w:type="dxa"/>
              <w:left w:w="15" w:type="dxa"/>
              <w:bottom w:w="15" w:type="dxa"/>
              <w:right w:w="15" w:type="dxa"/>
            </w:tcMar>
          </w:tcPr>
          <w:p w14:paraId="0E0C08DC" w14:textId="77777777" w:rsidR="00041388" w:rsidRDefault="00041388" w:rsidP="00D96CED">
            <w:pPr>
              <w:keepNext/>
              <w:keepLines/>
              <w:spacing w:after="0" w:line="240" w:lineRule="auto"/>
              <w:ind w:left="45" w:hanging="150"/>
              <w:jc w:val="center"/>
              <w:textAlignment w:val="top"/>
            </w:pPr>
            <w:r>
              <w:rPr>
                <w:rFonts w:ascii="Arial" w:eastAsia="Arial" w:hAnsi="Arial" w:cs="Arial"/>
                <w:color w:val="000000"/>
                <w:sz w:val="14"/>
                <w:szCs w:val="14"/>
                <w:lang w:val="en-GB"/>
              </w:rPr>
              <w:t>521</w:t>
            </w:r>
          </w:p>
        </w:tc>
        <w:tc>
          <w:tcPr>
            <w:tcW w:w="2250" w:type="dxa"/>
            <w:gridSpan w:val="2"/>
            <w:tcBorders>
              <w:top w:val="single" w:sz="5" w:space="0" w:color="000000"/>
              <w:left w:val="single" w:sz="5" w:space="0" w:color="000000"/>
            </w:tcBorders>
            <w:tcMar>
              <w:top w:w="15" w:type="dxa"/>
              <w:left w:w="15" w:type="dxa"/>
              <w:bottom w:w="15" w:type="dxa"/>
              <w:right w:w="15" w:type="dxa"/>
            </w:tcMar>
          </w:tcPr>
          <w:p w14:paraId="7EBCA1EE" w14:textId="77777777" w:rsidR="00041388" w:rsidRDefault="00041388" w:rsidP="00D96CED">
            <w:pPr>
              <w:spacing w:after="0" w:line="240" w:lineRule="auto"/>
            </w:pPr>
            <w:r>
              <w:rPr>
                <w:rFonts w:ascii="Arial" w:eastAsia="Arial" w:hAnsi="Arial" w:cs="Arial"/>
                <w:b/>
                <w:bCs/>
                <w:color w:val="000000"/>
                <w:sz w:val="14"/>
                <w:szCs w:val="14"/>
                <w:lang w:val="en-GB"/>
              </w:rPr>
              <w:t>32.3–33 GHz</w:t>
            </w:r>
          </w:p>
        </w:tc>
        <w:tc>
          <w:tcPr>
            <w:tcW w:w="4500" w:type="dxa"/>
            <w:gridSpan w:val="3"/>
            <w:tcBorders>
              <w:top w:val="single" w:sz="5" w:space="0" w:color="000000"/>
            </w:tcBorders>
            <w:tcMar>
              <w:top w:w="15" w:type="dxa"/>
              <w:left w:w="15" w:type="dxa"/>
              <w:bottom w:w="15" w:type="dxa"/>
              <w:right w:w="15" w:type="dxa"/>
            </w:tcMar>
          </w:tcPr>
          <w:p w14:paraId="259D28A4"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FIXED 5.547A</w:t>
            </w:r>
          </w:p>
          <w:p w14:paraId="192CD4C0"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INTER-SATELLITE</w:t>
            </w:r>
          </w:p>
          <w:p w14:paraId="67EA93ED"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RADIONAVIGATION</w:t>
            </w:r>
          </w:p>
        </w:tc>
        <w:tc>
          <w:tcPr>
            <w:tcW w:w="2250" w:type="dxa"/>
            <w:gridSpan w:val="2"/>
            <w:tcBorders>
              <w:top w:val="single" w:sz="5" w:space="0" w:color="000000"/>
              <w:left w:val="single" w:sz="15" w:space="0" w:color="000000"/>
              <w:right w:val="single" w:sz="15" w:space="0" w:color="000000"/>
            </w:tcBorders>
            <w:tcMar>
              <w:top w:w="15" w:type="dxa"/>
              <w:left w:w="15" w:type="dxa"/>
              <w:bottom w:w="15" w:type="dxa"/>
              <w:right w:w="15" w:type="dxa"/>
            </w:tcMar>
          </w:tcPr>
          <w:p w14:paraId="2D39E48F" w14:textId="77777777" w:rsidR="00041388" w:rsidRDefault="00041388" w:rsidP="00D96CED">
            <w:pPr>
              <w:spacing w:after="0" w:line="240" w:lineRule="auto"/>
            </w:pPr>
            <w:r>
              <w:rPr>
                <w:rFonts w:ascii="Arial" w:eastAsia="Arial" w:hAnsi="Arial" w:cs="Arial"/>
                <w:b/>
                <w:bCs/>
                <w:color w:val="000000"/>
                <w:sz w:val="14"/>
                <w:szCs w:val="14"/>
                <w:lang w:val="en-GB"/>
              </w:rPr>
              <w:t>32.3–33 GHz</w:t>
            </w:r>
          </w:p>
          <w:p w14:paraId="21020649"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FIXED 5.547A</w:t>
            </w:r>
          </w:p>
          <w:p w14:paraId="65B7EB2B"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INTER-SATELLITE</w:t>
            </w:r>
          </w:p>
          <w:p w14:paraId="5BC5C9DB"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RADIONAVIGATION</w:t>
            </w:r>
          </w:p>
        </w:tc>
      </w:tr>
      <w:tr w:rsidR="00041388" w14:paraId="60D94654" w14:textId="77777777" w:rsidTr="00D96CED">
        <w:trPr>
          <w:gridBefore w:val="1"/>
          <w:wBefore w:w="21" w:type="dxa"/>
          <w:cantSplit/>
        </w:trPr>
        <w:tc>
          <w:tcPr>
            <w:tcW w:w="540" w:type="dxa"/>
            <w:gridSpan w:val="2"/>
            <w:tcBorders>
              <w:left w:val="single" w:sz="5" w:space="0" w:color="000000"/>
              <w:bottom w:val="single" w:sz="5" w:space="0" w:color="000000"/>
              <w:right w:val="single" w:sz="15" w:space="0" w:color="000000"/>
            </w:tcBorders>
            <w:tcMar>
              <w:top w:w="15" w:type="dxa"/>
              <w:left w:w="15" w:type="dxa"/>
              <w:bottom w:w="15" w:type="dxa"/>
              <w:right w:w="15" w:type="dxa"/>
            </w:tcMar>
          </w:tcPr>
          <w:p w14:paraId="4C29D1B6" w14:textId="77777777" w:rsidR="00041388" w:rsidRDefault="00041388" w:rsidP="00D96CED">
            <w:pPr>
              <w:spacing w:after="0" w:line="240" w:lineRule="auto"/>
              <w:jc w:val="center"/>
            </w:pPr>
            <w:r>
              <w:rPr>
                <w:rFonts w:ascii="Arial" w:eastAsia="Arial" w:hAnsi="Arial" w:cs="Arial"/>
                <w:color w:val="000000"/>
                <w:sz w:val="14"/>
                <w:szCs w:val="14"/>
                <w:lang w:val="en-GB"/>
              </w:rPr>
              <w:t> </w:t>
            </w:r>
          </w:p>
        </w:tc>
        <w:tc>
          <w:tcPr>
            <w:tcW w:w="2250" w:type="dxa"/>
            <w:gridSpan w:val="2"/>
            <w:tcBorders>
              <w:left w:val="single" w:sz="5" w:space="0" w:color="000000"/>
              <w:bottom w:val="single" w:sz="5" w:space="0" w:color="000000"/>
            </w:tcBorders>
            <w:tcMar>
              <w:top w:w="15" w:type="dxa"/>
              <w:left w:w="15" w:type="dxa"/>
              <w:bottom w:w="15" w:type="dxa"/>
              <w:right w:w="15" w:type="dxa"/>
            </w:tcMar>
          </w:tcPr>
          <w:p w14:paraId="7B5F04DC" w14:textId="77777777" w:rsidR="00041388" w:rsidRDefault="00041388" w:rsidP="00D96CED">
            <w:pPr>
              <w:keepLines/>
              <w:spacing w:after="0" w:line="240" w:lineRule="auto"/>
              <w:textAlignment w:val="top"/>
            </w:pPr>
            <w:r>
              <w:rPr>
                <w:rFonts w:ascii="Arial" w:eastAsia="Arial" w:hAnsi="Arial" w:cs="Arial"/>
                <w:color w:val="000000"/>
                <w:sz w:val="14"/>
                <w:szCs w:val="14"/>
                <w:lang w:val="en-GB"/>
              </w:rPr>
              <w:t> </w:t>
            </w:r>
          </w:p>
          <w:p w14:paraId="074A72A6" w14:textId="4A9493FA" w:rsidR="00041388" w:rsidRDefault="00041388" w:rsidP="00E70452">
            <w:pPr>
              <w:spacing w:after="0" w:line="240" w:lineRule="auto"/>
            </w:pPr>
            <w:r>
              <w:rPr>
                <w:rFonts w:ascii="Arial" w:eastAsia="Arial" w:hAnsi="Arial" w:cs="Arial"/>
                <w:color w:val="000000"/>
                <w:sz w:val="14"/>
                <w:szCs w:val="14"/>
                <w:lang w:val="en-GB"/>
              </w:rPr>
              <w:t xml:space="preserve"> </w:t>
            </w:r>
          </w:p>
        </w:tc>
        <w:tc>
          <w:tcPr>
            <w:tcW w:w="4500" w:type="dxa"/>
            <w:gridSpan w:val="3"/>
            <w:tcBorders>
              <w:bottom w:val="single" w:sz="5" w:space="0" w:color="000000"/>
            </w:tcBorders>
            <w:tcMar>
              <w:top w:w="15" w:type="dxa"/>
              <w:left w:w="15" w:type="dxa"/>
              <w:bottom w:w="15" w:type="dxa"/>
              <w:right w:w="15" w:type="dxa"/>
            </w:tcMar>
            <w:vAlign w:val="bottom"/>
          </w:tcPr>
          <w:p w14:paraId="4E1CEE32" w14:textId="4F51C6BE" w:rsidR="00041388" w:rsidRDefault="00041388" w:rsidP="00D96CED">
            <w:pPr>
              <w:spacing w:after="0" w:line="240" w:lineRule="auto"/>
            </w:pPr>
            <w:r>
              <w:rPr>
                <w:rFonts w:ascii="Arial" w:eastAsia="Arial" w:hAnsi="Arial" w:cs="Arial"/>
                <w:color w:val="000000"/>
                <w:sz w:val="14"/>
                <w:szCs w:val="14"/>
                <w:lang w:val="en-GB"/>
              </w:rPr>
              <w:t> 5.547 5.547D 5.548</w:t>
            </w:r>
          </w:p>
        </w:tc>
        <w:tc>
          <w:tcPr>
            <w:tcW w:w="2250" w:type="dxa"/>
            <w:gridSpan w:val="2"/>
            <w:tcBorders>
              <w:left w:val="single" w:sz="15" w:space="0" w:color="000000"/>
              <w:bottom w:val="single" w:sz="5" w:space="0" w:color="000000"/>
              <w:right w:val="single" w:sz="15" w:space="0" w:color="000000"/>
            </w:tcBorders>
            <w:tcMar>
              <w:top w:w="15" w:type="dxa"/>
              <w:left w:w="15" w:type="dxa"/>
              <w:bottom w:w="15" w:type="dxa"/>
              <w:right w:w="15" w:type="dxa"/>
            </w:tcMar>
            <w:vAlign w:val="bottom"/>
          </w:tcPr>
          <w:p w14:paraId="46EACE3A" w14:textId="77777777" w:rsidR="00041388" w:rsidRDefault="00041388" w:rsidP="00D96CED">
            <w:pPr>
              <w:keepLines/>
              <w:spacing w:after="0" w:line="240" w:lineRule="auto"/>
              <w:textAlignment w:val="bottom"/>
            </w:pPr>
            <w:r>
              <w:rPr>
                <w:rFonts w:ascii="Arial" w:eastAsia="Arial" w:hAnsi="Arial" w:cs="Arial"/>
                <w:color w:val="000000"/>
                <w:sz w:val="14"/>
                <w:szCs w:val="14"/>
                <w:lang w:val="en-GB"/>
              </w:rPr>
              <w:t> </w:t>
            </w:r>
          </w:p>
          <w:p w14:paraId="38F66DA6" w14:textId="77777777" w:rsidR="00041388" w:rsidRDefault="00041388" w:rsidP="00D96CED">
            <w:pPr>
              <w:spacing w:after="0" w:line="240" w:lineRule="auto"/>
            </w:pPr>
            <w:r>
              <w:rPr>
                <w:rFonts w:ascii="Arial" w:eastAsia="Arial" w:hAnsi="Arial" w:cs="Arial"/>
                <w:color w:val="000000"/>
                <w:sz w:val="14"/>
                <w:szCs w:val="14"/>
                <w:lang w:val="en-GB"/>
              </w:rPr>
              <w:t xml:space="preserve"> 5.547 5.548</w:t>
            </w:r>
          </w:p>
        </w:tc>
      </w:tr>
      <w:tr w:rsidR="00041388" w14:paraId="584F9EA2" w14:textId="77777777" w:rsidTr="00D96CED">
        <w:trPr>
          <w:gridBefore w:val="1"/>
          <w:wBefore w:w="21" w:type="dxa"/>
          <w:cantSplit/>
        </w:trPr>
        <w:tc>
          <w:tcPr>
            <w:tcW w:w="540" w:type="dxa"/>
            <w:gridSpan w:val="2"/>
            <w:tcBorders>
              <w:top w:val="single" w:sz="5" w:space="0" w:color="000000"/>
              <w:left w:val="single" w:sz="5" w:space="0" w:color="000000"/>
              <w:right w:val="single" w:sz="15" w:space="0" w:color="000000"/>
            </w:tcBorders>
            <w:tcMar>
              <w:top w:w="15" w:type="dxa"/>
              <w:left w:w="15" w:type="dxa"/>
              <w:bottom w:w="15" w:type="dxa"/>
              <w:right w:w="15" w:type="dxa"/>
            </w:tcMar>
          </w:tcPr>
          <w:p w14:paraId="0A6BFA3B" w14:textId="77777777" w:rsidR="00041388" w:rsidRDefault="00041388" w:rsidP="00D96CED">
            <w:pPr>
              <w:keepNext/>
              <w:keepLines/>
              <w:spacing w:after="0" w:line="240" w:lineRule="auto"/>
              <w:ind w:left="45" w:hanging="150"/>
              <w:jc w:val="center"/>
              <w:textAlignment w:val="top"/>
            </w:pPr>
            <w:r>
              <w:rPr>
                <w:rFonts w:ascii="Arial" w:eastAsia="Arial" w:hAnsi="Arial" w:cs="Arial"/>
                <w:color w:val="000000"/>
                <w:sz w:val="14"/>
                <w:szCs w:val="14"/>
                <w:lang w:val="en-GB"/>
              </w:rPr>
              <w:t>522</w:t>
            </w:r>
          </w:p>
        </w:tc>
        <w:tc>
          <w:tcPr>
            <w:tcW w:w="2250" w:type="dxa"/>
            <w:gridSpan w:val="2"/>
            <w:tcBorders>
              <w:top w:val="single" w:sz="5" w:space="0" w:color="000000"/>
              <w:left w:val="single" w:sz="5" w:space="0" w:color="000000"/>
            </w:tcBorders>
            <w:tcMar>
              <w:top w:w="15" w:type="dxa"/>
              <w:left w:w="15" w:type="dxa"/>
              <w:bottom w:w="15" w:type="dxa"/>
              <w:right w:w="15" w:type="dxa"/>
            </w:tcMar>
          </w:tcPr>
          <w:p w14:paraId="6B6B6A9E" w14:textId="77777777" w:rsidR="00041388" w:rsidRDefault="00041388" w:rsidP="00D96CED">
            <w:pPr>
              <w:spacing w:after="0" w:line="240" w:lineRule="auto"/>
            </w:pPr>
            <w:r>
              <w:rPr>
                <w:rFonts w:ascii="Arial" w:eastAsia="Arial" w:hAnsi="Arial" w:cs="Arial"/>
                <w:b/>
                <w:bCs/>
                <w:color w:val="000000"/>
                <w:sz w:val="14"/>
                <w:szCs w:val="14"/>
                <w:lang w:val="en-GB"/>
              </w:rPr>
              <w:t>33–33.4 GHz</w:t>
            </w:r>
          </w:p>
        </w:tc>
        <w:tc>
          <w:tcPr>
            <w:tcW w:w="4500" w:type="dxa"/>
            <w:gridSpan w:val="3"/>
            <w:tcBorders>
              <w:top w:val="single" w:sz="5" w:space="0" w:color="000000"/>
            </w:tcBorders>
            <w:tcMar>
              <w:top w:w="15" w:type="dxa"/>
              <w:left w:w="15" w:type="dxa"/>
              <w:bottom w:w="15" w:type="dxa"/>
              <w:right w:w="15" w:type="dxa"/>
            </w:tcMar>
          </w:tcPr>
          <w:p w14:paraId="12E630A7"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FIXED 5.547A</w:t>
            </w:r>
          </w:p>
          <w:p w14:paraId="23E536E2"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RADIONAVIGATION</w:t>
            </w:r>
          </w:p>
        </w:tc>
        <w:tc>
          <w:tcPr>
            <w:tcW w:w="2250" w:type="dxa"/>
            <w:gridSpan w:val="2"/>
            <w:tcBorders>
              <w:top w:val="single" w:sz="5" w:space="0" w:color="000000"/>
              <w:left w:val="single" w:sz="15" w:space="0" w:color="000000"/>
              <w:right w:val="single" w:sz="15" w:space="0" w:color="000000"/>
            </w:tcBorders>
            <w:tcMar>
              <w:top w:w="15" w:type="dxa"/>
              <w:left w:w="15" w:type="dxa"/>
              <w:bottom w:w="15" w:type="dxa"/>
              <w:right w:w="15" w:type="dxa"/>
            </w:tcMar>
          </w:tcPr>
          <w:p w14:paraId="2B774921" w14:textId="77777777" w:rsidR="00041388" w:rsidRDefault="00041388" w:rsidP="00D96CED">
            <w:pPr>
              <w:spacing w:after="0" w:line="240" w:lineRule="auto"/>
            </w:pPr>
            <w:r>
              <w:rPr>
                <w:rFonts w:ascii="Arial" w:eastAsia="Arial" w:hAnsi="Arial" w:cs="Arial"/>
                <w:b/>
                <w:bCs/>
                <w:color w:val="000000"/>
                <w:sz w:val="14"/>
                <w:szCs w:val="14"/>
                <w:lang w:val="en-GB"/>
              </w:rPr>
              <w:t>33–33.4 GHz</w:t>
            </w:r>
          </w:p>
          <w:p w14:paraId="1A3D4657"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FIXED 5.547A</w:t>
            </w:r>
          </w:p>
          <w:p w14:paraId="3BC038CB"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lang w:val="en-GB"/>
              </w:rPr>
              <w:t>RADIONAVIGATION</w:t>
            </w:r>
          </w:p>
        </w:tc>
      </w:tr>
      <w:tr w:rsidR="00041388" w14:paraId="11DD18DD" w14:textId="77777777" w:rsidTr="00D96CED">
        <w:trPr>
          <w:gridBefore w:val="1"/>
          <w:wBefore w:w="21" w:type="dxa"/>
          <w:cantSplit/>
        </w:trPr>
        <w:tc>
          <w:tcPr>
            <w:tcW w:w="540" w:type="dxa"/>
            <w:gridSpan w:val="2"/>
            <w:tcBorders>
              <w:left w:val="single" w:sz="5" w:space="0" w:color="000000"/>
              <w:bottom w:val="single" w:sz="5" w:space="0" w:color="000000"/>
              <w:right w:val="single" w:sz="15" w:space="0" w:color="000000"/>
            </w:tcBorders>
            <w:tcMar>
              <w:top w:w="15" w:type="dxa"/>
              <w:left w:w="15" w:type="dxa"/>
              <w:bottom w:w="15" w:type="dxa"/>
              <w:right w:w="15" w:type="dxa"/>
            </w:tcMar>
          </w:tcPr>
          <w:p w14:paraId="0185935C" w14:textId="77777777" w:rsidR="00041388" w:rsidRDefault="00041388" w:rsidP="00D96CED">
            <w:pPr>
              <w:spacing w:after="0" w:line="240" w:lineRule="auto"/>
              <w:jc w:val="center"/>
            </w:pPr>
            <w:r>
              <w:rPr>
                <w:rFonts w:ascii="Arial" w:eastAsia="Arial" w:hAnsi="Arial" w:cs="Arial"/>
                <w:color w:val="000000"/>
                <w:sz w:val="14"/>
                <w:szCs w:val="14"/>
                <w:lang w:val="en-GB"/>
              </w:rPr>
              <w:t> </w:t>
            </w:r>
          </w:p>
        </w:tc>
        <w:tc>
          <w:tcPr>
            <w:tcW w:w="2250" w:type="dxa"/>
            <w:gridSpan w:val="2"/>
            <w:tcBorders>
              <w:left w:val="single" w:sz="5" w:space="0" w:color="000000"/>
              <w:bottom w:val="single" w:sz="5" w:space="0" w:color="000000"/>
            </w:tcBorders>
            <w:tcMar>
              <w:top w:w="15" w:type="dxa"/>
              <w:left w:w="15" w:type="dxa"/>
              <w:bottom w:w="15" w:type="dxa"/>
              <w:right w:w="15" w:type="dxa"/>
            </w:tcMar>
          </w:tcPr>
          <w:p w14:paraId="7C72D01D" w14:textId="77777777" w:rsidR="00041388" w:rsidRDefault="00041388" w:rsidP="00D96CED">
            <w:pPr>
              <w:keepLines/>
              <w:spacing w:after="0" w:line="240" w:lineRule="auto"/>
              <w:textAlignment w:val="top"/>
            </w:pPr>
            <w:r>
              <w:rPr>
                <w:rFonts w:ascii="Arial" w:eastAsia="Arial" w:hAnsi="Arial" w:cs="Arial"/>
                <w:color w:val="000000"/>
                <w:sz w:val="14"/>
                <w:szCs w:val="14"/>
                <w:lang w:val="en-GB"/>
              </w:rPr>
              <w:t> </w:t>
            </w:r>
          </w:p>
          <w:p w14:paraId="5BA6E25E" w14:textId="40FDB6C3" w:rsidR="00041388" w:rsidRDefault="00041388" w:rsidP="00E70452">
            <w:pPr>
              <w:spacing w:after="0" w:line="240" w:lineRule="auto"/>
            </w:pPr>
            <w:r>
              <w:rPr>
                <w:rFonts w:ascii="Arial" w:eastAsia="Arial" w:hAnsi="Arial" w:cs="Arial"/>
                <w:color w:val="000000"/>
                <w:sz w:val="14"/>
                <w:szCs w:val="14"/>
                <w:lang w:val="en-GB"/>
              </w:rPr>
              <w:t xml:space="preserve"> </w:t>
            </w:r>
          </w:p>
        </w:tc>
        <w:tc>
          <w:tcPr>
            <w:tcW w:w="4500" w:type="dxa"/>
            <w:gridSpan w:val="3"/>
            <w:tcBorders>
              <w:bottom w:val="single" w:sz="5" w:space="0" w:color="000000"/>
            </w:tcBorders>
            <w:tcMar>
              <w:top w:w="15" w:type="dxa"/>
              <w:left w:w="15" w:type="dxa"/>
              <w:bottom w:w="15" w:type="dxa"/>
              <w:right w:w="15" w:type="dxa"/>
            </w:tcMar>
            <w:vAlign w:val="bottom"/>
          </w:tcPr>
          <w:p w14:paraId="2C4722DD" w14:textId="64D7BA8C" w:rsidR="00041388" w:rsidRDefault="00041388" w:rsidP="00D96CED">
            <w:pPr>
              <w:spacing w:after="0" w:line="240" w:lineRule="auto"/>
            </w:pPr>
            <w:r>
              <w:rPr>
                <w:rFonts w:ascii="Arial" w:eastAsia="Arial" w:hAnsi="Arial" w:cs="Arial"/>
                <w:color w:val="000000"/>
                <w:sz w:val="14"/>
                <w:szCs w:val="14"/>
                <w:lang w:val="en-GB"/>
              </w:rPr>
              <w:t> 5.547 5.547E</w:t>
            </w:r>
          </w:p>
        </w:tc>
        <w:tc>
          <w:tcPr>
            <w:tcW w:w="2250" w:type="dxa"/>
            <w:gridSpan w:val="2"/>
            <w:tcBorders>
              <w:left w:val="single" w:sz="15" w:space="0" w:color="000000"/>
              <w:bottom w:val="single" w:sz="5" w:space="0" w:color="000000"/>
              <w:right w:val="single" w:sz="15" w:space="0" w:color="000000"/>
            </w:tcBorders>
            <w:tcMar>
              <w:top w:w="15" w:type="dxa"/>
              <w:left w:w="15" w:type="dxa"/>
              <w:bottom w:w="15" w:type="dxa"/>
              <w:right w:w="15" w:type="dxa"/>
            </w:tcMar>
            <w:vAlign w:val="bottom"/>
          </w:tcPr>
          <w:p w14:paraId="401155A5" w14:textId="77777777" w:rsidR="00041388" w:rsidRDefault="00041388" w:rsidP="00D96CED">
            <w:pPr>
              <w:keepLines/>
              <w:spacing w:after="0" w:line="240" w:lineRule="auto"/>
              <w:textAlignment w:val="bottom"/>
            </w:pPr>
            <w:r>
              <w:rPr>
                <w:rFonts w:ascii="Arial" w:eastAsia="Arial" w:hAnsi="Arial" w:cs="Arial"/>
                <w:color w:val="000000"/>
                <w:sz w:val="14"/>
                <w:szCs w:val="14"/>
                <w:lang w:val="en-GB"/>
              </w:rPr>
              <w:t> </w:t>
            </w:r>
          </w:p>
          <w:p w14:paraId="740F8137" w14:textId="77777777" w:rsidR="00041388" w:rsidRDefault="00041388" w:rsidP="00D96CED">
            <w:pPr>
              <w:spacing w:after="0" w:line="240" w:lineRule="auto"/>
            </w:pPr>
            <w:r>
              <w:rPr>
                <w:rFonts w:ascii="Arial" w:eastAsia="Arial" w:hAnsi="Arial" w:cs="Arial"/>
                <w:color w:val="000000"/>
                <w:sz w:val="14"/>
                <w:szCs w:val="14"/>
                <w:lang w:val="en-GB"/>
              </w:rPr>
              <w:t xml:space="preserve"> 5.547</w:t>
            </w:r>
          </w:p>
        </w:tc>
      </w:tr>
    </w:tbl>
    <w:p w14:paraId="6A0F8FC1" w14:textId="77777777" w:rsidR="00041388" w:rsidRDefault="00041388" w:rsidP="00041388">
      <w:pPr>
        <w:pStyle w:val="Behzottbekezdsnmhh"/>
        <w:rPr>
          <w:i/>
        </w:rPr>
      </w:pPr>
    </w:p>
    <w:p w14:paraId="720AC52A" w14:textId="77777777" w:rsidR="00041388" w:rsidRDefault="00041388" w:rsidP="00041388">
      <w:pPr>
        <w:pStyle w:val="Cmsor3szmozottnmhh"/>
        <w:ind w:left="1287"/>
      </w:pPr>
      <w:bookmarkStart w:id="20" w:name="_Toc89185028"/>
      <w:bookmarkStart w:id="21" w:name="_Toc82171061"/>
      <w:bookmarkStart w:id="22" w:name="_Toc473880718"/>
      <w:bookmarkStart w:id="23" w:name="_Toc99619491"/>
      <w:r>
        <w:rPr>
          <w:bCs/>
          <w:lang w:val="en-GB"/>
        </w:rPr>
        <w:t>CEPT</w:t>
      </w:r>
      <w:bookmarkEnd w:id="20"/>
      <w:bookmarkEnd w:id="21"/>
      <w:bookmarkEnd w:id="22"/>
      <w:bookmarkEnd w:id="23"/>
    </w:p>
    <w:p w14:paraId="223AC53C" w14:textId="57611CC5" w:rsidR="00041388" w:rsidRDefault="00041388" w:rsidP="00041388">
      <w:pPr>
        <w:pStyle w:val="Behzottbekezdsnmhh"/>
      </w:pPr>
      <w:r>
        <w:rPr>
          <w:lang w:val="en-GB"/>
        </w:rPr>
        <w:t>At CEPT level, Recommendation ERC/REC/(01)02</w:t>
      </w:r>
      <w:r>
        <w:rPr>
          <w:rStyle w:val="Lbjegyzet-hivatkozs"/>
          <w:lang w:val="en-GB"/>
        </w:rPr>
        <w:footnoteReference w:id="9"/>
      </w:r>
      <w:r>
        <w:rPr>
          <w:i/>
          <w:iCs/>
          <w:lang w:val="en-GB"/>
        </w:rPr>
        <w:t xml:space="preserve"> </w:t>
      </w:r>
      <w:r>
        <w:rPr>
          <w:lang w:val="en-GB"/>
        </w:rPr>
        <w:t xml:space="preserve">includes band and channel arrangement options for the use of fixed service systems. (Figure 3.1.2.1.). As shown in the figure, channel bandwidths created from multiples of 3.5 MHz may be used. The arrangement is the same for channels between 3.5 MHz and 28 MHz, but changes for channels with a bandwidth of 56 MHz and above. The Recommendation was last amended in May 2019 to allow the use of channels with a bandwidth of 224 MHz, which can be formed by merging two adjacent channels with a bandwidth of 112 MHz each (Figure 3.1.2.2.). </w:t>
      </w:r>
    </w:p>
    <w:p w14:paraId="43AD54B4" w14:textId="77777777" w:rsidR="00041388" w:rsidRDefault="00041388" w:rsidP="00041388">
      <w:pPr>
        <w:pStyle w:val="Behzottbekezdsnmhh"/>
        <w:keepNext/>
      </w:pPr>
      <w:r>
        <w:rPr>
          <w:lang w:val="en-GB"/>
        </w:rPr>
        <w:object w:dxaOrig="10374" w:dyaOrig="12527" w14:anchorId="2CF2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pt;height:531.75pt" o:ole="">
            <v:imagedata r:id="rId14" o:title=""/>
          </v:shape>
          <o:OLEObject Type="Embed" ProgID="Visio.Drawing.11" ShapeID="_x0000_i1025" DrawAspect="Content" ObjectID="_1713788338" r:id="rId15"/>
        </w:object>
      </w:r>
    </w:p>
    <w:p w14:paraId="6B976949" w14:textId="460941EB" w:rsidR="00041388" w:rsidRDefault="00041388" w:rsidP="00041388">
      <w:pPr>
        <w:pStyle w:val="Kpalrs"/>
        <w:jc w:val="center"/>
      </w:pPr>
      <w:r>
        <w:rPr>
          <w:lang w:val="en-GB"/>
        </w:rPr>
        <w:t>Figure 3.1.2.1 Band and channel arrangement options in the 32 GHz band [Source: ERC/REC/(01)02]</w:t>
      </w:r>
    </w:p>
    <w:p w14:paraId="2AAF04F1" w14:textId="77777777" w:rsidR="00041388" w:rsidRDefault="00041388" w:rsidP="00B00DE2">
      <w:pPr>
        <w:pStyle w:val="Behzottbekezdsnmhh"/>
        <w:keepNext/>
        <w:jc w:val="center"/>
      </w:pPr>
      <w:r>
        <w:rPr>
          <w:noProof/>
          <w:lang w:eastAsia="hu-HU"/>
        </w:rPr>
        <w:lastRenderedPageBreak/>
        <w:drawing>
          <wp:inline distT="0" distB="0" distL="0" distR="0" wp14:anchorId="6443B759" wp14:editId="1CD15449">
            <wp:extent cx="4937760" cy="2601685"/>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7780" cy="2612233"/>
                    </a:xfrm>
                    <a:prstGeom prst="rect">
                      <a:avLst/>
                    </a:prstGeom>
                    <a:noFill/>
                  </pic:spPr>
                </pic:pic>
              </a:graphicData>
            </a:graphic>
          </wp:inline>
        </w:drawing>
      </w:r>
    </w:p>
    <w:p w14:paraId="175D48ED" w14:textId="0DB8D105" w:rsidR="00041388" w:rsidRDefault="00041388" w:rsidP="00041388">
      <w:pPr>
        <w:pStyle w:val="Kpalrs"/>
        <w:jc w:val="center"/>
      </w:pPr>
      <w:r>
        <w:rPr>
          <w:lang w:val="en-GB"/>
        </w:rPr>
        <w:t>Figure 3.1.2.2 Creation of 224 MHz channels in the 32 GHz band [Source: ERC/REC/(01)02]</w:t>
      </w:r>
    </w:p>
    <w:p w14:paraId="70C3687D" w14:textId="77777777" w:rsidR="00041388" w:rsidRDefault="00041388" w:rsidP="00041388">
      <w:pPr>
        <w:pStyle w:val="Behzottbekezdsnmhh"/>
      </w:pPr>
    </w:p>
    <w:p w14:paraId="138C6CB0" w14:textId="0D55D082" w:rsidR="00041388" w:rsidRDefault="00041388" w:rsidP="00041388">
      <w:pPr>
        <w:pStyle w:val="Behzottbekezdsnmhh"/>
      </w:pPr>
      <w:r>
        <w:rPr>
          <w:lang w:val="en-GB"/>
        </w:rPr>
        <w:t>Recommendation ECC/REC/(11)01</w:t>
      </w:r>
      <w:r>
        <w:rPr>
          <w:rStyle w:val="Lbjegyzet-hivatkozs"/>
          <w:lang w:val="en-GB"/>
        </w:rPr>
        <w:footnoteReference w:id="10"/>
      </w:r>
      <w:r>
        <w:rPr>
          <w:lang w:val="en-GB"/>
        </w:rPr>
        <w:t xml:space="preserve"> provides guidance on the creation and </w:t>
      </w:r>
      <w:r w:rsidRPr="004E0043">
        <w:rPr>
          <w:lang w:val="en-GB"/>
        </w:rPr>
        <w:t>assignment</w:t>
      </w:r>
      <w:r>
        <w:rPr>
          <w:lang w:val="en-GB"/>
        </w:rPr>
        <w:t xml:space="preserve"> of user blocks for fixed wireless point-to-multipoint systems. The regulatory document makes recommendations for the following factors: </w:t>
      </w:r>
    </w:p>
    <w:p w14:paraId="32ED1C9C" w14:textId="2D6B4C57" w:rsidR="002116E6" w:rsidRDefault="00041388" w:rsidP="00041388">
      <w:pPr>
        <w:pStyle w:val="Behzottbekezdsnmhh"/>
        <w:numPr>
          <w:ilvl w:val="0"/>
          <w:numId w:val="34"/>
        </w:numPr>
      </w:pPr>
      <w:r>
        <w:rPr>
          <w:lang w:val="en-GB"/>
        </w:rPr>
        <w:t>the size of the basic block is 28 MHz</w:t>
      </w:r>
    </w:p>
    <w:p w14:paraId="0D32575C" w14:textId="6A5D60FA" w:rsidR="00041388" w:rsidRDefault="00041388" w:rsidP="00041388">
      <w:pPr>
        <w:pStyle w:val="Behzottbekezdsnmhh"/>
        <w:numPr>
          <w:ilvl w:val="0"/>
          <w:numId w:val="34"/>
        </w:numPr>
      </w:pPr>
      <w:r>
        <w:rPr>
          <w:lang w:val="en-GB"/>
        </w:rPr>
        <w:t xml:space="preserve">based on this, the sizes of assigned user blocks may be multiples of 28 MHz, </w:t>
      </w:r>
    </w:p>
    <w:p w14:paraId="5F4E1978" w14:textId="68515205" w:rsidR="00041388" w:rsidRDefault="008C3C16" w:rsidP="00041388">
      <w:pPr>
        <w:pStyle w:val="Behzottbekezdsnmhh"/>
        <w:numPr>
          <w:ilvl w:val="0"/>
          <w:numId w:val="34"/>
        </w:numPr>
      </w:pPr>
      <w:r>
        <w:rPr>
          <w:lang w:val="en-GB"/>
        </w:rPr>
        <w:t xml:space="preserve">considerations for the use of guard band ranges separating user blocks, and </w:t>
      </w:r>
    </w:p>
    <w:p w14:paraId="52340183" w14:textId="77777777" w:rsidR="00041388" w:rsidRDefault="00041388" w:rsidP="00041388">
      <w:pPr>
        <w:pStyle w:val="Behzottbekezdsnmhh"/>
        <w:numPr>
          <w:ilvl w:val="0"/>
          <w:numId w:val="34"/>
        </w:numPr>
      </w:pPr>
      <w:r>
        <w:rPr>
          <w:lang w:val="en-GB"/>
        </w:rPr>
        <w:t>the way in which the frequency blocks can be used when different polarizations are used.</w:t>
      </w:r>
    </w:p>
    <w:p w14:paraId="302ACE2A" w14:textId="77777777" w:rsidR="00041388" w:rsidRPr="00BE07D2" w:rsidRDefault="00041388" w:rsidP="00041388">
      <w:pPr>
        <w:pStyle w:val="Behzottbekezdsnmhh"/>
        <w:rPr>
          <w:i/>
        </w:rPr>
      </w:pPr>
    </w:p>
    <w:p w14:paraId="7533F759" w14:textId="77777777" w:rsidR="00041388" w:rsidRDefault="00041388" w:rsidP="00041388">
      <w:pPr>
        <w:pStyle w:val="Cmsor3szmozottnmhh"/>
        <w:ind w:left="1287"/>
      </w:pPr>
      <w:r>
        <w:rPr>
          <w:bCs/>
          <w:lang w:val="en-GB"/>
        </w:rPr>
        <w:t xml:space="preserve"> </w:t>
      </w:r>
      <w:bookmarkStart w:id="24" w:name="_Toc89185029"/>
      <w:bookmarkStart w:id="25" w:name="_Toc82171062"/>
      <w:bookmarkStart w:id="26" w:name="_Toc99619492"/>
      <w:r>
        <w:rPr>
          <w:bCs/>
          <w:lang w:val="en-GB"/>
        </w:rPr>
        <w:t>EU</w:t>
      </w:r>
      <w:bookmarkEnd w:id="19"/>
      <w:bookmarkEnd w:id="24"/>
      <w:bookmarkEnd w:id="25"/>
      <w:bookmarkEnd w:id="26"/>
    </w:p>
    <w:p w14:paraId="65A50638" w14:textId="5D610F0D" w:rsidR="00041388" w:rsidRDefault="00041388" w:rsidP="00041388">
      <w:pPr>
        <w:pStyle w:val="Behzottbekezdsnmhh"/>
      </w:pPr>
      <w:r>
        <w:rPr>
          <w:lang w:val="en-GB"/>
        </w:rPr>
        <w:t>There is no harmonised set of EU rules for the frequency band. No harmonisation process has been launched and the NMHH is not aware of any initiative in this regard.</w:t>
      </w:r>
    </w:p>
    <w:p w14:paraId="06EC79F9" w14:textId="4B7A12A0" w:rsidR="00041388" w:rsidRDefault="00D96CED" w:rsidP="00C673FF">
      <w:pPr>
        <w:pStyle w:val="Behzottbekezdsnmhh"/>
      </w:pPr>
      <w:r>
        <w:rPr>
          <w:lang w:val="en-GB"/>
        </w:rPr>
        <w:t>Although an EU mandate</w:t>
      </w:r>
      <w:r>
        <w:rPr>
          <w:rStyle w:val="Lbjegyzet-hivatkozs"/>
          <w:lang w:val="en-GB"/>
        </w:rPr>
        <w:footnoteReference w:id="11"/>
      </w:r>
      <w:r w:rsidR="00436BDB">
        <w:rPr>
          <w:lang w:val="en-GB"/>
        </w:rPr>
        <w:t xml:space="preserve"> was prepared earlier</w:t>
      </w:r>
      <w:r>
        <w:rPr>
          <w:lang w:val="en-GB"/>
        </w:rPr>
        <w:t xml:space="preserve">, which identified the 32 GHz frequency band as a possible frequency band for 5G of frequency bands above 6 GHz, which had to be </w:t>
      </w:r>
      <w:r w:rsidR="00436BDB">
        <w:rPr>
          <w:lang w:val="en-GB"/>
        </w:rPr>
        <w:t xml:space="preserve">studied with regard to </w:t>
      </w:r>
      <w:r>
        <w:rPr>
          <w:lang w:val="en-GB"/>
        </w:rPr>
        <w:t>the introduction of 5G, yet it was not among the so-called 5G pioneer bands. Based on WRC-19 preparatory studies, the CEPT did not support the introduction of 5G in the 32 GHz frequency band. As a result of WRC-19 decisions, the 32 GHz frequency band was not identified for IMT, so it is not expected to introduce 5G in that band in the near future, nor to pursue EU harmonisation efforts in that regard.</w:t>
      </w:r>
      <w:r>
        <w:rPr>
          <w:lang w:val="en-GB"/>
        </w:rPr>
        <w:br w:type="page"/>
      </w:r>
    </w:p>
    <w:p w14:paraId="391000F3" w14:textId="674E4E50" w:rsidR="00F54787" w:rsidRDefault="00F54787" w:rsidP="00F54787">
      <w:pPr>
        <w:pStyle w:val="Cmsor2szmozottnmhh"/>
        <w:ind w:left="578" w:hanging="578"/>
      </w:pPr>
      <w:bookmarkStart w:id="27" w:name="_Toc82171063"/>
      <w:bookmarkStart w:id="28" w:name="_Toc473880720"/>
      <w:bookmarkStart w:id="29" w:name="_Toc89185030"/>
      <w:bookmarkStart w:id="30" w:name="_Toc99619493"/>
      <w:r>
        <w:rPr>
          <w:bCs/>
          <w:lang w:val="en-GB"/>
        </w:rPr>
        <w:lastRenderedPageBreak/>
        <w:t>National regulation</w:t>
      </w:r>
      <w:bookmarkEnd w:id="27"/>
      <w:bookmarkEnd w:id="28"/>
      <w:r>
        <w:rPr>
          <w:bCs/>
          <w:lang w:val="en-GB"/>
        </w:rPr>
        <w:t xml:space="preserve"> and band use</w:t>
      </w:r>
      <w:bookmarkEnd w:id="29"/>
      <w:bookmarkEnd w:id="30"/>
    </w:p>
    <w:p w14:paraId="36014CA9" w14:textId="788B8B8F" w:rsidR="00F54787" w:rsidRDefault="00F54787" w:rsidP="00F54787">
      <w:pPr>
        <w:pStyle w:val="Behzottbekezdsnmhh"/>
      </w:pPr>
      <w:r>
        <w:rPr>
          <w:lang w:val="en-GB"/>
        </w:rPr>
        <w:t xml:space="preserve">The applications that may be used in the 31.8-33.4 GHz frequency band are listed in Annex 2 to the NFFF Decree in accordance with the following table: </w:t>
      </w:r>
    </w:p>
    <w:tbl>
      <w:tblPr>
        <w:tblW w:w="9781" w:type="dxa"/>
        <w:tblInd w:w="-23" w:type="dxa"/>
        <w:tblBorders>
          <w:bottom w:val="single" w:sz="18" w:space="0" w:color="auto"/>
        </w:tblBorders>
        <w:tblLayout w:type="fixed"/>
        <w:tblCellMar>
          <w:left w:w="85" w:type="dxa"/>
          <w:right w:w="85" w:type="dxa"/>
        </w:tblCellMar>
        <w:tblLook w:val="0000" w:firstRow="0" w:lastRow="0" w:firstColumn="0" w:lastColumn="0" w:noHBand="0" w:noVBand="0"/>
      </w:tblPr>
      <w:tblGrid>
        <w:gridCol w:w="1700"/>
        <w:gridCol w:w="708"/>
        <w:gridCol w:w="425"/>
        <w:gridCol w:w="426"/>
        <w:gridCol w:w="425"/>
        <w:gridCol w:w="2127"/>
        <w:gridCol w:w="1560"/>
        <w:gridCol w:w="2410"/>
      </w:tblGrid>
      <w:tr w:rsidR="000E5F59" w:rsidRPr="001C1A86" w14:paraId="49539A02" w14:textId="77777777" w:rsidTr="000E5F59">
        <w:trPr>
          <w:cantSplit/>
          <w:trHeight w:val="20"/>
          <w:tblHeader/>
        </w:trPr>
        <w:tc>
          <w:tcPr>
            <w:tcW w:w="2833" w:type="dxa"/>
            <w:gridSpan w:val="3"/>
            <w:vMerge w:val="restart"/>
            <w:tcBorders>
              <w:top w:val="single" w:sz="18" w:space="0" w:color="auto"/>
              <w:left w:val="single" w:sz="18" w:space="0" w:color="auto"/>
              <w:right w:val="single" w:sz="18" w:space="0" w:color="auto"/>
            </w:tcBorders>
            <w:vAlign w:val="center"/>
          </w:tcPr>
          <w:p w14:paraId="0DF17E0A" w14:textId="77777777" w:rsidR="000E5F59" w:rsidRPr="001C1A86" w:rsidRDefault="000E5F59" w:rsidP="006C2AF4">
            <w:pPr>
              <w:keepNext/>
              <w:keepLines/>
              <w:ind w:left="-57" w:right="-57"/>
              <w:jc w:val="center"/>
              <w:rPr>
                <w:rFonts w:cs="Arial"/>
                <w:color w:val="000000" w:themeColor="text1"/>
                <w:sz w:val="14"/>
                <w:szCs w:val="14"/>
                <w:lang w:val="en-US"/>
              </w:rPr>
            </w:pPr>
            <w:r w:rsidRPr="001C1A86">
              <w:rPr>
                <w:rFonts w:cs="Arial"/>
                <w:b/>
                <w:bCs/>
                <w:color w:val="000000" w:themeColor="text1"/>
                <w:sz w:val="14"/>
                <w:szCs w:val="14"/>
                <w:lang w:val="en-US"/>
              </w:rPr>
              <w:t>National allocation</w:t>
            </w:r>
          </w:p>
        </w:tc>
        <w:tc>
          <w:tcPr>
            <w:tcW w:w="6948" w:type="dxa"/>
            <w:gridSpan w:val="5"/>
            <w:tcBorders>
              <w:top w:val="single" w:sz="18" w:space="0" w:color="auto"/>
              <w:left w:val="single" w:sz="18" w:space="0" w:color="auto"/>
              <w:bottom w:val="single" w:sz="4" w:space="0" w:color="auto"/>
              <w:right w:val="single" w:sz="18" w:space="0" w:color="auto"/>
            </w:tcBorders>
            <w:vAlign w:val="center"/>
          </w:tcPr>
          <w:p w14:paraId="047CF870" w14:textId="77777777" w:rsidR="000E5F59" w:rsidRPr="001C1A86" w:rsidRDefault="000E5F59" w:rsidP="006C2AF4">
            <w:pPr>
              <w:keepNext/>
              <w:keepLines/>
              <w:ind w:left="130" w:right="-40" w:hanging="170"/>
              <w:jc w:val="center"/>
              <w:rPr>
                <w:rFonts w:cs="Arial"/>
                <w:b/>
                <w:color w:val="000000" w:themeColor="text1"/>
                <w:sz w:val="14"/>
                <w:szCs w:val="14"/>
                <w:lang w:val="en-US"/>
              </w:rPr>
            </w:pPr>
            <w:r w:rsidRPr="001C1A86">
              <w:rPr>
                <w:rFonts w:cs="Arial"/>
                <w:b/>
                <w:bCs/>
                <w:color w:val="000000" w:themeColor="text1"/>
                <w:sz w:val="14"/>
                <w:szCs w:val="14"/>
                <w:lang w:val="en-US"/>
              </w:rPr>
              <w:t>Rules of use of frequency bands</w:t>
            </w:r>
          </w:p>
        </w:tc>
      </w:tr>
      <w:tr w:rsidR="000E5F59" w:rsidRPr="001C1A86" w14:paraId="2F832C65" w14:textId="77777777" w:rsidTr="000E5F59">
        <w:trPr>
          <w:cantSplit/>
          <w:trHeight w:val="52"/>
          <w:tblHeader/>
        </w:trPr>
        <w:tc>
          <w:tcPr>
            <w:tcW w:w="2833" w:type="dxa"/>
            <w:gridSpan w:val="3"/>
            <w:vMerge/>
            <w:tcBorders>
              <w:left w:val="single" w:sz="18" w:space="0" w:color="auto"/>
              <w:bottom w:val="single" w:sz="18" w:space="0" w:color="auto"/>
              <w:right w:val="single" w:sz="18" w:space="0" w:color="auto"/>
            </w:tcBorders>
            <w:vAlign w:val="center"/>
          </w:tcPr>
          <w:p w14:paraId="13A12753" w14:textId="77777777" w:rsidR="000E5F59" w:rsidRPr="001C1A86" w:rsidRDefault="000E5F59" w:rsidP="006C2AF4">
            <w:pPr>
              <w:keepNext/>
              <w:keepLines/>
              <w:ind w:left="-57" w:right="-57"/>
              <w:jc w:val="center"/>
              <w:rPr>
                <w:rFonts w:cs="Arial"/>
                <w:color w:val="000000" w:themeColor="text1"/>
                <w:sz w:val="14"/>
                <w:szCs w:val="14"/>
                <w:lang w:val="en-US"/>
              </w:rPr>
            </w:pPr>
          </w:p>
        </w:tc>
        <w:tc>
          <w:tcPr>
            <w:tcW w:w="2978" w:type="dxa"/>
            <w:gridSpan w:val="3"/>
            <w:tcBorders>
              <w:top w:val="single" w:sz="4" w:space="0" w:color="auto"/>
              <w:left w:val="single" w:sz="18" w:space="0" w:color="auto"/>
              <w:bottom w:val="single" w:sz="18" w:space="0" w:color="auto"/>
              <w:right w:val="single" w:sz="18" w:space="0" w:color="auto"/>
            </w:tcBorders>
            <w:vAlign w:val="center"/>
          </w:tcPr>
          <w:p w14:paraId="286E603D" w14:textId="77777777" w:rsidR="000E5F59" w:rsidRPr="001C1A86" w:rsidRDefault="000E5F59" w:rsidP="006C2AF4">
            <w:pPr>
              <w:keepNext/>
              <w:keepLines/>
              <w:ind w:left="130" w:right="-40" w:hanging="170"/>
              <w:jc w:val="center"/>
              <w:rPr>
                <w:rFonts w:cs="Arial"/>
                <w:b/>
                <w:color w:val="000000" w:themeColor="text1"/>
                <w:sz w:val="14"/>
                <w:szCs w:val="14"/>
                <w:lang w:val="en-US"/>
              </w:rPr>
            </w:pPr>
            <w:r w:rsidRPr="001C1A86">
              <w:rPr>
                <w:rFonts w:cs="Arial"/>
                <w:b/>
                <w:bCs/>
                <w:color w:val="000000" w:themeColor="text1"/>
                <w:sz w:val="14"/>
                <w:szCs w:val="14"/>
                <w:lang w:val="en-US"/>
              </w:rPr>
              <w:t>Application</w:t>
            </w:r>
          </w:p>
        </w:tc>
        <w:tc>
          <w:tcPr>
            <w:tcW w:w="1560" w:type="dxa"/>
            <w:tcBorders>
              <w:top w:val="single" w:sz="4" w:space="0" w:color="auto"/>
              <w:left w:val="single" w:sz="18" w:space="0" w:color="auto"/>
              <w:bottom w:val="single" w:sz="18" w:space="0" w:color="auto"/>
              <w:right w:val="single" w:sz="4" w:space="0" w:color="auto"/>
            </w:tcBorders>
            <w:vAlign w:val="center"/>
          </w:tcPr>
          <w:p w14:paraId="2D6EC9C5" w14:textId="77777777" w:rsidR="000E5F59" w:rsidRPr="001C1A86" w:rsidRDefault="000E5F59" w:rsidP="006C2AF4">
            <w:pPr>
              <w:keepNext/>
              <w:keepLines/>
              <w:ind w:left="130" w:right="-40" w:hanging="170"/>
              <w:jc w:val="center"/>
              <w:rPr>
                <w:rFonts w:cs="Arial"/>
                <w:b/>
                <w:color w:val="000000" w:themeColor="text1"/>
                <w:sz w:val="14"/>
                <w:szCs w:val="14"/>
                <w:lang w:val="en-US"/>
              </w:rPr>
            </w:pPr>
            <w:r w:rsidRPr="001C1A86">
              <w:rPr>
                <w:rFonts w:cs="Arial"/>
                <w:b/>
                <w:bCs/>
                <w:color w:val="000000" w:themeColor="text1"/>
                <w:sz w:val="14"/>
                <w:szCs w:val="14"/>
                <w:lang w:val="en-US"/>
              </w:rPr>
              <w:t>Document</w:t>
            </w:r>
          </w:p>
        </w:tc>
        <w:tc>
          <w:tcPr>
            <w:tcW w:w="2410" w:type="dxa"/>
            <w:tcBorders>
              <w:top w:val="single" w:sz="4" w:space="0" w:color="auto"/>
              <w:left w:val="single" w:sz="4" w:space="0" w:color="auto"/>
              <w:bottom w:val="single" w:sz="18" w:space="0" w:color="auto"/>
              <w:right w:val="single" w:sz="18" w:space="0" w:color="auto"/>
            </w:tcBorders>
            <w:vAlign w:val="center"/>
          </w:tcPr>
          <w:p w14:paraId="0E3F5A98" w14:textId="77777777" w:rsidR="000E5F59" w:rsidRPr="001C1A86" w:rsidRDefault="000E5F59" w:rsidP="006C2AF4">
            <w:pPr>
              <w:pStyle w:val="Hanging035"/>
              <w:tabs>
                <w:tab w:val="left" w:pos="170"/>
              </w:tabs>
              <w:ind w:left="130" w:right="-40" w:hanging="170"/>
              <w:jc w:val="center"/>
              <w:rPr>
                <w:rFonts w:cs="Arial"/>
                <w:b/>
                <w:color w:val="000000" w:themeColor="text1"/>
                <w:szCs w:val="14"/>
                <w:lang w:val="en-US"/>
              </w:rPr>
            </w:pPr>
            <w:r w:rsidRPr="001C1A86">
              <w:rPr>
                <w:rFonts w:cs="Arial"/>
                <w:b/>
                <w:bCs/>
                <w:color w:val="000000" w:themeColor="text1"/>
                <w:szCs w:val="14"/>
                <w:lang w:val="en-US"/>
              </w:rPr>
              <w:t>Additional rule</w:t>
            </w:r>
          </w:p>
        </w:tc>
      </w:tr>
      <w:tr w:rsidR="000E5F59" w:rsidRPr="001C1A86" w14:paraId="6EA166DD" w14:textId="77777777" w:rsidTr="000E5F59">
        <w:trPr>
          <w:cantSplit/>
        </w:trPr>
        <w:tc>
          <w:tcPr>
            <w:tcW w:w="1700" w:type="dxa"/>
            <w:tcBorders>
              <w:top w:val="single" w:sz="18" w:space="0" w:color="auto"/>
              <w:left w:val="single" w:sz="18" w:space="0" w:color="auto"/>
              <w:bottom w:val="single" w:sz="4" w:space="0" w:color="auto"/>
              <w:right w:val="nil"/>
            </w:tcBorders>
          </w:tcPr>
          <w:p w14:paraId="632D1C9E" w14:textId="45EDD3AA" w:rsidR="000E5F59" w:rsidRPr="001C1A86" w:rsidRDefault="000E5F59" w:rsidP="001C1A86">
            <w:pPr>
              <w:keepNext/>
              <w:keepLines/>
              <w:spacing w:after="0" w:line="240" w:lineRule="auto"/>
              <w:ind w:left="130" w:right="-57" w:hanging="170"/>
              <w:jc w:val="left"/>
              <w:rPr>
                <w:rFonts w:ascii="Arial" w:eastAsia="Times New Roman" w:hAnsi="Arial" w:cs="Arial"/>
                <w:b/>
                <w:color w:val="000000"/>
                <w:sz w:val="14"/>
                <w:szCs w:val="14"/>
                <w:lang w:val="en-US"/>
              </w:rPr>
            </w:pPr>
            <w:r w:rsidRPr="001C1A86">
              <w:rPr>
                <w:rFonts w:ascii="Arial" w:eastAsia="Times New Roman" w:hAnsi="Arial" w:cs="Arial"/>
                <w:b/>
                <w:bCs/>
                <w:color w:val="000000"/>
                <w:sz w:val="14"/>
                <w:szCs w:val="14"/>
                <w:lang w:val="en-US"/>
              </w:rPr>
              <w:t>31</w:t>
            </w:r>
            <w:r w:rsidR="001C1A86" w:rsidRPr="001C1A86">
              <w:rPr>
                <w:rFonts w:ascii="Arial" w:eastAsia="Times New Roman" w:hAnsi="Arial" w:cs="Arial"/>
                <w:b/>
                <w:bCs/>
                <w:color w:val="000000"/>
                <w:sz w:val="14"/>
                <w:szCs w:val="14"/>
                <w:lang w:val="en-US"/>
              </w:rPr>
              <w:t>.</w:t>
            </w:r>
            <w:r w:rsidRPr="001C1A86">
              <w:rPr>
                <w:rFonts w:ascii="Arial" w:eastAsia="Times New Roman" w:hAnsi="Arial" w:cs="Arial"/>
                <w:b/>
                <w:bCs/>
                <w:color w:val="000000"/>
                <w:sz w:val="14"/>
                <w:szCs w:val="14"/>
                <w:lang w:val="en-US"/>
              </w:rPr>
              <w:t>8</w:t>
            </w:r>
            <w:r w:rsidRPr="001C1A86">
              <w:rPr>
                <w:rFonts w:ascii="Arial" w:eastAsia="Times New Roman" w:hAnsi="Arial" w:cs="Arial"/>
                <w:b/>
                <w:bCs/>
                <w:color w:val="000000"/>
                <w:sz w:val="14"/>
                <w:szCs w:val="14"/>
                <w:lang w:val="en-US"/>
              </w:rPr>
              <w:sym w:font="Symbol" w:char="F02D"/>
            </w:r>
            <w:r w:rsidRPr="001C1A86">
              <w:rPr>
                <w:rFonts w:ascii="Arial" w:eastAsia="Times New Roman" w:hAnsi="Arial" w:cs="Arial"/>
                <w:b/>
                <w:bCs/>
                <w:color w:val="000000"/>
                <w:sz w:val="14"/>
                <w:szCs w:val="14"/>
                <w:lang w:val="en-US"/>
              </w:rPr>
              <w:t>33 GHz</w:t>
            </w:r>
          </w:p>
        </w:tc>
        <w:tc>
          <w:tcPr>
            <w:tcW w:w="708" w:type="dxa"/>
            <w:tcBorders>
              <w:top w:val="single" w:sz="18" w:space="0" w:color="auto"/>
              <w:left w:val="nil"/>
              <w:bottom w:val="single" w:sz="4" w:space="0" w:color="auto"/>
              <w:right w:val="nil"/>
            </w:tcBorders>
          </w:tcPr>
          <w:p w14:paraId="54AFCB83"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5" w:type="dxa"/>
            <w:tcBorders>
              <w:top w:val="single" w:sz="18" w:space="0" w:color="auto"/>
              <w:left w:val="nil"/>
              <w:bottom w:val="single" w:sz="4" w:space="0" w:color="auto"/>
              <w:right w:val="nil"/>
            </w:tcBorders>
          </w:tcPr>
          <w:p w14:paraId="771F52ED"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6" w:type="dxa"/>
            <w:tcBorders>
              <w:top w:val="single" w:sz="18" w:space="0" w:color="auto"/>
              <w:left w:val="nil"/>
              <w:bottom w:val="single" w:sz="4" w:space="0" w:color="auto"/>
              <w:right w:val="nil"/>
            </w:tcBorders>
          </w:tcPr>
          <w:p w14:paraId="07BD5559"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5" w:type="dxa"/>
            <w:tcBorders>
              <w:top w:val="single" w:sz="18" w:space="0" w:color="auto"/>
              <w:left w:val="nil"/>
              <w:bottom w:val="single" w:sz="4" w:space="0" w:color="auto"/>
              <w:right w:val="nil"/>
            </w:tcBorders>
          </w:tcPr>
          <w:p w14:paraId="057FE591"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2127" w:type="dxa"/>
            <w:tcBorders>
              <w:top w:val="single" w:sz="18" w:space="0" w:color="auto"/>
              <w:left w:val="nil"/>
              <w:bottom w:val="single" w:sz="4" w:space="0" w:color="auto"/>
              <w:right w:val="nil"/>
            </w:tcBorders>
          </w:tcPr>
          <w:p w14:paraId="1696A1ED"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p>
        </w:tc>
        <w:tc>
          <w:tcPr>
            <w:tcW w:w="1560" w:type="dxa"/>
            <w:tcBorders>
              <w:top w:val="single" w:sz="18" w:space="0" w:color="auto"/>
              <w:left w:val="nil"/>
              <w:bottom w:val="single" w:sz="4" w:space="0" w:color="auto"/>
              <w:right w:val="nil"/>
            </w:tcBorders>
          </w:tcPr>
          <w:p w14:paraId="2BCEC80E"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p>
        </w:tc>
        <w:tc>
          <w:tcPr>
            <w:tcW w:w="2410" w:type="dxa"/>
            <w:tcBorders>
              <w:top w:val="single" w:sz="18" w:space="0" w:color="auto"/>
              <w:left w:val="nil"/>
              <w:bottom w:val="single" w:sz="4" w:space="0" w:color="auto"/>
              <w:right w:val="single" w:sz="18" w:space="0" w:color="auto"/>
            </w:tcBorders>
          </w:tcPr>
          <w:p w14:paraId="36DD9B73"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p>
        </w:tc>
      </w:tr>
      <w:tr w:rsidR="000E5F59" w:rsidRPr="001C1A86" w14:paraId="59DF7430" w14:textId="77777777" w:rsidTr="000E5F59">
        <w:trPr>
          <w:cantSplit/>
        </w:trPr>
        <w:tc>
          <w:tcPr>
            <w:tcW w:w="1700" w:type="dxa"/>
            <w:tcBorders>
              <w:top w:val="single" w:sz="4" w:space="0" w:color="auto"/>
              <w:left w:val="single" w:sz="18" w:space="0" w:color="auto"/>
              <w:bottom w:val="nil"/>
              <w:right w:val="single" w:sz="4" w:space="0" w:color="auto"/>
            </w:tcBorders>
          </w:tcPr>
          <w:p w14:paraId="6DF79BA5" w14:textId="77777777" w:rsidR="000E5F59" w:rsidRPr="00215BFC" w:rsidRDefault="000E5F59" w:rsidP="00094082">
            <w:pPr>
              <w:spacing w:after="0" w:line="240" w:lineRule="auto"/>
              <w:ind w:left="130" w:right="-57" w:hanging="170"/>
              <w:jc w:val="left"/>
              <w:rPr>
                <w:rFonts w:ascii="Arial" w:eastAsia="Times New Roman" w:hAnsi="Arial" w:cs="Arial"/>
                <w:color w:val="000000"/>
                <w:sz w:val="14"/>
                <w:szCs w:val="14"/>
                <w:lang w:val="en-US"/>
              </w:rPr>
            </w:pPr>
            <w:r w:rsidRPr="00215BFC">
              <w:rPr>
                <w:rFonts w:ascii="Arial" w:eastAsia="Times New Roman" w:hAnsi="Arial" w:cs="Arial"/>
                <w:color w:val="000000"/>
                <w:sz w:val="14"/>
                <w:szCs w:val="14"/>
                <w:lang w:val="en-US"/>
              </w:rPr>
              <w:t>FIXED</w:t>
            </w:r>
          </w:p>
        </w:tc>
        <w:tc>
          <w:tcPr>
            <w:tcW w:w="708" w:type="dxa"/>
            <w:tcBorders>
              <w:top w:val="single" w:sz="4" w:space="0" w:color="auto"/>
              <w:left w:val="single" w:sz="4" w:space="0" w:color="auto"/>
              <w:bottom w:val="nil"/>
              <w:right w:val="single" w:sz="4" w:space="0" w:color="auto"/>
            </w:tcBorders>
          </w:tcPr>
          <w:p w14:paraId="4F1B08C5" w14:textId="77777777" w:rsidR="000E5F59" w:rsidRPr="00215BFC"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215BFC">
              <w:rPr>
                <w:rFonts w:ascii="Arial" w:eastAsia="Times New Roman" w:hAnsi="Arial" w:cs="Arial"/>
                <w:color w:val="000000"/>
                <w:sz w:val="14"/>
                <w:szCs w:val="14"/>
                <w:lang w:val="en-US"/>
              </w:rPr>
              <w:t>5.547</w:t>
            </w:r>
          </w:p>
          <w:p w14:paraId="5B2C42E9" w14:textId="77777777" w:rsidR="000E5F59" w:rsidRPr="00215BFC"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215BFC">
              <w:rPr>
                <w:rFonts w:ascii="Arial" w:eastAsia="Times New Roman" w:hAnsi="Arial" w:cs="Arial"/>
                <w:color w:val="000000"/>
                <w:sz w:val="14"/>
                <w:szCs w:val="14"/>
                <w:lang w:val="en-US"/>
              </w:rPr>
              <w:t>5.547A</w:t>
            </w:r>
          </w:p>
        </w:tc>
        <w:tc>
          <w:tcPr>
            <w:tcW w:w="425" w:type="dxa"/>
            <w:tcBorders>
              <w:top w:val="single" w:sz="4" w:space="0" w:color="auto"/>
              <w:left w:val="single" w:sz="4" w:space="0" w:color="auto"/>
              <w:bottom w:val="nil"/>
              <w:right w:val="single" w:sz="18" w:space="0" w:color="auto"/>
            </w:tcBorders>
          </w:tcPr>
          <w:p w14:paraId="4C0FBA36" w14:textId="77777777" w:rsidR="000E5F59" w:rsidRPr="00215BFC"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215BFC">
              <w:rPr>
                <w:rFonts w:ascii="Arial" w:eastAsia="Times New Roman" w:hAnsi="Arial" w:cs="Arial"/>
                <w:color w:val="000000"/>
                <w:sz w:val="14"/>
                <w:szCs w:val="14"/>
                <w:lang w:val="en-US"/>
              </w:rPr>
              <w:t>C</w:t>
            </w:r>
          </w:p>
        </w:tc>
        <w:tc>
          <w:tcPr>
            <w:tcW w:w="426" w:type="dxa"/>
            <w:tcBorders>
              <w:top w:val="single" w:sz="4" w:space="0" w:color="auto"/>
              <w:left w:val="single" w:sz="18" w:space="0" w:color="auto"/>
              <w:bottom w:val="single" w:sz="4" w:space="0" w:color="auto"/>
              <w:right w:val="single" w:sz="4" w:space="0" w:color="auto"/>
            </w:tcBorders>
          </w:tcPr>
          <w:p w14:paraId="12679418" w14:textId="77777777" w:rsidR="000E5F59" w:rsidRPr="00215BFC"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215BFC">
              <w:rPr>
                <w:rFonts w:ascii="Arial" w:eastAsia="Times New Roman" w:hAnsi="Arial" w:cs="Arial"/>
                <w:color w:val="000000"/>
                <w:sz w:val="14"/>
                <w:szCs w:val="14"/>
                <w:lang w:val="en-US"/>
              </w:rPr>
              <w:t>1</w:t>
            </w:r>
          </w:p>
        </w:tc>
        <w:tc>
          <w:tcPr>
            <w:tcW w:w="425" w:type="dxa"/>
            <w:tcBorders>
              <w:top w:val="single" w:sz="4" w:space="0" w:color="auto"/>
              <w:left w:val="single" w:sz="4" w:space="0" w:color="auto"/>
              <w:bottom w:val="single" w:sz="4" w:space="0" w:color="auto"/>
              <w:right w:val="single" w:sz="4" w:space="0" w:color="auto"/>
            </w:tcBorders>
          </w:tcPr>
          <w:p w14:paraId="2AA91478" w14:textId="77777777" w:rsidR="000E5F59" w:rsidRPr="00215BFC"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215BFC">
              <w:rPr>
                <w:rFonts w:ascii="Arial" w:eastAsia="Times New Roman" w:hAnsi="Arial" w:cs="Arial"/>
                <w:color w:val="000000"/>
                <w:sz w:val="14"/>
                <w:szCs w:val="14"/>
                <w:lang w:val="en-US"/>
              </w:rPr>
              <w:t>D</w:t>
            </w:r>
          </w:p>
        </w:tc>
        <w:tc>
          <w:tcPr>
            <w:tcW w:w="2127" w:type="dxa"/>
            <w:tcBorders>
              <w:top w:val="single" w:sz="4" w:space="0" w:color="auto"/>
              <w:left w:val="single" w:sz="4" w:space="0" w:color="auto"/>
              <w:bottom w:val="single" w:sz="4" w:space="0" w:color="auto"/>
              <w:right w:val="single" w:sz="18" w:space="0" w:color="auto"/>
            </w:tcBorders>
          </w:tcPr>
          <w:p w14:paraId="3382F877" w14:textId="16F14CC4"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215BFC">
              <w:rPr>
                <w:rFonts w:ascii="Arial" w:eastAsia="Times New Roman" w:hAnsi="Arial" w:cs="Arial"/>
                <w:color w:val="000000"/>
                <w:sz w:val="14"/>
                <w:szCs w:val="14"/>
                <w:lang w:val="en-US"/>
              </w:rPr>
              <w:t>32 GHz-band fixed</w:t>
            </w:r>
            <w:r w:rsidR="00F7211D" w:rsidRPr="00215BFC">
              <w:rPr>
                <w:rFonts w:ascii="Arial" w:eastAsia="Times New Roman" w:hAnsi="Arial" w:cs="Arial"/>
                <w:color w:val="000000"/>
                <w:sz w:val="14"/>
                <w:szCs w:val="14"/>
                <w:lang w:val="en-US"/>
              </w:rPr>
              <w:t>-site</w:t>
            </w:r>
            <w:r w:rsidRPr="00215BFC">
              <w:rPr>
                <w:rFonts w:ascii="Arial" w:eastAsia="Times New Roman" w:hAnsi="Arial" w:cs="Arial"/>
                <w:color w:val="000000"/>
                <w:sz w:val="14"/>
                <w:szCs w:val="14"/>
                <w:lang w:val="en-US"/>
              </w:rPr>
              <w:t xml:space="preserve"> </w:t>
            </w:r>
            <w:r w:rsidRPr="001C1A86">
              <w:rPr>
                <w:rFonts w:ascii="Arial" w:eastAsia="Times New Roman" w:hAnsi="Arial" w:cs="Arial"/>
                <w:color w:val="000000"/>
                <w:sz w:val="14"/>
                <w:szCs w:val="14"/>
                <w:lang w:val="en-US"/>
              </w:rPr>
              <w:t>digital point-to-point systems</w:t>
            </w:r>
          </w:p>
        </w:tc>
        <w:tc>
          <w:tcPr>
            <w:tcW w:w="1560" w:type="dxa"/>
            <w:tcBorders>
              <w:top w:val="single" w:sz="4" w:space="0" w:color="auto"/>
              <w:left w:val="single" w:sz="18" w:space="0" w:color="auto"/>
              <w:bottom w:val="single" w:sz="4" w:space="0" w:color="auto"/>
              <w:right w:val="single" w:sz="4" w:space="0" w:color="auto"/>
            </w:tcBorders>
          </w:tcPr>
          <w:p w14:paraId="4282C1E6"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ITU</w:t>
            </w:r>
            <w:r w:rsidRPr="001C1A86">
              <w:rPr>
                <w:rFonts w:ascii="Arial" w:eastAsia="Times New Roman" w:hAnsi="Arial" w:cs="Arial"/>
                <w:color w:val="000000"/>
                <w:sz w:val="14"/>
                <w:szCs w:val="14"/>
                <w:lang w:val="en-US"/>
              </w:rPr>
              <w:noBreakHyphen/>
              <w:t>R F.1191</w:t>
            </w:r>
            <w:r w:rsidRPr="001C1A86">
              <w:rPr>
                <w:rFonts w:ascii="Arial" w:eastAsia="Times New Roman" w:hAnsi="Arial" w:cs="Arial"/>
                <w:color w:val="000000"/>
                <w:sz w:val="14"/>
                <w:szCs w:val="14"/>
                <w:lang w:val="en-US"/>
              </w:rPr>
              <w:noBreakHyphen/>
              <w:t>3</w:t>
            </w:r>
          </w:p>
          <w:p w14:paraId="2D557823"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ERC/REC/(01)02</w:t>
            </w:r>
          </w:p>
          <w:p w14:paraId="42EE998D"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MSZ EN 302 217</w:t>
            </w:r>
            <w:r w:rsidRPr="001C1A86">
              <w:rPr>
                <w:rFonts w:ascii="Arial" w:eastAsia="Times New Roman" w:hAnsi="Arial" w:cs="Arial"/>
                <w:color w:val="000000"/>
                <w:sz w:val="14"/>
                <w:szCs w:val="14"/>
                <w:lang w:val="en-US"/>
              </w:rPr>
              <w:noBreakHyphen/>
              <w:t>2</w:t>
            </w:r>
          </w:p>
        </w:tc>
        <w:tc>
          <w:tcPr>
            <w:tcW w:w="2410" w:type="dxa"/>
            <w:tcBorders>
              <w:top w:val="single" w:sz="4" w:space="0" w:color="auto"/>
              <w:left w:val="single" w:sz="4" w:space="0" w:color="auto"/>
              <w:bottom w:val="single" w:sz="4" w:space="0" w:color="auto"/>
              <w:right w:val="single" w:sz="18" w:space="0" w:color="auto"/>
            </w:tcBorders>
          </w:tcPr>
          <w:p w14:paraId="568590F6"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3, section 2.5</w:t>
            </w:r>
          </w:p>
          <w:p w14:paraId="5D1705EE"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3, section 2.13</w:t>
            </w:r>
          </w:p>
          <w:p w14:paraId="574B7020"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3, section 3.13</w:t>
            </w:r>
          </w:p>
          <w:p w14:paraId="04194E5A"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4</w:t>
            </w:r>
          </w:p>
        </w:tc>
      </w:tr>
      <w:tr w:rsidR="000E5F59" w:rsidRPr="001C1A86" w14:paraId="48A2AF8D" w14:textId="77777777" w:rsidTr="000E5F59">
        <w:trPr>
          <w:cantSplit/>
        </w:trPr>
        <w:tc>
          <w:tcPr>
            <w:tcW w:w="1700" w:type="dxa"/>
            <w:tcBorders>
              <w:top w:val="nil"/>
              <w:left w:val="single" w:sz="18" w:space="0" w:color="auto"/>
              <w:bottom w:val="nil"/>
              <w:right w:val="single" w:sz="4" w:space="0" w:color="auto"/>
            </w:tcBorders>
          </w:tcPr>
          <w:p w14:paraId="01341BAA" w14:textId="77777777" w:rsidR="000E5F59" w:rsidRPr="001C1A86" w:rsidRDefault="000E5F59" w:rsidP="00094082">
            <w:pPr>
              <w:spacing w:after="0" w:line="240" w:lineRule="auto"/>
              <w:ind w:left="130" w:right="-57" w:hanging="170"/>
              <w:jc w:val="left"/>
              <w:rPr>
                <w:rFonts w:ascii="Arial" w:eastAsia="Times New Roman" w:hAnsi="Arial" w:cs="Arial"/>
                <w:color w:val="000000"/>
                <w:sz w:val="14"/>
                <w:szCs w:val="14"/>
                <w:lang w:val="en-US"/>
              </w:rPr>
            </w:pPr>
          </w:p>
        </w:tc>
        <w:tc>
          <w:tcPr>
            <w:tcW w:w="708" w:type="dxa"/>
            <w:tcBorders>
              <w:top w:val="nil"/>
              <w:left w:val="single" w:sz="4" w:space="0" w:color="auto"/>
              <w:bottom w:val="nil"/>
              <w:right w:val="single" w:sz="4" w:space="0" w:color="auto"/>
            </w:tcBorders>
          </w:tcPr>
          <w:p w14:paraId="471609DF"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5" w:type="dxa"/>
            <w:tcBorders>
              <w:top w:val="nil"/>
              <w:left w:val="single" w:sz="4" w:space="0" w:color="auto"/>
              <w:bottom w:val="nil"/>
              <w:right w:val="single" w:sz="18" w:space="0" w:color="auto"/>
            </w:tcBorders>
          </w:tcPr>
          <w:p w14:paraId="338583EF"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6" w:type="dxa"/>
            <w:tcBorders>
              <w:top w:val="single" w:sz="4" w:space="0" w:color="auto"/>
              <w:left w:val="single" w:sz="18" w:space="0" w:color="auto"/>
              <w:bottom w:val="dashed" w:sz="4" w:space="0" w:color="auto"/>
              <w:right w:val="single" w:sz="4" w:space="0" w:color="auto"/>
            </w:tcBorders>
          </w:tcPr>
          <w:p w14:paraId="2423378D"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1</w:t>
            </w:r>
          </w:p>
        </w:tc>
        <w:tc>
          <w:tcPr>
            <w:tcW w:w="425" w:type="dxa"/>
            <w:tcBorders>
              <w:top w:val="single" w:sz="4" w:space="0" w:color="auto"/>
              <w:left w:val="single" w:sz="4" w:space="0" w:color="auto"/>
              <w:bottom w:val="dashed" w:sz="4" w:space="0" w:color="auto"/>
              <w:right w:val="single" w:sz="4" w:space="0" w:color="auto"/>
            </w:tcBorders>
          </w:tcPr>
          <w:p w14:paraId="7616D9E3" w14:textId="77777777" w:rsidR="000E5F59" w:rsidRPr="001C1A86" w:rsidDel="008A525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D</w:t>
            </w:r>
          </w:p>
        </w:tc>
        <w:tc>
          <w:tcPr>
            <w:tcW w:w="2127" w:type="dxa"/>
            <w:tcBorders>
              <w:top w:val="single" w:sz="4" w:space="0" w:color="auto"/>
              <w:left w:val="single" w:sz="4" w:space="0" w:color="auto"/>
              <w:bottom w:val="dashed" w:sz="4" w:space="0" w:color="auto"/>
              <w:right w:val="single" w:sz="18" w:space="0" w:color="auto"/>
            </w:tcBorders>
          </w:tcPr>
          <w:p w14:paraId="65B1C61C"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32 GHz-band digital point-to-multipoint systems</w:t>
            </w:r>
          </w:p>
        </w:tc>
        <w:tc>
          <w:tcPr>
            <w:tcW w:w="1560" w:type="dxa"/>
            <w:tcBorders>
              <w:top w:val="single" w:sz="4" w:space="0" w:color="auto"/>
              <w:left w:val="single" w:sz="18" w:space="0" w:color="auto"/>
              <w:bottom w:val="dashed" w:sz="4" w:space="0" w:color="auto"/>
              <w:right w:val="single" w:sz="4" w:space="0" w:color="auto"/>
            </w:tcBorders>
          </w:tcPr>
          <w:p w14:paraId="700A08B2"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ERC/REC/(01)02, ECC/REC/(11)01</w:t>
            </w:r>
          </w:p>
          <w:p w14:paraId="4BFC7D6A"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MSZ EN 302 326</w:t>
            </w:r>
            <w:r w:rsidRPr="001C1A86">
              <w:rPr>
                <w:rFonts w:ascii="Arial" w:eastAsia="Times New Roman" w:hAnsi="Arial" w:cs="Arial"/>
                <w:color w:val="000000"/>
                <w:sz w:val="14"/>
                <w:szCs w:val="14"/>
                <w:lang w:val="en-US"/>
              </w:rPr>
              <w:noBreakHyphen/>
              <w:t>2, MSZ EN 302 326</w:t>
            </w:r>
            <w:r w:rsidRPr="001C1A86">
              <w:rPr>
                <w:rFonts w:ascii="Arial" w:eastAsia="Times New Roman" w:hAnsi="Arial" w:cs="Arial"/>
                <w:color w:val="000000"/>
                <w:sz w:val="14"/>
                <w:szCs w:val="14"/>
                <w:lang w:val="en-US"/>
              </w:rPr>
              <w:noBreakHyphen/>
              <w:t>3</w:t>
            </w:r>
          </w:p>
        </w:tc>
        <w:tc>
          <w:tcPr>
            <w:tcW w:w="2410" w:type="dxa"/>
            <w:tcBorders>
              <w:top w:val="single" w:sz="4" w:space="0" w:color="auto"/>
              <w:left w:val="single" w:sz="4" w:space="0" w:color="auto"/>
              <w:bottom w:val="dashed" w:sz="4" w:space="0" w:color="auto"/>
              <w:right w:val="single" w:sz="18" w:space="0" w:color="auto"/>
            </w:tcBorders>
          </w:tcPr>
          <w:p w14:paraId="306422F3"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3, section 2.13</w:t>
            </w:r>
          </w:p>
          <w:p w14:paraId="0C9D9D25"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3, section 3.13</w:t>
            </w:r>
          </w:p>
          <w:p w14:paraId="15A25841"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4</w:t>
            </w:r>
          </w:p>
          <w:p w14:paraId="102077DA"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User stations are exempted from the obligation of individual licensing.</w:t>
            </w:r>
          </w:p>
        </w:tc>
      </w:tr>
      <w:tr w:rsidR="000E5F59" w:rsidRPr="001C1A86" w14:paraId="67E6FC0C" w14:textId="77777777" w:rsidTr="000E5F59">
        <w:trPr>
          <w:cantSplit/>
        </w:trPr>
        <w:tc>
          <w:tcPr>
            <w:tcW w:w="1700" w:type="dxa"/>
            <w:tcBorders>
              <w:top w:val="nil"/>
              <w:left w:val="single" w:sz="18" w:space="0" w:color="auto"/>
              <w:bottom w:val="single" w:sz="4" w:space="0" w:color="auto"/>
              <w:right w:val="single" w:sz="4" w:space="0" w:color="auto"/>
            </w:tcBorders>
          </w:tcPr>
          <w:p w14:paraId="3497F8FF" w14:textId="77777777" w:rsidR="000E5F59" w:rsidRPr="001C1A86" w:rsidRDefault="000E5F59" w:rsidP="00094082">
            <w:pPr>
              <w:spacing w:after="0" w:line="240" w:lineRule="auto"/>
              <w:ind w:left="130" w:right="-57" w:hanging="170"/>
              <w:jc w:val="left"/>
              <w:rPr>
                <w:rFonts w:ascii="Arial" w:eastAsia="Times New Roman" w:hAnsi="Arial" w:cs="Arial"/>
                <w:color w:val="000000"/>
                <w:sz w:val="14"/>
                <w:szCs w:val="14"/>
                <w:lang w:val="en-US"/>
              </w:rPr>
            </w:pPr>
          </w:p>
        </w:tc>
        <w:tc>
          <w:tcPr>
            <w:tcW w:w="708" w:type="dxa"/>
            <w:tcBorders>
              <w:top w:val="nil"/>
              <w:left w:val="single" w:sz="4" w:space="0" w:color="auto"/>
              <w:bottom w:val="single" w:sz="4" w:space="0" w:color="auto"/>
              <w:right w:val="single" w:sz="4" w:space="0" w:color="auto"/>
            </w:tcBorders>
          </w:tcPr>
          <w:p w14:paraId="4538172B"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5" w:type="dxa"/>
            <w:tcBorders>
              <w:top w:val="nil"/>
              <w:left w:val="single" w:sz="4" w:space="0" w:color="auto"/>
              <w:bottom w:val="single" w:sz="4" w:space="0" w:color="auto"/>
              <w:right w:val="single" w:sz="18" w:space="0" w:color="auto"/>
            </w:tcBorders>
          </w:tcPr>
          <w:p w14:paraId="13DD9FDF"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6" w:type="dxa"/>
            <w:tcBorders>
              <w:top w:val="dashed" w:sz="4" w:space="0" w:color="auto"/>
              <w:left w:val="single" w:sz="18" w:space="0" w:color="auto"/>
              <w:bottom w:val="single" w:sz="4" w:space="0" w:color="auto"/>
              <w:right w:val="single" w:sz="4" w:space="0" w:color="auto"/>
            </w:tcBorders>
          </w:tcPr>
          <w:p w14:paraId="384AD9EC"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1</w:t>
            </w:r>
          </w:p>
        </w:tc>
        <w:tc>
          <w:tcPr>
            <w:tcW w:w="425" w:type="dxa"/>
            <w:tcBorders>
              <w:top w:val="dashed" w:sz="4" w:space="0" w:color="auto"/>
              <w:left w:val="single" w:sz="4" w:space="0" w:color="auto"/>
              <w:bottom w:val="single" w:sz="4" w:space="0" w:color="auto"/>
              <w:right w:val="single" w:sz="4" w:space="0" w:color="auto"/>
            </w:tcBorders>
          </w:tcPr>
          <w:p w14:paraId="2A96F725" w14:textId="77777777" w:rsidR="000E5F59" w:rsidRPr="001C1A86" w:rsidDel="008A525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D</w:t>
            </w:r>
          </w:p>
        </w:tc>
        <w:tc>
          <w:tcPr>
            <w:tcW w:w="2127" w:type="dxa"/>
            <w:tcBorders>
              <w:top w:val="dashed" w:sz="4" w:space="0" w:color="auto"/>
              <w:left w:val="single" w:sz="4" w:space="0" w:color="auto"/>
              <w:bottom w:val="single" w:sz="4" w:space="0" w:color="auto"/>
              <w:right w:val="single" w:sz="18" w:space="0" w:color="auto"/>
            </w:tcBorders>
          </w:tcPr>
          <w:p w14:paraId="7C941A0F"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FWA</w:t>
            </w:r>
          </w:p>
        </w:tc>
        <w:tc>
          <w:tcPr>
            <w:tcW w:w="1560" w:type="dxa"/>
            <w:tcBorders>
              <w:top w:val="dashed" w:sz="4" w:space="0" w:color="auto"/>
              <w:left w:val="single" w:sz="18" w:space="0" w:color="auto"/>
              <w:bottom w:val="single" w:sz="4" w:space="0" w:color="auto"/>
              <w:right w:val="single" w:sz="4" w:space="0" w:color="auto"/>
            </w:tcBorders>
          </w:tcPr>
          <w:p w14:paraId="58B8A690"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p>
        </w:tc>
        <w:tc>
          <w:tcPr>
            <w:tcW w:w="2410" w:type="dxa"/>
            <w:tcBorders>
              <w:top w:val="dashed" w:sz="4" w:space="0" w:color="auto"/>
              <w:left w:val="single" w:sz="4" w:space="0" w:color="auto"/>
              <w:bottom w:val="single" w:sz="4" w:space="0" w:color="auto"/>
              <w:right w:val="single" w:sz="18" w:space="0" w:color="auto"/>
            </w:tcBorders>
          </w:tcPr>
          <w:p w14:paraId="3EDAB88E"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p>
        </w:tc>
      </w:tr>
      <w:tr w:rsidR="000E5F59" w:rsidRPr="001C1A86" w14:paraId="29ABC0A6" w14:textId="77777777" w:rsidTr="000E5F59">
        <w:trPr>
          <w:cantSplit/>
        </w:trPr>
        <w:tc>
          <w:tcPr>
            <w:tcW w:w="1700" w:type="dxa"/>
            <w:tcBorders>
              <w:top w:val="single" w:sz="4" w:space="0" w:color="auto"/>
              <w:left w:val="single" w:sz="18" w:space="0" w:color="auto"/>
              <w:bottom w:val="nil"/>
              <w:right w:val="single" w:sz="4" w:space="0" w:color="auto"/>
            </w:tcBorders>
          </w:tcPr>
          <w:p w14:paraId="3D4756A1" w14:textId="77777777" w:rsidR="000E5F59" w:rsidRPr="001C1A86" w:rsidRDefault="000E5F59" w:rsidP="00094082">
            <w:pPr>
              <w:spacing w:after="0" w:line="240" w:lineRule="auto"/>
              <w:ind w:left="130" w:right="-57"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RADIONAVIGATION</w:t>
            </w:r>
          </w:p>
        </w:tc>
        <w:tc>
          <w:tcPr>
            <w:tcW w:w="708" w:type="dxa"/>
            <w:tcBorders>
              <w:top w:val="single" w:sz="4" w:space="0" w:color="auto"/>
              <w:left w:val="single" w:sz="4" w:space="0" w:color="auto"/>
              <w:bottom w:val="nil"/>
              <w:right w:val="single" w:sz="4" w:space="0" w:color="auto"/>
            </w:tcBorders>
          </w:tcPr>
          <w:p w14:paraId="74D339D3"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5.548</w:t>
            </w:r>
          </w:p>
        </w:tc>
        <w:tc>
          <w:tcPr>
            <w:tcW w:w="425" w:type="dxa"/>
            <w:tcBorders>
              <w:top w:val="single" w:sz="4" w:space="0" w:color="auto"/>
              <w:left w:val="single" w:sz="4" w:space="0" w:color="auto"/>
              <w:bottom w:val="nil"/>
              <w:right w:val="single" w:sz="18" w:space="0" w:color="auto"/>
            </w:tcBorders>
          </w:tcPr>
          <w:p w14:paraId="665E3D99"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J</w:t>
            </w:r>
          </w:p>
        </w:tc>
        <w:tc>
          <w:tcPr>
            <w:tcW w:w="426" w:type="dxa"/>
            <w:tcBorders>
              <w:top w:val="single" w:sz="4" w:space="0" w:color="auto"/>
              <w:left w:val="single" w:sz="18" w:space="0" w:color="auto"/>
              <w:bottom w:val="dashed" w:sz="4" w:space="0" w:color="auto"/>
              <w:right w:val="single" w:sz="4" w:space="0" w:color="auto"/>
            </w:tcBorders>
          </w:tcPr>
          <w:p w14:paraId="486E10CA"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1</w:t>
            </w:r>
          </w:p>
        </w:tc>
        <w:tc>
          <w:tcPr>
            <w:tcW w:w="425" w:type="dxa"/>
            <w:tcBorders>
              <w:top w:val="single" w:sz="4" w:space="0" w:color="auto"/>
              <w:left w:val="single" w:sz="4" w:space="0" w:color="auto"/>
              <w:bottom w:val="dashed" w:sz="4" w:space="0" w:color="auto"/>
              <w:right w:val="single" w:sz="4" w:space="0" w:color="auto"/>
            </w:tcBorders>
          </w:tcPr>
          <w:p w14:paraId="4186F90A"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C</w:t>
            </w:r>
          </w:p>
        </w:tc>
        <w:tc>
          <w:tcPr>
            <w:tcW w:w="2127" w:type="dxa"/>
            <w:tcBorders>
              <w:top w:val="single" w:sz="4" w:space="0" w:color="auto"/>
              <w:left w:val="single" w:sz="4" w:space="0" w:color="auto"/>
              <w:bottom w:val="dashed" w:sz="4" w:space="0" w:color="auto"/>
              <w:right w:val="single" w:sz="18" w:space="0" w:color="auto"/>
            </w:tcBorders>
          </w:tcPr>
          <w:p w14:paraId="720CBE6F"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ASDE</w:t>
            </w:r>
          </w:p>
        </w:tc>
        <w:tc>
          <w:tcPr>
            <w:tcW w:w="1560" w:type="dxa"/>
            <w:tcBorders>
              <w:top w:val="single" w:sz="4" w:space="0" w:color="auto"/>
              <w:left w:val="single" w:sz="18" w:space="0" w:color="auto"/>
              <w:bottom w:val="single" w:sz="4" w:space="0" w:color="auto"/>
              <w:right w:val="single" w:sz="4" w:space="0" w:color="auto"/>
            </w:tcBorders>
          </w:tcPr>
          <w:p w14:paraId="6DF2A54D"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p>
        </w:tc>
        <w:tc>
          <w:tcPr>
            <w:tcW w:w="2410" w:type="dxa"/>
            <w:tcBorders>
              <w:top w:val="single" w:sz="4" w:space="0" w:color="auto"/>
              <w:left w:val="single" w:sz="4" w:space="0" w:color="auto"/>
              <w:bottom w:val="single" w:sz="4" w:space="0" w:color="auto"/>
              <w:right w:val="single" w:sz="18" w:space="0" w:color="auto"/>
            </w:tcBorders>
          </w:tcPr>
          <w:p w14:paraId="10BC7A47"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p>
        </w:tc>
      </w:tr>
      <w:tr w:rsidR="000E5F59" w:rsidRPr="001C1A86" w14:paraId="0044B10F" w14:textId="77777777" w:rsidTr="000E5F59">
        <w:trPr>
          <w:cantSplit/>
        </w:trPr>
        <w:tc>
          <w:tcPr>
            <w:tcW w:w="1700" w:type="dxa"/>
            <w:tcBorders>
              <w:top w:val="single" w:sz="4" w:space="0" w:color="auto"/>
              <w:left w:val="single" w:sz="18" w:space="0" w:color="auto"/>
              <w:bottom w:val="single" w:sz="18" w:space="0" w:color="auto"/>
              <w:right w:val="single" w:sz="4" w:space="0" w:color="auto"/>
            </w:tcBorders>
          </w:tcPr>
          <w:p w14:paraId="52E072F0" w14:textId="51741011" w:rsidR="000E5F59" w:rsidRPr="001C1A86" w:rsidRDefault="000E5F59" w:rsidP="00094082">
            <w:pPr>
              <w:spacing w:after="0" w:line="240" w:lineRule="auto"/>
              <w:ind w:left="130" w:right="-57"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SPACE RESEARCH (deep space) (space-to-Earth) (31</w:t>
            </w:r>
            <w:r w:rsidR="00FD44A7" w:rsidRPr="001C1A86">
              <w:rPr>
                <w:rFonts w:ascii="Arial" w:eastAsia="Times New Roman" w:hAnsi="Arial" w:cs="Arial"/>
                <w:color w:val="000000"/>
                <w:sz w:val="14"/>
                <w:szCs w:val="14"/>
                <w:lang w:val="en-US"/>
              </w:rPr>
              <w:t>.</w:t>
            </w:r>
            <w:r w:rsidRPr="001C1A86">
              <w:rPr>
                <w:rFonts w:ascii="Arial" w:eastAsia="Times New Roman" w:hAnsi="Arial" w:cs="Arial"/>
                <w:color w:val="000000"/>
                <w:sz w:val="14"/>
                <w:szCs w:val="14"/>
                <w:lang w:val="en-US"/>
              </w:rPr>
              <w:t>8–32</w:t>
            </w:r>
            <w:r w:rsidR="00FD44A7" w:rsidRPr="001C1A86">
              <w:rPr>
                <w:rFonts w:ascii="Arial" w:eastAsia="Times New Roman" w:hAnsi="Arial" w:cs="Arial"/>
                <w:color w:val="000000"/>
                <w:sz w:val="14"/>
                <w:szCs w:val="14"/>
                <w:lang w:val="en-US"/>
              </w:rPr>
              <w:t>.</w:t>
            </w:r>
            <w:r w:rsidRPr="001C1A86">
              <w:rPr>
                <w:rFonts w:ascii="Arial" w:eastAsia="Times New Roman" w:hAnsi="Arial" w:cs="Arial"/>
                <w:color w:val="000000"/>
                <w:sz w:val="14"/>
                <w:szCs w:val="14"/>
                <w:lang w:val="en-US"/>
              </w:rPr>
              <w:t>3 GHz)</w:t>
            </w:r>
          </w:p>
        </w:tc>
        <w:tc>
          <w:tcPr>
            <w:tcW w:w="708" w:type="dxa"/>
            <w:tcBorders>
              <w:top w:val="single" w:sz="4" w:space="0" w:color="auto"/>
              <w:left w:val="single" w:sz="4" w:space="0" w:color="auto"/>
              <w:bottom w:val="single" w:sz="18" w:space="0" w:color="auto"/>
              <w:right w:val="single" w:sz="4" w:space="0" w:color="auto"/>
            </w:tcBorders>
          </w:tcPr>
          <w:p w14:paraId="07A63137"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5.548</w:t>
            </w:r>
          </w:p>
        </w:tc>
        <w:tc>
          <w:tcPr>
            <w:tcW w:w="425" w:type="dxa"/>
            <w:tcBorders>
              <w:top w:val="single" w:sz="4" w:space="0" w:color="auto"/>
              <w:left w:val="single" w:sz="4" w:space="0" w:color="auto"/>
              <w:bottom w:val="single" w:sz="18" w:space="0" w:color="auto"/>
              <w:right w:val="single" w:sz="18" w:space="0" w:color="auto"/>
            </w:tcBorders>
          </w:tcPr>
          <w:p w14:paraId="0DBABE29"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C</w:t>
            </w:r>
          </w:p>
        </w:tc>
        <w:tc>
          <w:tcPr>
            <w:tcW w:w="426" w:type="dxa"/>
            <w:tcBorders>
              <w:top w:val="single" w:sz="4" w:space="0" w:color="auto"/>
              <w:left w:val="single" w:sz="18" w:space="0" w:color="auto"/>
              <w:bottom w:val="single" w:sz="18" w:space="0" w:color="auto"/>
              <w:right w:val="single" w:sz="4" w:space="0" w:color="auto"/>
            </w:tcBorders>
          </w:tcPr>
          <w:p w14:paraId="501DE0B1"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1</w:t>
            </w:r>
          </w:p>
        </w:tc>
        <w:tc>
          <w:tcPr>
            <w:tcW w:w="425" w:type="dxa"/>
            <w:tcBorders>
              <w:top w:val="single" w:sz="4" w:space="0" w:color="auto"/>
              <w:left w:val="single" w:sz="4" w:space="0" w:color="auto"/>
              <w:bottom w:val="single" w:sz="18" w:space="0" w:color="auto"/>
              <w:right w:val="single" w:sz="4" w:space="0" w:color="auto"/>
            </w:tcBorders>
          </w:tcPr>
          <w:p w14:paraId="2541D02D"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P</w:t>
            </w:r>
          </w:p>
        </w:tc>
        <w:tc>
          <w:tcPr>
            <w:tcW w:w="2127" w:type="dxa"/>
            <w:tcBorders>
              <w:top w:val="single" w:sz="4" w:space="0" w:color="auto"/>
              <w:left w:val="single" w:sz="4" w:space="0" w:color="auto"/>
              <w:bottom w:val="single" w:sz="18" w:space="0" w:color="auto"/>
              <w:right w:val="single" w:sz="18" w:space="0" w:color="auto"/>
            </w:tcBorders>
          </w:tcPr>
          <w:p w14:paraId="68DC1B12"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Applications of the space research service</w:t>
            </w:r>
          </w:p>
        </w:tc>
        <w:tc>
          <w:tcPr>
            <w:tcW w:w="1560" w:type="dxa"/>
            <w:tcBorders>
              <w:top w:val="single" w:sz="4" w:space="0" w:color="auto"/>
              <w:left w:val="single" w:sz="18" w:space="0" w:color="auto"/>
              <w:bottom w:val="single" w:sz="18" w:space="0" w:color="auto"/>
              <w:right w:val="single" w:sz="4" w:space="0" w:color="auto"/>
            </w:tcBorders>
          </w:tcPr>
          <w:p w14:paraId="5F0781BD"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p>
        </w:tc>
        <w:tc>
          <w:tcPr>
            <w:tcW w:w="2410" w:type="dxa"/>
            <w:tcBorders>
              <w:top w:val="single" w:sz="4" w:space="0" w:color="auto"/>
              <w:left w:val="single" w:sz="4" w:space="0" w:color="auto"/>
              <w:bottom w:val="single" w:sz="18" w:space="0" w:color="auto"/>
              <w:right w:val="single" w:sz="18" w:space="0" w:color="auto"/>
            </w:tcBorders>
          </w:tcPr>
          <w:p w14:paraId="3E0927B2"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p>
        </w:tc>
      </w:tr>
      <w:tr w:rsidR="000E5F59" w:rsidRPr="001C1A86" w14:paraId="2CBF7726" w14:textId="77777777" w:rsidTr="000E5F59">
        <w:trPr>
          <w:cantSplit/>
        </w:trPr>
        <w:tc>
          <w:tcPr>
            <w:tcW w:w="1700" w:type="dxa"/>
            <w:tcBorders>
              <w:top w:val="single" w:sz="18" w:space="0" w:color="auto"/>
              <w:left w:val="single" w:sz="18" w:space="0" w:color="auto"/>
              <w:bottom w:val="single" w:sz="4" w:space="0" w:color="auto"/>
              <w:right w:val="nil"/>
            </w:tcBorders>
          </w:tcPr>
          <w:p w14:paraId="2168ACD2" w14:textId="77777777" w:rsidR="000E5F59" w:rsidRPr="001C1A86" w:rsidRDefault="000E5F59" w:rsidP="00094082">
            <w:pPr>
              <w:keepNext/>
              <w:keepLines/>
              <w:spacing w:after="0" w:line="240" w:lineRule="auto"/>
              <w:ind w:left="130" w:right="-57" w:hanging="170"/>
              <w:jc w:val="left"/>
              <w:rPr>
                <w:rFonts w:ascii="Arial" w:eastAsia="Times New Roman" w:hAnsi="Arial" w:cs="Arial"/>
                <w:b/>
                <w:color w:val="000000"/>
                <w:sz w:val="14"/>
                <w:szCs w:val="14"/>
                <w:lang w:val="en-US"/>
              </w:rPr>
            </w:pPr>
            <w:r w:rsidRPr="001C1A86">
              <w:rPr>
                <w:rFonts w:ascii="Arial" w:eastAsia="Times New Roman" w:hAnsi="Arial" w:cs="Arial"/>
                <w:b/>
                <w:bCs/>
                <w:color w:val="000000"/>
                <w:sz w:val="14"/>
                <w:szCs w:val="14"/>
                <w:lang w:val="en-US"/>
              </w:rPr>
              <w:t>33</w:t>
            </w:r>
            <w:r w:rsidRPr="001C1A86">
              <w:rPr>
                <w:rFonts w:ascii="Arial" w:eastAsia="Times New Roman" w:hAnsi="Arial" w:cs="Arial"/>
                <w:b/>
                <w:bCs/>
                <w:color w:val="000000"/>
                <w:sz w:val="14"/>
                <w:szCs w:val="14"/>
                <w:lang w:val="en-US"/>
              </w:rPr>
              <w:sym w:font="Symbol" w:char="F02D"/>
            </w:r>
            <w:r w:rsidRPr="001C1A86">
              <w:rPr>
                <w:rFonts w:ascii="Arial" w:eastAsia="Times New Roman" w:hAnsi="Arial" w:cs="Arial"/>
                <w:b/>
                <w:bCs/>
                <w:color w:val="000000"/>
                <w:sz w:val="14"/>
                <w:szCs w:val="14"/>
                <w:lang w:val="en-US"/>
              </w:rPr>
              <w:t>33.4 GHz</w:t>
            </w:r>
          </w:p>
        </w:tc>
        <w:tc>
          <w:tcPr>
            <w:tcW w:w="708" w:type="dxa"/>
            <w:tcBorders>
              <w:top w:val="single" w:sz="18" w:space="0" w:color="auto"/>
              <w:left w:val="nil"/>
              <w:bottom w:val="single" w:sz="4" w:space="0" w:color="auto"/>
              <w:right w:val="nil"/>
            </w:tcBorders>
          </w:tcPr>
          <w:p w14:paraId="47BAA84A"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5" w:type="dxa"/>
            <w:tcBorders>
              <w:top w:val="single" w:sz="18" w:space="0" w:color="auto"/>
              <w:left w:val="nil"/>
              <w:bottom w:val="single" w:sz="4" w:space="0" w:color="auto"/>
              <w:right w:val="nil"/>
            </w:tcBorders>
          </w:tcPr>
          <w:p w14:paraId="5ED6FAF8"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6" w:type="dxa"/>
            <w:tcBorders>
              <w:top w:val="single" w:sz="18" w:space="0" w:color="auto"/>
              <w:left w:val="nil"/>
              <w:bottom w:val="single" w:sz="4" w:space="0" w:color="auto"/>
              <w:right w:val="nil"/>
            </w:tcBorders>
          </w:tcPr>
          <w:p w14:paraId="7866DEFF"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5" w:type="dxa"/>
            <w:tcBorders>
              <w:top w:val="single" w:sz="18" w:space="0" w:color="auto"/>
              <w:left w:val="nil"/>
              <w:bottom w:val="single" w:sz="4" w:space="0" w:color="auto"/>
              <w:right w:val="nil"/>
            </w:tcBorders>
          </w:tcPr>
          <w:p w14:paraId="1D85D3DA"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2127" w:type="dxa"/>
            <w:tcBorders>
              <w:top w:val="single" w:sz="18" w:space="0" w:color="auto"/>
              <w:left w:val="nil"/>
              <w:bottom w:val="single" w:sz="4" w:space="0" w:color="auto"/>
              <w:right w:val="nil"/>
            </w:tcBorders>
          </w:tcPr>
          <w:p w14:paraId="321D055F"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p>
        </w:tc>
        <w:tc>
          <w:tcPr>
            <w:tcW w:w="1560" w:type="dxa"/>
            <w:tcBorders>
              <w:top w:val="single" w:sz="18" w:space="0" w:color="auto"/>
              <w:left w:val="nil"/>
              <w:bottom w:val="single" w:sz="4" w:space="0" w:color="auto"/>
              <w:right w:val="nil"/>
            </w:tcBorders>
          </w:tcPr>
          <w:p w14:paraId="1E63E9AD"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p>
        </w:tc>
        <w:tc>
          <w:tcPr>
            <w:tcW w:w="2410" w:type="dxa"/>
            <w:tcBorders>
              <w:top w:val="single" w:sz="18" w:space="0" w:color="auto"/>
              <w:left w:val="nil"/>
              <w:bottom w:val="single" w:sz="4" w:space="0" w:color="auto"/>
              <w:right w:val="single" w:sz="18" w:space="0" w:color="auto"/>
            </w:tcBorders>
          </w:tcPr>
          <w:p w14:paraId="7A08555B"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p>
        </w:tc>
      </w:tr>
      <w:tr w:rsidR="000E5F59" w:rsidRPr="001C1A86" w14:paraId="68F67CAD" w14:textId="77777777" w:rsidTr="000E5F59">
        <w:trPr>
          <w:cantSplit/>
        </w:trPr>
        <w:tc>
          <w:tcPr>
            <w:tcW w:w="1700" w:type="dxa"/>
            <w:tcBorders>
              <w:top w:val="single" w:sz="4" w:space="0" w:color="auto"/>
              <w:left w:val="single" w:sz="18" w:space="0" w:color="auto"/>
              <w:bottom w:val="nil"/>
              <w:right w:val="single" w:sz="4" w:space="0" w:color="auto"/>
            </w:tcBorders>
          </w:tcPr>
          <w:p w14:paraId="77B3799C" w14:textId="77777777" w:rsidR="000E5F59" w:rsidRPr="001C1A86" w:rsidRDefault="000E5F59" w:rsidP="00094082">
            <w:pPr>
              <w:spacing w:after="0" w:line="240" w:lineRule="auto"/>
              <w:ind w:left="130" w:right="-57"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FIXED</w:t>
            </w:r>
          </w:p>
        </w:tc>
        <w:tc>
          <w:tcPr>
            <w:tcW w:w="708" w:type="dxa"/>
            <w:tcBorders>
              <w:top w:val="single" w:sz="4" w:space="0" w:color="auto"/>
              <w:left w:val="single" w:sz="4" w:space="0" w:color="auto"/>
              <w:bottom w:val="nil"/>
              <w:right w:val="single" w:sz="4" w:space="0" w:color="auto"/>
            </w:tcBorders>
          </w:tcPr>
          <w:p w14:paraId="3B4D556D"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5.547</w:t>
            </w:r>
          </w:p>
          <w:p w14:paraId="20D304E6"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5.547A</w:t>
            </w:r>
          </w:p>
        </w:tc>
        <w:tc>
          <w:tcPr>
            <w:tcW w:w="425" w:type="dxa"/>
            <w:tcBorders>
              <w:top w:val="single" w:sz="4" w:space="0" w:color="auto"/>
              <w:left w:val="single" w:sz="4" w:space="0" w:color="auto"/>
              <w:bottom w:val="nil"/>
              <w:right w:val="single" w:sz="18" w:space="0" w:color="auto"/>
            </w:tcBorders>
          </w:tcPr>
          <w:p w14:paraId="5A6FBE46"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C</w:t>
            </w:r>
          </w:p>
        </w:tc>
        <w:tc>
          <w:tcPr>
            <w:tcW w:w="426" w:type="dxa"/>
            <w:tcBorders>
              <w:top w:val="single" w:sz="4" w:space="0" w:color="auto"/>
              <w:left w:val="single" w:sz="18" w:space="0" w:color="auto"/>
              <w:bottom w:val="single" w:sz="4" w:space="0" w:color="auto"/>
              <w:right w:val="single" w:sz="4" w:space="0" w:color="auto"/>
            </w:tcBorders>
          </w:tcPr>
          <w:p w14:paraId="0BE371A7"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1</w:t>
            </w:r>
          </w:p>
        </w:tc>
        <w:tc>
          <w:tcPr>
            <w:tcW w:w="425" w:type="dxa"/>
            <w:tcBorders>
              <w:top w:val="single" w:sz="4" w:space="0" w:color="auto"/>
              <w:left w:val="single" w:sz="4" w:space="0" w:color="auto"/>
              <w:bottom w:val="single" w:sz="4" w:space="0" w:color="auto"/>
              <w:right w:val="single" w:sz="4" w:space="0" w:color="auto"/>
            </w:tcBorders>
          </w:tcPr>
          <w:p w14:paraId="2F8BCE90"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D</w:t>
            </w:r>
          </w:p>
        </w:tc>
        <w:tc>
          <w:tcPr>
            <w:tcW w:w="2127" w:type="dxa"/>
            <w:tcBorders>
              <w:top w:val="single" w:sz="4" w:space="0" w:color="auto"/>
              <w:left w:val="single" w:sz="4" w:space="0" w:color="auto"/>
              <w:bottom w:val="single" w:sz="4" w:space="0" w:color="auto"/>
              <w:right w:val="single" w:sz="18" w:space="0" w:color="auto"/>
            </w:tcBorders>
          </w:tcPr>
          <w:p w14:paraId="21803B50" w14:textId="78B0250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32 GHz-band fixed</w:t>
            </w:r>
            <w:r w:rsidR="00F7211D" w:rsidRPr="001C1A86">
              <w:rPr>
                <w:rFonts w:ascii="Arial" w:eastAsia="Times New Roman" w:hAnsi="Arial" w:cs="Arial"/>
                <w:color w:val="000000"/>
                <w:sz w:val="14"/>
                <w:szCs w:val="14"/>
                <w:lang w:val="en-US"/>
              </w:rPr>
              <w:t>-site</w:t>
            </w:r>
            <w:r w:rsidRPr="001C1A86">
              <w:rPr>
                <w:rFonts w:ascii="Arial" w:eastAsia="Times New Roman" w:hAnsi="Arial" w:cs="Arial"/>
                <w:color w:val="000000"/>
                <w:sz w:val="14"/>
                <w:szCs w:val="14"/>
                <w:lang w:val="en-US"/>
              </w:rPr>
              <w:t xml:space="preserve"> digital point-to-point systems</w:t>
            </w:r>
          </w:p>
        </w:tc>
        <w:tc>
          <w:tcPr>
            <w:tcW w:w="1560" w:type="dxa"/>
            <w:tcBorders>
              <w:top w:val="single" w:sz="4" w:space="0" w:color="auto"/>
              <w:left w:val="single" w:sz="18" w:space="0" w:color="auto"/>
              <w:bottom w:val="single" w:sz="4" w:space="0" w:color="auto"/>
              <w:right w:val="single" w:sz="4" w:space="0" w:color="auto"/>
            </w:tcBorders>
          </w:tcPr>
          <w:p w14:paraId="4F702D1A"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ITU</w:t>
            </w:r>
            <w:r w:rsidRPr="001C1A86">
              <w:rPr>
                <w:rFonts w:ascii="Arial" w:eastAsia="Times New Roman" w:hAnsi="Arial" w:cs="Arial"/>
                <w:color w:val="000000"/>
                <w:sz w:val="14"/>
                <w:szCs w:val="14"/>
                <w:lang w:val="en-US"/>
              </w:rPr>
              <w:noBreakHyphen/>
              <w:t>R F.1191</w:t>
            </w:r>
            <w:r w:rsidRPr="001C1A86">
              <w:rPr>
                <w:rFonts w:ascii="Arial" w:eastAsia="Times New Roman" w:hAnsi="Arial" w:cs="Arial"/>
                <w:color w:val="000000"/>
                <w:sz w:val="14"/>
                <w:szCs w:val="14"/>
                <w:lang w:val="en-US"/>
              </w:rPr>
              <w:noBreakHyphen/>
              <w:t>3</w:t>
            </w:r>
          </w:p>
          <w:p w14:paraId="1D7F0B66"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ERC/REC/(01)02</w:t>
            </w:r>
          </w:p>
          <w:p w14:paraId="2DE51070"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MSZ EN 302 217</w:t>
            </w:r>
            <w:r w:rsidRPr="001C1A86">
              <w:rPr>
                <w:rFonts w:ascii="Arial" w:eastAsia="Times New Roman" w:hAnsi="Arial" w:cs="Arial"/>
                <w:color w:val="000000"/>
                <w:sz w:val="14"/>
                <w:szCs w:val="14"/>
                <w:lang w:val="en-US"/>
              </w:rPr>
              <w:noBreakHyphen/>
              <w:t>2</w:t>
            </w:r>
          </w:p>
        </w:tc>
        <w:tc>
          <w:tcPr>
            <w:tcW w:w="2410" w:type="dxa"/>
            <w:tcBorders>
              <w:top w:val="single" w:sz="4" w:space="0" w:color="auto"/>
              <w:left w:val="single" w:sz="4" w:space="0" w:color="auto"/>
              <w:bottom w:val="single" w:sz="4" w:space="0" w:color="auto"/>
              <w:right w:val="single" w:sz="18" w:space="0" w:color="auto"/>
            </w:tcBorders>
          </w:tcPr>
          <w:p w14:paraId="47B45DFF"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3, section 2.5</w:t>
            </w:r>
          </w:p>
          <w:p w14:paraId="6D86DA26"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3, section 2.13</w:t>
            </w:r>
          </w:p>
          <w:p w14:paraId="696BCDD3"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3, section 3.13</w:t>
            </w:r>
          </w:p>
          <w:p w14:paraId="67C418C0"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4</w:t>
            </w:r>
          </w:p>
        </w:tc>
      </w:tr>
      <w:tr w:rsidR="000E5F59" w:rsidRPr="001C1A86" w14:paraId="3E55318B" w14:textId="77777777" w:rsidTr="000E5F59">
        <w:trPr>
          <w:cantSplit/>
        </w:trPr>
        <w:tc>
          <w:tcPr>
            <w:tcW w:w="1700" w:type="dxa"/>
            <w:tcBorders>
              <w:top w:val="nil"/>
              <w:left w:val="single" w:sz="18" w:space="0" w:color="auto"/>
              <w:bottom w:val="nil"/>
              <w:right w:val="single" w:sz="4" w:space="0" w:color="auto"/>
            </w:tcBorders>
          </w:tcPr>
          <w:p w14:paraId="24B98D50" w14:textId="77777777" w:rsidR="000E5F59" w:rsidRPr="001C1A86" w:rsidRDefault="000E5F59" w:rsidP="00094082">
            <w:pPr>
              <w:spacing w:after="0" w:line="240" w:lineRule="auto"/>
              <w:ind w:left="130" w:right="-57" w:hanging="170"/>
              <w:jc w:val="left"/>
              <w:rPr>
                <w:rFonts w:ascii="Arial" w:eastAsia="Times New Roman" w:hAnsi="Arial" w:cs="Arial"/>
                <w:color w:val="000000"/>
                <w:sz w:val="14"/>
                <w:szCs w:val="14"/>
                <w:lang w:val="en-US"/>
              </w:rPr>
            </w:pPr>
          </w:p>
        </w:tc>
        <w:tc>
          <w:tcPr>
            <w:tcW w:w="708" w:type="dxa"/>
            <w:tcBorders>
              <w:top w:val="nil"/>
              <w:left w:val="single" w:sz="4" w:space="0" w:color="auto"/>
              <w:bottom w:val="nil"/>
              <w:right w:val="single" w:sz="4" w:space="0" w:color="auto"/>
            </w:tcBorders>
          </w:tcPr>
          <w:p w14:paraId="7D6EFDEA"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5" w:type="dxa"/>
            <w:tcBorders>
              <w:top w:val="nil"/>
              <w:left w:val="single" w:sz="4" w:space="0" w:color="auto"/>
              <w:bottom w:val="nil"/>
              <w:right w:val="single" w:sz="18" w:space="0" w:color="auto"/>
            </w:tcBorders>
          </w:tcPr>
          <w:p w14:paraId="261001A1"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6" w:type="dxa"/>
            <w:tcBorders>
              <w:top w:val="single" w:sz="4" w:space="0" w:color="auto"/>
              <w:left w:val="single" w:sz="18" w:space="0" w:color="auto"/>
              <w:bottom w:val="dashed" w:sz="4" w:space="0" w:color="auto"/>
              <w:right w:val="single" w:sz="4" w:space="0" w:color="auto"/>
            </w:tcBorders>
          </w:tcPr>
          <w:p w14:paraId="4F1B4EA3"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1</w:t>
            </w:r>
          </w:p>
        </w:tc>
        <w:tc>
          <w:tcPr>
            <w:tcW w:w="425" w:type="dxa"/>
            <w:tcBorders>
              <w:top w:val="single" w:sz="4" w:space="0" w:color="auto"/>
              <w:left w:val="single" w:sz="4" w:space="0" w:color="auto"/>
              <w:bottom w:val="dashed" w:sz="4" w:space="0" w:color="auto"/>
              <w:right w:val="single" w:sz="4" w:space="0" w:color="auto"/>
            </w:tcBorders>
          </w:tcPr>
          <w:p w14:paraId="65A49230" w14:textId="77777777" w:rsidR="000E5F59" w:rsidRPr="001C1A86" w:rsidDel="008A525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D</w:t>
            </w:r>
          </w:p>
        </w:tc>
        <w:tc>
          <w:tcPr>
            <w:tcW w:w="2127" w:type="dxa"/>
            <w:tcBorders>
              <w:top w:val="single" w:sz="4" w:space="0" w:color="auto"/>
              <w:left w:val="single" w:sz="4" w:space="0" w:color="auto"/>
              <w:bottom w:val="dashed" w:sz="4" w:space="0" w:color="auto"/>
              <w:right w:val="single" w:sz="18" w:space="0" w:color="auto"/>
            </w:tcBorders>
          </w:tcPr>
          <w:p w14:paraId="75892682"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32 GHz-band digital point-to-multipoint systems</w:t>
            </w:r>
          </w:p>
        </w:tc>
        <w:tc>
          <w:tcPr>
            <w:tcW w:w="1560" w:type="dxa"/>
            <w:tcBorders>
              <w:top w:val="single" w:sz="4" w:space="0" w:color="auto"/>
              <w:left w:val="single" w:sz="18" w:space="0" w:color="auto"/>
              <w:bottom w:val="dashed" w:sz="4" w:space="0" w:color="auto"/>
              <w:right w:val="single" w:sz="4" w:space="0" w:color="auto"/>
            </w:tcBorders>
          </w:tcPr>
          <w:p w14:paraId="299738B9"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ERC/REC/(01)02, ECC/REC/(11)01</w:t>
            </w:r>
          </w:p>
          <w:p w14:paraId="2967CF79"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MSZ EN 302 326</w:t>
            </w:r>
            <w:r w:rsidRPr="001C1A86">
              <w:rPr>
                <w:rFonts w:ascii="Arial" w:eastAsia="Times New Roman" w:hAnsi="Arial" w:cs="Arial"/>
                <w:color w:val="000000"/>
                <w:sz w:val="14"/>
                <w:szCs w:val="14"/>
                <w:lang w:val="en-US"/>
              </w:rPr>
              <w:noBreakHyphen/>
              <w:t>2, MSZ EN 302 326</w:t>
            </w:r>
            <w:r w:rsidRPr="001C1A86">
              <w:rPr>
                <w:rFonts w:ascii="Arial" w:eastAsia="Times New Roman" w:hAnsi="Arial" w:cs="Arial"/>
                <w:color w:val="000000"/>
                <w:sz w:val="14"/>
                <w:szCs w:val="14"/>
                <w:lang w:val="en-US"/>
              </w:rPr>
              <w:noBreakHyphen/>
              <w:t>3</w:t>
            </w:r>
          </w:p>
        </w:tc>
        <w:tc>
          <w:tcPr>
            <w:tcW w:w="2410" w:type="dxa"/>
            <w:tcBorders>
              <w:top w:val="single" w:sz="4" w:space="0" w:color="auto"/>
              <w:left w:val="single" w:sz="4" w:space="0" w:color="auto"/>
              <w:bottom w:val="dashed" w:sz="4" w:space="0" w:color="auto"/>
              <w:right w:val="single" w:sz="18" w:space="0" w:color="auto"/>
            </w:tcBorders>
          </w:tcPr>
          <w:p w14:paraId="0E8F2CA0"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3, section 2.13</w:t>
            </w:r>
          </w:p>
          <w:p w14:paraId="25AFBD89"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3, section 3.13</w:t>
            </w:r>
          </w:p>
          <w:p w14:paraId="6206E837"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Annex 4</w:t>
            </w:r>
          </w:p>
          <w:p w14:paraId="3E076FB4"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User stations are exempted from the obligation of individual licensing.</w:t>
            </w:r>
          </w:p>
        </w:tc>
      </w:tr>
      <w:tr w:rsidR="000E5F59" w:rsidRPr="001C1A86" w14:paraId="2E71E3DB" w14:textId="77777777" w:rsidTr="000E5F59">
        <w:trPr>
          <w:cantSplit/>
        </w:trPr>
        <w:tc>
          <w:tcPr>
            <w:tcW w:w="1700" w:type="dxa"/>
            <w:tcBorders>
              <w:top w:val="nil"/>
              <w:left w:val="single" w:sz="18" w:space="0" w:color="auto"/>
              <w:bottom w:val="single" w:sz="4" w:space="0" w:color="auto"/>
              <w:right w:val="single" w:sz="4" w:space="0" w:color="auto"/>
            </w:tcBorders>
          </w:tcPr>
          <w:p w14:paraId="5C7695B0" w14:textId="77777777" w:rsidR="000E5F59" w:rsidRPr="001C1A86" w:rsidRDefault="000E5F59" w:rsidP="00094082">
            <w:pPr>
              <w:spacing w:after="0" w:line="240" w:lineRule="auto"/>
              <w:ind w:left="130" w:right="-57" w:hanging="170"/>
              <w:jc w:val="left"/>
              <w:rPr>
                <w:rFonts w:ascii="Arial" w:eastAsia="Times New Roman" w:hAnsi="Arial" w:cs="Arial"/>
                <w:color w:val="000000"/>
                <w:sz w:val="14"/>
                <w:szCs w:val="14"/>
                <w:lang w:val="en-US"/>
              </w:rPr>
            </w:pPr>
          </w:p>
        </w:tc>
        <w:tc>
          <w:tcPr>
            <w:tcW w:w="708" w:type="dxa"/>
            <w:tcBorders>
              <w:top w:val="nil"/>
              <w:left w:val="single" w:sz="4" w:space="0" w:color="auto"/>
              <w:bottom w:val="single" w:sz="4" w:space="0" w:color="auto"/>
              <w:right w:val="single" w:sz="4" w:space="0" w:color="auto"/>
            </w:tcBorders>
          </w:tcPr>
          <w:p w14:paraId="4C59615F"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5" w:type="dxa"/>
            <w:tcBorders>
              <w:top w:val="nil"/>
              <w:left w:val="single" w:sz="4" w:space="0" w:color="auto"/>
              <w:bottom w:val="single" w:sz="4" w:space="0" w:color="auto"/>
              <w:right w:val="single" w:sz="18" w:space="0" w:color="auto"/>
            </w:tcBorders>
          </w:tcPr>
          <w:p w14:paraId="1BF94A96"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6" w:type="dxa"/>
            <w:tcBorders>
              <w:top w:val="dashed" w:sz="4" w:space="0" w:color="auto"/>
              <w:left w:val="single" w:sz="18" w:space="0" w:color="auto"/>
              <w:bottom w:val="single" w:sz="4" w:space="0" w:color="auto"/>
              <w:right w:val="single" w:sz="4" w:space="0" w:color="auto"/>
            </w:tcBorders>
          </w:tcPr>
          <w:p w14:paraId="45AF2480"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1</w:t>
            </w:r>
          </w:p>
        </w:tc>
        <w:tc>
          <w:tcPr>
            <w:tcW w:w="425" w:type="dxa"/>
            <w:tcBorders>
              <w:top w:val="dashed" w:sz="4" w:space="0" w:color="auto"/>
              <w:left w:val="single" w:sz="4" w:space="0" w:color="auto"/>
              <w:bottom w:val="single" w:sz="4" w:space="0" w:color="auto"/>
              <w:right w:val="single" w:sz="4" w:space="0" w:color="auto"/>
            </w:tcBorders>
          </w:tcPr>
          <w:p w14:paraId="6B180B54" w14:textId="77777777" w:rsidR="000E5F59" w:rsidRPr="001C1A86" w:rsidDel="008A525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D</w:t>
            </w:r>
          </w:p>
        </w:tc>
        <w:tc>
          <w:tcPr>
            <w:tcW w:w="2127" w:type="dxa"/>
            <w:tcBorders>
              <w:top w:val="dashed" w:sz="4" w:space="0" w:color="auto"/>
              <w:left w:val="single" w:sz="4" w:space="0" w:color="auto"/>
              <w:bottom w:val="single" w:sz="4" w:space="0" w:color="auto"/>
              <w:right w:val="single" w:sz="18" w:space="0" w:color="auto"/>
            </w:tcBorders>
          </w:tcPr>
          <w:p w14:paraId="147784A3"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FWA</w:t>
            </w:r>
          </w:p>
        </w:tc>
        <w:tc>
          <w:tcPr>
            <w:tcW w:w="1560" w:type="dxa"/>
            <w:tcBorders>
              <w:top w:val="dashed" w:sz="4" w:space="0" w:color="auto"/>
              <w:left w:val="single" w:sz="18" w:space="0" w:color="auto"/>
              <w:bottom w:val="single" w:sz="4" w:space="0" w:color="auto"/>
              <w:right w:val="single" w:sz="4" w:space="0" w:color="auto"/>
            </w:tcBorders>
          </w:tcPr>
          <w:p w14:paraId="48282314"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p>
        </w:tc>
        <w:tc>
          <w:tcPr>
            <w:tcW w:w="2410" w:type="dxa"/>
            <w:tcBorders>
              <w:top w:val="dashed" w:sz="4" w:space="0" w:color="auto"/>
              <w:left w:val="single" w:sz="4" w:space="0" w:color="auto"/>
              <w:bottom w:val="single" w:sz="4" w:space="0" w:color="auto"/>
              <w:right w:val="single" w:sz="18" w:space="0" w:color="auto"/>
            </w:tcBorders>
          </w:tcPr>
          <w:p w14:paraId="46D68324"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p>
        </w:tc>
      </w:tr>
      <w:tr w:rsidR="000E5F59" w:rsidRPr="001C1A86" w14:paraId="733BA43C" w14:textId="77777777" w:rsidTr="000E5F59">
        <w:trPr>
          <w:cantSplit/>
        </w:trPr>
        <w:tc>
          <w:tcPr>
            <w:tcW w:w="1700" w:type="dxa"/>
            <w:tcBorders>
              <w:top w:val="single" w:sz="4" w:space="0" w:color="auto"/>
              <w:left w:val="single" w:sz="18" w:space="0" w:color="auto"/>
              <w:bottom w:val="single" w:sz="18" w:space="0" w:color="auto"/>
              <w:right w:val="single" w:sz="4" w:space="0" w:color="auto"/>
            </w:tcBorders>
          </w:tcPr>
          <w:p w14:paraId="28A1F10D" w14:textId="77777777" w:rsidR="000E5F59" w:rsidRPr="001C1A86" w:rsidRDefault="000E5F59" w:rsidP="00094082">
            <w:pPr>
              <w:spacing w:after="0" w:line="240" w:lineRule="auto"/>
              <w:ind w:left="130" w:right="-57"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RADIONAVIGATION</w:t>
            </w:r>
          </w:p>
        </w:tc>
        <w:tc>
          <w:tcPr>
            <w:tcW w:w="708" w:type="dxa"/>
            <w:tcBorders>
              <w:top w:val="single" w:sz="4" w:space="0" w:color="auto"/>
              <w:left w:val="single" w:sz="4" w:space="0" w:color="auto"/>
              <w:bottom w:val="single" w:sz="18" w:space="0" w:color="auto"/>
              <w:right w:val="single" w:sz="4" w:space="0" w:color="auto"/>
            </w:tcBorders>
          </w:tcPr>
          <w:p w14:paraId="67A946E7"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p>
        </w:tc>
        <w:tc>
          <w:tcPr>
            <w:tcW w:w="425" w:type="dxa"/>
            <w:tcBorders>
              <w:top w:val="single" w:sz="4" w:space="0" w:color="auto"/>
              <w:left w:val="single" w:sz="4" w:space="0" w:color="auto"/>
              <w:bottom w:val="single" w:sz="18" w:space="0" w:color="auto"/>
              <w:right w:val="single" w:sz="18" w:space="0" w:color="auto"/>
            </w:tcBorders>
          </w:tcPr>
          <w:p w14:paraId="6411FB2F"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J</w:t>
            </w:r>
          </w:p>
        </w:tc>
        <w:tc>
          <w:tcPr>
            <w:tcW w:w="426" w:type="dxa"/>
            <w:tcBorders>
              <w:top w:val="single" w:sz="4" w:space="0" w:color="auto"/>
              <w:left w:val="single" w:sz="18" w:space="0" w:color="auto"/>
              <w:bottom w:val="single" w:sz="18" w:space="0" w:color="auto"/>
              <w:right w:val="single" w:sz="4" w:space="0" w:color="auto"/>
            </w:tcBorders>
          </w:tcPr>
          <w:p w14:paraId="20DE302A"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1</w:t>
            </w:r>
          </w:p>
        </w:tc>
        <w:tc>
          <w:tcPr>
            <w:tcW w:w="425" w:type="dxa"/>
            <w:tcBorders>
              <w:top w:val="single" w:sz="4" w:space="0" w:color="auto"/>
              <w:left w:val="single" w:sz="4" w:space="0" w:color="auto"/>
              <w:bottom w:val="single" w:sz="18" w:space="0" w:color="auto"/>
              <w:right w:val="single" w:sz="4" w:space="0" w:color="auto"/>
            </w:tcBorders>
          </w:tcPr>
          <w:p w14:paraId="06EA78ED" w14:textId="77777777" w:rsidR="000E5F59" w:rsidRPr="001C1A86" w:rsidRDefault="000E5F59" w:rsidP="00094082">
            <w:pPr>
              <w:keepNext/>
              <w:keepLines/>
              <w:spacing w:after="0" w:line="240" w:lineRule="auto"/>
              <w:ind w:left="-57" w:right="-57"/>
              <w:jc w:val="center"/>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D</w:t>
            </w:r>
          </w:p>
        </w:tc>
        <w:tc>
          <w:tcPr>
            <w:tcW w:w="2127" w:type="dxa"/>
            <w:tcBorders>
              <w:top w:val="single" w:sz="4" w:space="0" w:color="auto"/>
              <w:left w:val="single" w:sz="4" w:space="0" w:color="auto"/>
              <w:bottom w:val="single" w:sz="18" w:space="0" w:color="auto"/>
              <w:right w:val="single" w:sz="18" w:space="0" w:color="auto"/>
            </w:tcBorders>
          </w:tcPr>
          <w:p w14:paraId="6C2DE261"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r w:rsidRPr="001C1A86">
              <w:rPr>
                <w:rFonts w:ascii="Arial" w:eastAsia="Times New Roman" w:hAnsi="Arial" w:cs="Arial"/>
                <w:color w:val="000000"/>
                <w:sz w:val="14"/>
                <w:szCs w:val="14"/>
                <w:lang w:val="en-US"/>
              </w:rPr>
              <w:t>ASDE</w:t>
            </w:r>
          </w:p>
        </w:tc>
        <w:tc>
          <w:tcPr>
            <w:tcW w:w="1560" w:type="dxa"/>
            <w:tcBorders>
              <w:top w:val="single" w:sz="4" w:space="0" w:color="auto"/>
              <w:left w:val="single" w:sz="18" w:space="0" w:color="auto"/>
              <w:bottom w:val="single" w:sz="18" w:space="0" w:color="auto"/>
              <w:right w:val="single" w:sz="4" w:space="0" w:color="auto"/>
            </w:tcBorders>
          </w:tcPr>
          <w:p w14:paraId="37528B9D" w14:textId="77777777" w:rsidR="000E5F59" w:rsidRPr="001C1A86" w:rsidRDefault="000E5F59" w:rsidP="00094082">
            <w:pPr>
              <w:spacing w:after="0" w:line="240" w:lineRule="auto"/>
              <w:ind w:left="130" w:right="-40" w:hanging="170"/>
              <w:jc w:val="left"/>
              <w:rPr>
                <w:rFonts w:ascii="Arial" w:eastAsia="Times New Roman" w:hAnsi="Arial" w:cs="Arial"/>
                <w:color w:val="000000"/>
                <w:sz w:val="14"/>
                <w:szCs w:val="14"/>
                <w:lang w:val="en-US"/>
              </w:rPr>
            </w:pPr>
          </w:p>
        </w:tc>
        <w:tc>
          <w:tcPr>
            <w:tcW w:w="2410" w:type="dxa"/>
            <w:tcBorders>
              <w:top w:val="single" w:sz="4" w:space="0" w:color="auto"/>
              <w:left w:val="single" w:sz="4" w:space="0" w:color="auto"/>
              <w:bottom w:val="single" w:sz="18" w:space="0" w:color="auto"/>
              <w:right w:val="single" w:sz="18" w:space="0" w:color="auto"/>
            </w:tcBorders>
          </w:tcPr>
          <w:p w14:paraId="74C2E0EC" w14:textId="77777777" w:rsidR="000E5F59" w:rsidRPr="001C1A86"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val="en-US"/>
              </w:rPr>
            </w:pPr>
          </w:p>
        </w:tc>
      </w:tr>
    </w:tbl>
    <w:p w14:paraId="6EDE3170" w14:textId="77777777" w:rsidR="00094082" w:rsidRDefault="00094082" w:rsidP="00F54787">
      <w:pPr>
        <w:pStyle w:val="Behzottbekezdsnmhh"/>
      </w:pPr>
    </w:p>
    <w:p w14:paraId="476FA0D2" w14:textId="73DFAEF7" w:rsidR="00F54787" w:rsidRDefault="00F54787" w:rsidP="00F54787">
      <w:pPr>
        <w:pStyle w:val="Behzottbekezdsnmhh"/>
      </w:pPr>
      <w:r>
        <w:rPr>
          <w:lang w:val="en-GB"/>
        </w:rPr>
        <w:t>The 31.8-33.4 GHz frequency band is designated for airport surface detection equipment (ASDE) operating in the radio navigation service</w:t>
      </w:r>
      <w:r w:rsidR="009A4C1B">
        <w:rPr>
          <w:lang w:val="en-GB"/>
        </w:rPr>
        <w:t xml:space="preserve"> for joint use</w:t>
      </w:r>
      <w:r>
        <w:rPr>
          <w:rStyle w:val="Lbjegyzet-hivatkozs"/>
          <w:lang w:val="en-GB"/>
        </w:rPr>
        <w:footnoteReference w:id="12"/>
      </w:r>
      <w:r w:rsidR="009A4C1B">
        <w:rPr>
          <w:lang w:val="en-GB"/>
        </w:rPr>
        <w:t xml:space="preserve"> on a primary basis</w:t>
      </w:r>
      <w:r>
        <w:rPr>
          <w:lang w:val="en-GB"/>
        </w:rPr>
        <w:t>, but there is currently no actual use.</w:t>
      </w:r>
    </w:p>
    <w:p w14:paraId="20797C2C" w14:textId="69CC360B" w:rsidR="00F54787" w:rsidRDefault="00F54787" w:rsidP="00F54787">
      <w:pPr>
        <w:pStyle w:val="Behzottbekezdsnmhh"/>
      </w:pPr>
      <w:r w:rsidRPr="004E0043">
        <w:rPr>
          <w:lang w:val="en-GB"/>
        </w:rPr>
        <w:t xml:space="preserve">The 31.8-33.4 GHz frequency band is also </w:t>
      </w:r>
      <w:r w:rsidR="003A2CBC" w:rsidRPr="004E0043">
        <w:rPr>
          <w:lang w:val="en-GB"/>
        </w:rPr>
        <w:t xml:space="preserve">designated </w:t>
      </w:r>
      <w:r w:rsidRPr="00936EE2">
        <w:rPr>
          <w:lang w:val="en-GB"/>
        </w:rPr>
        <w:t>for fixed digital point-to-multipoint systems and fixed</w:t>
      </w:r>
      <w:r w:rsidR="003A2CBC" w:rsidRPr="00936EE2">
        <w:rPr>
          <w:lang w:val="en-GB"/>
        </w:rPr>
        <w:t>-site</w:t>
      </w:r>
      <w:r w:rsidRPr="00936EE2">
        <w:rPr>
          <w:lang w:val="en-GB"/>
        </w:rPr>
        <w:t xml:space="preserve"> digital point-to-point systems for civil use</w:t>
      </w:r>
      <w:r w:rsidR="003A2CBC" w:rsidRPr="00936EE2">
        <w:rPr>
          <w:lang w:val="en-GB"/>
        </w:rPr>
        <w:t xml:space="preserve"> on a primary basis</w:t>
      </w:r>
      <w:r w:rsidRPr="00936EE2">
        <w:rPr>
          <w:lang w:val="en-GB"/>
        </w:rPr>
        <w:t xml:space="preserve">. The detailed technical rules and band use conditions for fixed service applications are set out in Annex 3 to the NFFF Decree. The regulation is based on Recommendation ERC/REC/(01)02 on </w:t>
      </w:r>
      <w:r w:rsidR="00E22C54" w:rsidRPr="00E71F7F">
        <w:rPr>
          <w:lang w:val="en-GB"/>
        </w:rPr>
        <w:t xml:space="preserve">band </w:t>
      </w:r>
      <w:r w:rsidRPr="00E71F7F">
        <w:rPr>
          <w:lang w:val="en-GB"/>
        </w:rPr>
        <w:t xml:space="preserve">arrangement and channel spacing and Recommendation ECC/REC/(11)01 on block creation as well as specific rules for the 26 GHz frequency band. In defining </w:t>
      </w:r>
      <w:r w:rsidR="00622119" w:rsidRPr="001C1A86">
        <w:rPr>
          <w:lang w:val="en-GB"/>
        </w:rPr>
        <w:t xml:space="preserve">band </w:t>
      </w:r>
      <w:r w:rsidRPr="001C1A86">
        <w:rPr>
          <w:lang w:val="en-GB"/>
        </w:rPr>
        <w:t xml:space="preserve">arrangement and basic blocks, the NMHH </w:t>
      </w:r>
      <w:r w:rsidR="00F0102E" w:rsidRPr="001C1A86">
        <w:rPr>
          <w:lang w:val="en-GB"/>
        </w:rPr>
        <w:t xml:space="preserve">took </w:t>
      </w:r>
      <w:r w:rsidRPr="004E0043">
        <w:rPr>
          <w:lang w:val="en-GB"/>
        </w:rPr>
        <w:t xml:space="preserve">the cases a) and b) </w:t>
      </w:r>
      <w:r w:rsidR="00F0102E" w:rsidRPr="004E0043">
        <w:rPr>
          <w:lang w:val="en-GB"/>
        </w:rPr>
        <w:t xml:space="preserve">as a basis </w:t>
      </w:r>
      <w:r w:rsidRPr="004E0043">
        <w:rPr>
          <w:lang w:val="en-GB"/>
        </w:rPr>
        <w:t>from among the band and channel arrangement schemes given in Recommendation ERC/REC/(01)</w:t>
      </w:r>
      <w:r w:rsidRPr="00936EE2">
        <w:rPr>
          <w:lang w:val="en-GB"/>
        </w:rPr>
        <w:t xml:space="preserve">02, taking into account the high probability of using channels with </w:t>
      </w:r>
      <w:r w:rsidR="00622119" w:rsidRPr="00936EE2">
        <w:rPr>
          <w:lang w:val="en-GB"/>
        </w:rPr>
        <w:t xml:space="preserve">wider </w:t>
      </w:r>
      <w:r w:rsidRPr="00936EE2">
        <w:rPr>
          <w:lang w:val="en-GB"/>
        </w:rPr>
        <w:t>bandwidths</w:t>
      </w:r>
      <w:r w:rsidRPr="004E0043">
        <w:rPr>
          <w:lang w:val="en-GB"/>
        </w:rPr>
        <w:t>.</w:t>
      </w:r>
    </w:p>
    <w:p w14:paraId="6F9D5C54" w14:textId="77777777" w:rsidR="00F54787" w:rsidRDefault="00F54787" w:rsidP="00F54787">
      <w:pPr>
        <w:pStyle w:val="Behzottbekezdsnmhh"/>
      </w:pPr>
      <w:r>
        <w:rPr>
          <w:lang w:val="en-GB"/>
        </w:rPr>
        <w:t xml:space="preserve">In addition, the 31.8-32.3 GHz sub-band is planned for use by civil space research systems on a primary basis (deep space, space-to-Earth). </w:t>
      </w:r>
    </w:p>
    <w:p w14:paraId="65395DF5" w14:textId="247F9C1A" w:rsidR="00F54787" w:rsidRDefault="00F54787" w:rsidP="00F54787">
      <w:pPr>
        <w:pStyle w:val="Behzottbekezdsnmhh"/>
      </w:pPr>
      <w:r>
        <w:rPr>
          <w:lang w:val="en-GB"/>
        </w:rPr>
        <w:t xml:space="preserve">The entire 31.8-33.4 GHz frequency band is currently empty, there is no licence issued for any type of application. </w:t>
      </w:r>
    </w:p>
    <w:p w14:paraId="64D65FE9" w14:textId="77777777" w:rsidR="00F54787" w:rsidRDefault="00F54787" w:rsidP="00F54787">
      <w:pPr>
        <w:spacing w:after="200"/>
        <w:jc w:val="left"/>
        <w:rPr>
          <w:sz w:val="20"/>
          <w:szCs w:val="20"/>
        </w:rPr>
      </w:pPr>
      <w:r>
        <w:rPr>
          <w:lang w:val="en-GB"/>
        </w:rPr>
        <w:br w:type="page"/>
      </w:r>
    </w:p>
    <w:p w14:paraId="3861E69D" w14:textId="3190A204" w:rsidR="00C56362" w:rsidRPr="0069015A" w:rsidRDefault="006D5933" w:rsidP="00C56362">
      <w:pPr>
        <w:pStyle w:val="Cmsor1szmozottnmhh"/>
        <w:pageBreakBefore w:val="0"/>
        <w:ind w:left="431" w:hanging="431"/>
      </w:pPr>
      <w:bookmarkStart w:id="31" w:name="_Toc89185031"/>
      <w:bookmarkStart w:id="32" w:name="_Toc82171064"/>
      <w:bookmarkStart w:id="33" w:name="_Toc99619494"/>
      <w:r>
        <w:rPr>
          <w:bCs/>
          <w:lang w:val="en-GB"/>
        </w:rPr>
        <w:lastRenderedPageBreak/>
        <w:t>National regulatory plans in the 32 GHz frequency band</w:t>
      </w:r>
      <w:bookmarkEnd w:id="31"/>
      <w:bookmarkEnd w:id="32"/>
      <w:bookmarkEnd w:id="33"/>
    </w:p>
    <w:p w14:paraId="1ED8D819" w14:textId="6E7AE7E6" w:rsidR="00C56362" w:rsidRDefault="00C56362" w:rsidP="00C56362">
      <w:pPr>
        <w:pStyle w:val="Behzottbekezdsnmhh"/>
      </w:pPr>
      <w:r>
        <w:rPr>
          <w:lang w:val="en-GB"/>
        </w:rPr>
        <w:t xml:space="preserve">The 32 GHz frequency band was </w:t>
      </w:r>
      <w:r w:rsidR="002C2259">
        <w:rPr>
          <w:lang w:val="en-GB"/>
        </w:rPr>
        <w:t xml:space="preserve">designated </w:t>
      </w:r>
      <w:r>
        <w:rPr>
          <w:lang w:val="en-GB"/>
        </w:rPr>
        <w:t xml:space="preserve">for fixed point-to-point and point-to-multipoint systems in 2020 based on Recommendation ERC/REC/(01)02 and </w:t>
      </w:r>
      <w:r w:rsidR="002C2259">
        <w:rPr>
          <w:lang w:val="en-GB"/>
        </w:rPr>
        <w:t xml:space="preserve">had been </w:t>
      </w:r>
      <w:r>
        <w:rPr>
          <w:lang w:val="en-GB"/>
        </w:rPr>
        <w:t>included in the NFFF Decree as a planned application</w:t>
      </w:r>
      <w:r w:rsidR="002C2259">
        <w:rPr>
          <w:lang w:val="en-GB"/>
        </w:rPr>
        <w:t xml:space="preserve"> formerly</w:t>
      </w:r>
      <w:r>
        <w:rPr>
          <w:lang w:val="en-GB"/>
        </w:rPr>
        <w:t xml:space="preserve">. It would have been possible to use the frequency band earlier, but it was not </w:t>
      </w:r>
      <w:r w:rsidR="002C2259">
        <w:rPr>
          <w:lang w:val="en-GB"/>
        </w:rPr>
        <w:t xml:space="preserve">designated </w:t>
      </w:r>
      <w:r>
        <w:rPr>
          <w:lang w:val="en-GB"/>
        </w:rPr>
        <w:t xml:space="preserve">in the absence of market demand. It was designated in 2020 and part of the radio spectrum management requirements and band use conditions were also defined then. Further conditions related to band use are included </w:t>
      </w:r>
      <w:r>
        <w:rPr>
          <w:color w:val="000000"/>
          <w:shd w:val="clear" w:color="auto" w:fill="FFFFFF"/>
          <w:lang w:val="en-GB"/>
        </w:rPr>
        <w:t>in the draft amendment to the NFFF Decree, which is currently undergoing technical notification</w:t>
      </w:r>
      <w:r>
        <w:rPr>
          <w:lang w:val="en-GB"/>
        </w:rPr>
        <w:t xml:space="preserve"> </w:t>
      </w:r>
      <w:r w:rsidR="007A4AD6">
        <w:rPr>
          <w:lang w:val="en-GB"/>
        </w:rPr>
        <w:t xml:space="preserve">procedure </w:t>
      </w:r>
      <w:r>
        <w:rPr>
          <w:lang w:val="en-GB"/>
        </w:rPr>
        <w:t>and is planned to be published in the spring of 2022.</w:t>
      </w:r>
    </w:p>
    <w:p w14:paraId="0748C25A" w14:textId="0A0610AB" w:rsidR="006D5933" w:rsidRDefault="006D5933" w:rsidP="00005917">
      <w:pPr>
        <w:pStyle w:val="Cmsor2szmozottnmhh"/>
        <w:ind w:left="578" w:hanging="578"/>
      </w:pPr>
      <w:bookmarkStart w:id="34" w:name="_Toc99619495"/>
      <w:r>
        <w:rPr>
          <w:bCs/>
          <w:lang w:val="en-GB"/>
        </w:rPr>
        <w:t>Technical regulatory considerations</w:t>
      </w:r>
      <w:bookmarkEnd w:id="34"/>
    </w:p>
    <w:p w14:paraId="7FE7005C" w14:textId="3C3F0F50" w:rsidR="00C56362" w:rsidRDefault="002807F3" w:rsidP="00005917">
      <w:pPr>
        <w:pStyle w:val="Cmsor3szmozottnmhh"/>
        <w:ind w:left="1287"/>
      </w:pPr>
      <w:bookmarkStart w:id="35" w:name="_Toc89185032"/>
      <w:bookmarkStart w:id="36" w:name="_Toc82171065"/>
      <w:bookmarkStart w:id="37" w:name="_Toc99619496"/>
      <w:r>
        <w:rPr>
          <w:bCs/>
          <w:lang w:val="en-GB"/>
        </w:rPr>
        <w:t>B</w:t>
      </w:r>
      <w:r w:rsidR="001A3BDC">
        <w:rPr>
          <w:bCs/>
          <w:lang w:val="en-GB"/>
        </w:rPr>
        <w:t>and and channel arrangements</w:t>
      </w:r>
      <w:bookmarkEnd w:id="35"/>
      <w:bookmarkEnd w:id="36"/>
      <w:bookmarkEnd w:id="37"/>
    </w:p>
    <w:p w14:paraId="5C05BBFC" w14:textId="5183C16B" w:rsidR="00C56362" w:rsidRDefault="00C56362" w:rsidP="00C56362">
      <w:pPr>
        <w:pStyle w:val="Behzottbekezdsnmhh"/>
      </w:pPr>
      <w:r>
        <w:rPr>
          <w:lang w:val="en-GB"/>
        </w:rPr>
        <w:t>The technical conditions defined by CEPT and the rules for band and channel arrangement are described in Recommendation ERC/REC/(01)02. Basically, channelbandwidth</w:t>
      </w:r>
      <w:r w:rsidR="002807F3">
        <w:rPr>
          <w:lang w:val="en-GB"/>
        </w:rPr>
        <w:t>s</w:t>
      </w:r>
      <w:r>
        <w:rPr>
          <w:lang w:val="en-GB"/>
        </w:rPr>
        <w:t xml:space="preserve"> of </w:t>
      </w:r>
      <w:r w:rsidR="002807F3">
        <w:rPr>
          <w:lang w:val="en-GB"/>
        </w:rPr>
        <w:t xml:space="preserve">at least </w:t>
      </w:r>
      <w:r>
        <w:rPr>
          <w:lang w:val="en-GB"/>
        </w:rPr>
        <w:t xml:space="preserve">28 MHz </w:t>
      </w:r>
      <w:r w:rsidR="002807F3">
        <w:rPr>
          <w:lang w:val="en-GB"/>
        </w:rPr>
        <w:t>m</w:t>
      </w:r>
      <w:r w:rsidR="002F757C">
        <w:rPr>
          <w:lang w:val="en-GB"/>
        </w:rPr>
        <w:t>ay</w:t>
      </w:r>
      <w:r>
        <w:rPr>
          <w:lang w:val="en-GB"/>
        </w:rPr>
        <w:t xml:space="preserve"> be used; therefore, the </w:t>
      </w:r>
      <w:r w:rsidR="00D96770">
        <w:rPr>
          <w:lang w:val="en-GB"/>
        </w:rPr>
        <w:t xml:space="preserve">national </w:t>
      </w:r>
      <w:r>
        <w:rPr>
          <w:lang w:val="en-GB"/>
        </w:rPr>
        <w:t xml:space="preserve">band arrangement is based on the band arrangement defined for channels with a bandwidth of 56 MHz or more, in particular because the lower and upper guard bands and the duplex gap are too narrow for the arrangement defined for channels with smaller bandwidth (see Figure 3.1.2.1, </w:t>
      </w:r>
      <w:r w:rsidR="00936EE2">
        <w:rPr>
          <w:lang w:val="en-GB"/>
        </w:rPr>
        <w:t xml:space="preserve">points </w:t>
      </w:r>
      <w:r>
        <w:rPr>
          <w:lang w:val="en-GB"/>
        </w:rPr>
        <w:t xml:space="preserve">c) to f)). Due to the increased data traffic </w:t>
      </w:r>
      <w:r w:rsidR="00D96770">
        <w:rPr>
          <w:lang w:val="en-GB"/>
        </w:rPr>
        <w:t xml:space="preserve">on </w:t>
      </w:r>
      <w:r>
        <w:rPr>
          <w:lang w:val="en-GB"/>
        </w:rPr>
        <w:t xml:space="preserve">base stations in mobile networks, the use of high capacity backhaul network links is necessary. As with the 26 GHz frequency band, a large number of backhaul network links are expected to be established in the 32 GHz frequency band. For gigabit links used to meet increased data traffic needs, 112 MHz bandwidth (4 basic blocks) channels are expected to be used. In the case of the band and channel arrangement shown in Figure 3.1.2.1, </w:t>
      </w:r>
      <w:r w:rsidR="00936EE2">
        <w:rPr>
          <w:lang w:val="en-GB"/>
        </w:rPr>
        <w:t xml:space="preserve">points </w:t>
      </w:r>
      <w:r>
        <w:rPr>
          <w:lang w:val="en-GB"/>
        </w:rPr>
        <w:t xml:space="preserve">c) to f), when using channels with </w:t>
      </w:r>
      <w:r w:rsidR="00390C7E">
        <w:rPr>
          <w:lang w:val="en-GB"/>
        </w:rPr>
        <w:t xml:space="preserve">wider </w:t>
      </w:r>
      <w:r>
        <w:rPr>
          <w:lang w:val="en-GB"/>
        </w:rPr>
        <w:t xml:space="preserve">bandwidths near the </w:t>
      </w:r>
      <w:r w:rsidR="00390C7E">
        <w:rPr>
          <w:lang w:val="en-GB"/>
        </w:rPr>
        <w:t xml:space="preserve">edge of the </w:t>
      </w:r>
      <w:r>
        <w:rPr>
          <w:lang w:val="en-GB"/>
        </w:rPr>
        <w:t xml:space="preserve">band, the chance of interference is increased due to insufficient duplex gap size, and out-of-band emission may cause issues. Based on the above, the </w:t>
      </w:r>
      <w:r w:rsidR="00390C7E">
        <w:rPr>
          <w:lang w:val="en-GB"/>
        </w:rPr>
        <w:t xml:space="preserve">national </w:t>
      </w:r>
      <w:r>
        <w:rPr>
          <w:lang w:val="en-GB"/>
        </w:rPr>
        <w:t xml:space="preserve">regulation is based on the arrangement shown in </w:t>
      </w:r>
      <w:r w:rsidR="00936EE2">
        <w:rPr>
          <w:lang w:val="en-GB"/>
        </w:rPr>
        <w:t xml:space="preserve">points </w:t>
      </w:r>
      <w:r>
        <w:rPr>
          <w:lang w:val="en-GB"/>
        </w:rPr>
        <w:t xml:space="preserve">a) and b) of Figure 3.1.2.1; the figure illustrating the band arrangement is included in the Annex. </w:t>
      </w:r>
    </w:p>
    <w:p w14:paraId="6309A868" w14:textId="35BB99AE" w:rsidR="00C56362" w:rsidRDefault="00C56362" w:rsidP="00C56362">
      <w:pPr>
        <w:pStyle w:val="Behzottbekezdsnmhh"/>
      </w:pPr>
      <w:r>
        <w:rPr>
          <w:lang w:val="en-GB"/>
        </w:rPr>
        <w:t xml:space="preserve">Under current international regulations, it is possible to use channels with a bandwidth of 112 MHz and 224 MHz in addition to those with 56 MHz (see Figure 3.1.2.2). In the case of block management, it must be taken into account that the amount of spectrum available for </w:t>
      </w:r>
      <w:r w:rsidR="00F4174A">
        <w:rPr>
          <w:lang w:val="en-GB"/>
        </w:rPr>
        <w:t xml:space="preserve">distribution </w:t>
      </w:r>
      <w:r>
        <w:rPr>
          <w:lang w:val="en-GB"/>
        </w:rPr>
        <w:t xml:space="preserve">in the frequency band is limited and the upper limit of the size of user blocks determined on the basis of expected operator needs determines the amount of channel bandwidth that can be used. In addition, it is worth considering that the territorial </w:t>
      </w:r>
      <w:r w:rsidR="00F4174A">
        <w:rPr>
          <w:lang w:val="en-GB"/>
        </w:rPr>
        <w:t xml:space="preserve">coverage </w:t>
      </w:r>
      <w:r>
        <w:rPr>
          <w:lang w:val="en-GB"/>
        </w:rPr>
        <w:t xml:space="preserve">of the entitlement to radio spectrum use acquired in the frequency band is essentially </w:t>
      </w:r>
      <w:r w:rsidR="00F4174A">
        <w:rPr>
          <w:lang w:val="en-GB"/>
        </w:rPr>
        <w:t>nationwide</w:t>
      </w:r>
      <w:r>
        <w:rPr>
          <w:lang w:val="en-GB"/>
        </w:rPr>
        <w:t xml:space="preserve">, and the overlapping channels with 224 MHz bandwidth </w:t>
      </w:r>
      <w:r w:rsidR="00F4174A">
        <w:rPr>
          <w:lang w:val="en-GB"/>
        </w:rPr>
        <w:t xml:space="preserve">in specific cases </w:t>
      </w:r>
      <w:r>
        <w:rPr>
          <w:lang w:val="en-GB"/>
        </w:rPr>
        <w:t xml:space="preserve">can </w:t>
      </w:r>
      <w:r w:rsidR="00F4174A">
        <w:rPr>
          <w:lang w:val="en-GB"/>
        </w:rPr>
        <w:t xml:space="preserve">only </w:t>
      </w:r>
      <w:r>
        <w:rPr>
          <w:lang w:val="en-GB"/>
        </w:rPr>
        <w:t xml:space="preserve">be used </w:t>
      </w:r>
      <w:r w:rsidR="00F4174A">
        <w:rPr>
          <w:lang w:val="en-GB"/>
        </w:rPr>
        <w:t>with</w:t>
      </w:r>
      <w:r>
        <w:rPr>
          <w:lang w:val="en-GB"/>
        </w:rPr>
        <w:t xml:space="preserve"> geographical separation, so that a maximum channel bandwidth of 112 MHz can be used according to </w:t>
      </w:r>
      <w:r w:rsidR="008B494B">
        <w:rPr>
          <w:lang w:val="en-GB"/>
        </w:rPr>
        <w:t xml:space="preserve">national </w:t>
      </w:r>
      <w:r>
        <w:rPr>
          <w:lang w:val="en-GB"/>
        </w:rPr>
        <w:t xml:space="preserve">regulations (Section 2.5 of Annex 3 to the NFFF Decree). </w:t>
      </w:r>
    </w:p>
    <w:p w14:paraId="048E9346" w14:textId="5BF0B63F" w:rsidR="00C56362" w:rsidRDefault="00C56362" w:rsidP="00C95B1A">
      <w:pPr>
        <w:pStyle w:val="Cmsor3szmozottnmhh"/>
        <w:ind w:left="1287"/>
      </w:pPr>
      <w:bookmarkStart w:id="38" w:name="_Toc89185033"/>
      <w:bookmarkStart w:id="39" w:name="_Toc82171066"/>
      <w:bookmarkStart w:id="40" w:name="_Toc99619497"/>
      <w:r>
        <w:rPr>
          <w:bCs/>
          <w:lang w:val="en-GB"/>
        </w:rPr>
        <w:t>Considerations for user blocks and for the management of adjacent block interference</w:t>
      </w:r>
      <w:bookmarkEnd w:id="38"/>
      <w:bookmarkEnd w:id="39"/>
      <w:bookmarkEnd w:id="40"/>
    </w:p>
    <w:p w14:paraId="23AC4B5D" w14:textId="7F682568" w:rsidR="003E0C77" w:rsidRDefault="003E0C77" w:rsidP="003E0C77">
      <w:pPr>
        <w:pStyle w:val="Behzottbekezdsnmhh"/>
      </w:pPr>
      <w:r>
        <w:rPr>
          <w:lang w:val="en-GB"/>
        </w:rPr>
        <w:t>Section 2.13 of Annex 3 to the NFFF Decree contains the technical and spectrum management conditions for the use of the 32 GHz frequency band.</w:t>
      </w:r>
    </w:p>
    <w:p w14:paraId="23D3E556" w14:textId="5688110D" w:rsidR="003E0C77" w:rsidRDefault="003E0C77" w:rsidP="003E0C77">
      <w:pPr>
        <w:pStyle w:val="Behzottbekezdsnmhh"/>
      </w:pPr>
      <w:r w:rsidRPr="00936EE2">
        <w:rPr>
          <w:lang w:val="en-GB"/>
        </w:rPr>
        <w:t xml:space="preserve">Recommendation ECC/REC/(11)01 specifies guidelines for fixed wireless point-to-multipoint systems for the creation and assignment of user blocks and sets out the principles to be taken into account when using radio spectrum in the </w:t>
      </w:r>
      <w:r w:rsidR="00056659" w:rsidRPr="00E71F7F">
        <w:rPr>
          <w:lang w:val="en-GB"/>
        </w:rPr>
        <w:t xml:space="preserve">framework </w:t>
      </w:r>
      <w:r w:rsidRPr="00E71F7F">
        <w:rPr>
          <w:lang w:val="en-GB"/>
        </w:rPr>
        <w:t xml:space="preserve">of block management. Accordingly, it is advisable </w:t>
      </w:r>
      <w:r w:rsidRPr="00E71F7F">
        <w:rPr>
          <w:lang w:val="en-GB"/>
        </w:rPr>
        <w:lastRenderedPageBreak/>
        <w:t xml:space="preserve">to choose the size of the basic block for a bandwidth of 28 MHz, and the user block sizes may be integer multiples of the basic block. The document also provides a recommendation on the size of the guard </w:t>
      </w:r>
      <w:r w:rsidRPr="001C1A86">
        <w:rPr>
          <w:lang w:val="en-GB"/>
        </w:rPr>
        <w:t>range</w:t>
      </w:r>
      <w:r w:rsidRPr="00936EE2">
        <w:rPr>
          <w:lang w:val="en-GB"/>
        </w:rPr>
        <w:t xml:space="preserve"> (such as the separation band between user blocks) when using point-to-multipoint systems, assuming that they are to be used in the same area, in order to avoid interference without using other interference mitigating methods. According to the recommendation referenced above, the </w:t>
      </w:r>
      <w:r w:rsidR="00056659" w:rsidRPr="00936EE2">
        <w:rPr>
          <w:lang w:val="en-GB"/>
        </w:rPr>
        <w:t xml:space="preserve">wider </w:t>
      </w:r>
      <w:r w:rsidRPr="00936EE2">
        <w:rPr>
          <w:lang w:val="en-GB"/>
        </w:rPr>
        <w:t xml:space="preserve">channel bandwidth </w:t>
      </w:r>
      <w:r w:rsidR="00056659" w:rsidRPr="00936EE2">
        <w:rPr>
          <w:lang w:val="en-GB"/>
        </w:rPr>
        <w:t xml:space="preserve">is </w:t>
      </w:r>
      <w:r w:rsidRPr="00936EE2">
        <w:rPr>
          <w:lang w:val="en-GB"/>
        </w:rPr>
        <w:t xml:space="preserve">used, the greater the guard range should be in order to avoid </w:t>
      </w:r>
      <w:r w:rsidRPr="00E71F7F">
        <w:rPr>
          <w:lang w:val="en-GB"/>
        </w:rPr>
        <w:t xml:space="preserve">adjacent block </w:t>
      </w:r>
      <w:r w:rsidR="00056659" w:rsidRPr="00E71F7F">
        <w:rPr>
          <w:lang w:val="en-GB"/>
        </w:rPr>
        <w:t xml:space="preserve">interference </w:t>
      </w:r>
      <w:r w:rsidRPr="00E71F7F">
        <w:rPr>
          <w:lang w:val="en-GB"/>
        </w:rPr>
        <w:t xml:space="preserve">(it is recommended to use a guard </w:t>
      </w:r>
      <w:r w:rsidRPr="001C1A86">
        <w:rPr>
          <w:lang w:val="en-GB"/>
        </w:rPr>
        <w:t>range as large as the bandwidth of the adjacent channels). These recommendations are relevant to the operation of point-to-multipoint systems.</w:t>
      </w:r>
      <w:r>
        <w:rPr>
          <w:lang w:val="en-GB"/>
        </w:rPr>
        <w:t xml:space="preserve">  </w:t>
      </w:r>
    </w:p>
    <w:p w14:paraId="1311D0B6" w14:textId="7F87CD4F" w:rsidR="003E0C77" w:rsidRDefault="003E0C77" w:rsidP="003E0C77">
      <w:pPr>
        <w:pStyle w:val="Behzottbekezdsnmhh"/>
      </w:pPr>
      <w:r>
        <w:rPr>
          <w:lang w:val="en-GB"/>
        </w:rPr>
        <w:t xml:space="preserve">In general, if </w:t>
      </w:r>
      <w:r w:rsidR="00936EE2" w:rsidRPr="00936EE2">
        <w:rPr>
          <w:lang w:val="en-GB"/>
        </w:rPr>
        <w:t xml:space="preserve">geographical </w:t>
      </w:r>
      <w:r w:rsidRPr="00936EE2">
        <w:rPr>
          <w:lang w:val="en-GB"/>
        </w:rPr>
        <w:t xml:space="preserve">separation </w:t>
      </w:r>
      <w:r>
        <w:rPr>
          <w:lang w:val="en-GB"/>
        </w:rPr>
        <w:t>cannot be ensured for point-to-multipoint systems, it is recommended to use either an external guard band (to separate user blocks) or an internal guard band (</w:t>
      </w:r>
      <w:r w:rsidR="00271A51">
        <w:rPr>
          <w:lang w:val="en-GB"/>
        </w:rPr>
        <w:t xml:space="preserve">at the edge of the </w:t>
      </w:r>
      <w:r>
        <w:rPr>
          <w:lang w:val="en-GB"/>
        </w:rPr>
        <w:t xml:space="preserve">block within user blocks) in accordance with Recommendation ECC/REC/(11)01. In the latter case, separation can be achieved by choosing the appropriate polarization: using polarization opposite to the polarization used in the adjacent block. Polarisation can be either vertical ('V') or horizontal ('H') and, by default, either can be used within the user block. </w:t>
      </w:r>
    </w:p>
    <w:p w14:paraId="2D809FFF" w14:textId="0AB404B3" w:rsidR="003E0C77" w:rsidRDefault="003E0C77" w:rsidP="003E0C77">
      <w:pPr>
        <w:pStyle w:val="Behzottbekezdsnmhh"/>
      </w:pPr>
      <w:r w:rsidRPr="00936EE2">
        <w:rPr>
          <w:lang w:val="en-GB"/>
        </w:rPr>
        <w:t xml:space="preserve">The two different separation solutions are illustrated in Figures 4.1.2.1 and 4.1.2.2. When an external guard band is used (Figure 4.1.2.1), </w:t>
      </w:r>
      <w:r w:rsidR="0003625B" w:rsidRPr="00E71F7F">
        <w:rPr>
          <w:lang w:val="en-GB"/>
        </w:rPr>
        <w:t xml:space="preserve">a </w:t>
      </w:r>
      <w:r w:rsidRPr="00E71F7F">
        <w:rPr>
          <w:lang w:val="en-GB"/>
        </w:rPr>
        <w:t xml:space="preserve">guard band </w:t>
      </w:r>
      <w:r w:rsidR="0003625B" w:rsidRPr="00E71F7F">
        <w:rPr>
          <w:lang w:val="en-GB"/>
        </w:rPr>
        <w:t>of one basic block</w:t>
      </w:r>
      <w:r w:rsidR="0003625B" w:rsidRPr="001C1A86">
        <w:rPr>
          <w:lang w:val="en-GB"/>
        </w:rPr>
        <w:t xml:space="preserve"> </w:t>
      </w:r>
      <w:r w:rsidRPr="001C1A86">
        <w:rPr>
          <w:lang w:val="en-GB"/>
        </w:rPr>
        <w:t xml:space="preserve">separates user blocks suitable for using both polarizations (marked as C). In the case of a guard band within a user block (Figure 4.1.2.2), only polarisation opposite to the polarisation used in the basic block at the edge of the adjacent user block (marked as E) may be used in the basic block </w:t>
      </w:r>
      <w:r w:rsidR="00247858" w:rsidRPr="001C1A86">
        <w:rPr>
          <w:lang w:val="en-GB"/>
        </w:rPr>
        <w:t xml:space="preserve">at </w:t>
      </w:r>
      <w:r w:rsidRPr="001C1A86">
        <w:rPr>
          <w:lang w:val="en-GB"/>
        </w:rPr>
        <w:t xml:space="preserve">the edge of the user block; however, both polarizations (marked as C) may be used inside the user block. In the latter case, the adjacent operators must consult each other on the use of the basic block </w:t>
      </w:r>
      <w:r w:rsidR="00247858" w:rsidRPr="001C1A86">
        <w:rPr>
          <w:lang w:val="en-GB"/>
        </w:rPr>
        <w:t xml:space="preserve">at </w:t>
      </w:r>
      <w:r w:rsidRPr="001C1A86">
        <w:rPr>
          <w:lang w:val="en-GB"/>
        </w:rPr>
        <w:t>the edge with regard to the polarisation used.</w:t>
      </w:r>
    </w:p>
    <w:p w14:paraId="634DB31E" w14:textId="77777777" w:rsidR="003E0C77" w:rsidRDefault="003E0C77" w:rsidP="00C56362">
      <w:pPr>
        <w:pStyle w:val="Behzottbekezdsnmhh"/>
      </w:pPr>
    </w:p>
    <w:p w14:paraId="320AD1A8" w14:textId="77777777" w:rsidR="00C20E17" w:rsidRDefault="00C20E17" w:rsidP="00983E9F">
      <w:pPr>
        <w:pStyle w:val="Behzottbekezdsnmhh"/>
        <w:keepNext/>
        <w:jc w:val="center"/>
      </w:pPr>
      <w:r>
        <w:rPr>
          <w:noProof/>
          <w:lang w:eastAsia="hu-HU"/>
        </w:rPr>
        <w:drawing>
          <wp:inline distT="0" distB="0" distL="0" distR="0" wp14:anchorId="77FFFD96" wp14:editId="32B06BA3">
            <wp:extent cx="2556148" cy="1033337"/>
            <wp:effectExtent l="0" t="0" r="0" b="0"/>
            <wp:docPr id="4"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ép 11"/>
                    <pic:cNvPicPr>
                      <a:picLocks noChangeAspect="1"/>
                    </pic:cNvPicPr>
                  </pic:nvPicPr>
                  <pic:blipFill>
                    <a:blip r:embed="rId17"/>
                    <a:stretch>
                      <a:fillRect/>
                    </a:stretch>
                  </pic:blipFill>
                  <pic:spPr>
                    <a:xfrm>
                      <a:off x="0" y="0"/>
                      <a:ext cx="2556148" cy="1033337"/>
                    </a:xfrm>
                    <a:prstGeom prst="rect">
                      <a:avLst/>
                    </a:prstGeom>
                  </pic:spPr>
                </pic:pic>
              </a:graphicData>
            </a:graphic>
          </wp:inline>
        </w:drawing>
      </w:r>
    </w:p>
    <w:p w14:paraId="3FDBC0A5" w14:textId="4CDA7796" w:rsidR="00C20E17" w:rsidRDefault="00C20E17" w:rsidP="00983E9F">
      <w:pPr>
        <w:pStyle w:val="Kpalrs"/>
        <w:jc w:val="center"/>
      </w:pPr>
      <w:r>
        <w:rPr>
          <w:lang w:val="en-GB"/>
        </w:rPr>
        <w:t>Figure 4.1.2.1 Using an external guard band for separation of user blocks [Source: ECC/REC/(11)01]</w:t>
      </w:r>
    </w:p>
    <w:p w14:paraId="79533E76" w14:textId="31E26530" w:rsidR="00C20E17" w:rsidRDefault="00C20E17" w:rsidP="00C56362">
      <w:pPr>
        <w:pStyle w:val="Behzottbekezdsnmhh"/>
      </w:pPr>
    </w:p>
    <w:p w14:paraId="2CC28247" w14:textId="77777777" w:rsidR="00C20E17" w:rsidRDefault="00C20E17" w:rsidP="00983E9F">
      <w:pPr>
        <w:pStyle w:val="Behzottbekezdsnmhh"/>
        <w:keepNext/>
        <w:jc w:val="center"/>
      </w:pPr>
      <w:r>
        <w:rPr>
          <w:noProof/>
          <w:lang w:eastAsia="hu-HU"/>
        </w:rPr>
        <w:drawing>
          <wp:inline distT="0" distB="0" distL="0" distR="0" wp14:anchorId="5CB7FA05" wp14:editId="18FF7014">
            <wp:extent cx="3765340" cy="1189767"/>
            <wp:effectExtent l="0" t="0" r="6985" b="0"/>
            <wp:docPr id="13"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ép 12"/>
                    <pic:cNvPicPr>
                      <a:picLocks noChangeAspect="1"/>
                    </pic:cNvPicPr>
                  </pic:nvPicPr>
                  <pic:blipFill>
                    <a:blip r:embed="rId18"/>
                    <a:stretch>
                      <a:fillRect/>
                    </a:stretch>
                  </pic:blipFill>
                  <pic:spPr>
                    <a:xfrm>
                      <a:off x="0" y="0"/>
                      <a:ext cx="3765340" cy="1189767"/>
                    </a:xfrm>
                    <a:prstGeom prst="rect">
                      <a:avLst/>
                    </a:prstGeom>
                  </pic:spPr>
                </pic:pic>
              </a:graphicData>
            </a:graphic>
          </wp:inline>
        </w:drawing>
      </w:r>
    </w:p>
    <w:p w14:paraId="55509F21" w14:textId="17859FFA" w:rsidR="00C20E17" w:rsidRDefault="00C20E17" w:rsidP="00C20E17">
      <w:pPr>
        <w:pStyle w:val="Kpalrs"/>
        <w:jc w:val="center"/>
      </w:pPr>
      <w:r>
        <w:rPr>
          <w:lang w:val="en-GB"/>
        </w:rPr>
        <w:t>Figure 4.1.2.2 Using an internal guard band for separation of user blocks [Source: ECC/REC/(11)01]</w:t>
      </w:r>
    </w:p>
    <w:p w14:paraId="4DE11040" w14:textId="77777777" w:rsidR="00992927" w:rsidRDefault="00992927" w:rsidP="00C56362">
      <w:pPr>
        <w:pStyle w:val="Behzottbekezdsnmhh"/>
      </w:pPr>
    </w:p>
    <w:p w14:paraId="66207D5E" w14:textId="055497F5" w:rsidR="00C56362" w:rsidRDefault="00C56362" w:rsidP="00C56362">
      <w:pPr>
        <w:pStyle w:val="Behzottbekezdsnmhh"/>
      </w:pPr>
      <w:r>
        <w:rPr>
          <w:lang w:val="en-GB"/>
        </w:rPr>
        <w:t xml:space="preserve">Therefore, the use of the separation band between user blocks is especially important when operating point-to-multipoint systems, where typically sectoral </w:t>
      </w:r>
      <w:r w:rsidR="00936EE2">
        <w:rPr>
          <w:lang w:val="en-GB"/>
        </w:rPr>
        <w:t xml:space="preserve">antennas </w:t>
      </w:r>
      <w:r>
        <w:rPr>
          <w:lang w:val="en-GB"/>
        </w:rPr>
        <w:t xml:space="preserve">are used (with point-to-point systems the chance for interference due to concentrated line </w:t>
      </w:r>
      <w:r w:rsidR="0034621E">
        <w:rPr>
          <w:lang w:val="en-GB"/>
        </w:rPr>
        <w:t xml:space="preserve">radiation </w:t>
      </w:r>
      <w:r>
        <w:rPr>
          <w:lang w:val="en-GB"/>
        </w:rPr>
        <w:t xml:space="preserve">is low). At the time </w:t>
      </w:r>
      <w:r w:rsidR="00767705">
        <w:rPr>
          <w:lang w:val="en-GB"/>
        </w:rPr>
        <w:t xml:space="preserve">when </w:t>
      </w:r>
      <w:r>
        <w:rPr>
          <w:lang w:val="en-GB"/>
        </w:rPr>
        <w:t>the recommendation</w:t>
      </w:r>
      <w:r w:rsidR="00767705">
        <w:rPr>
          <w:lang w:val="en-GB"/>
        </w:rPr>
        <w:t xml:space="preserve"> was published</w:t>
      </w:r>
      <w:r>
        <w:rPr>
          <w:lang w:val="en-GB"/>
        </w:rPr>
        <w:t xml:space="preserve">, the the widest </w:t>
      </w:r>
      <w:r w:rsidR="00767705">
        <w:rPr>
          <w:lang w:val="en-GB"/>
        </w:rPr>
        <w:t>channel</w:t>
      </w:r>
      <w:r w:rsidR="00372240">
        <w:rPr>
          <w:lang w:val="en-GB"/>
        </w:rPr>
        <w:t xml:space="preserve"> </w:t>
      </w:r>
      <w:r>
        <w:rPr>
          <w:lang w:val="en-GB"/>
        </w:rPr>
        <w:t xml:space="preserve">bandwidth used by operators was typically 28 MHz, so it was sufficient to use a 28 MHz separation band between user blocks. These principles were applied by the NMHH when </w:t>
      </w:r>
      <w:r w:rsidR="00767705">
        <w:rPr>
          <w:lang w:val="en-GB"/>
        </w:rPr>
        <w:t xml:space="preserve">making the regulation for </w:t>
      </w:r>
      <w:r>
        <w:rPr>
          <w:lang w:val="en-GB"/>
        </w:rPr>
        <w:t xml:space="preserve">the 26 GHz frequency band; accordingly, </w:t>
      </w:r>
      <w:r w:rsidR="00A22925">
        <w:rPr>
          <w:lang w:val="en-GB"/>
        </w:rPr>
        <w:t xml:space="preserve">in </w:t>
      </w:r>
      <w:r>
        <w:rPr>
          <w:lang w:val="en-GB"/>
        </w:rPr>
        <w:t xml:space="preserve">the </w:t>
      </w:r>
      <w:r>
        <w:rPr>
          <w:lang w:val="en-GB"/>
        </w:rPr>
        <w:lastRenderedPageBreak/>
        <w:t xml:space="preserve">NFFF Decree 28 MHz separation band for 26 GHz </w:t>
      </w:r>
      <w:r w:rsidRPr="00DD5334">
        <w:rPr>
          <w:lang w:val="en-GB"/>
        </w:rPr>
        <w:t>fixed service applications</w:t>
      </w:r>
      <w:r w:rsidR="00A22925" w:rsidRPr="00DD5334">
        <w:rPr>
          <w:lang w:val="en-GB"/>
        </w:rPr>
        <w:t xml:space="preserve"> was stipulated</w:t>
      </w:r>
      <w:r w:rsidRPr="00DD5334">
        <w:rPr>
          <w:lang w:val="en-GB"/>
        </w:rPr>
        <w:t xml:space="preserve">, where </w:t>
      </w:r>
      <w:r w:rsidR="00372240" w:rsidRPr="00DD5334">
        <w:rPr>
          <w:lang w:val="en-GB"/>
        </w:rPr>
        <w:t xml:space="preserve">a </w:t>
      </w:r>
      <w:r w:rsidRPr="00DD5334">
        <w:rPr>
          <w:lang w:val="en-GB"/>
        </w:rPr>
        <w:t xml:space="preserve">fixed (external) guard band </w:t>
      </w:r>
      <w:r w:rsidR="002B401D" w:rsidRPr="00E71F7F">
        <w:rPr>
          <w:lang w:val="en-GB"/>
        </w:rPr>
        <w:t xml:space="preserve">of one basic block </w:t>
      </w:r>
      <w:r w:rsidR="00A22925" w:rsidRPr="00E71F7F">
        <w:rPr>
          <w:lang w:val="en-GB"/>
        </w:rPr>
        <w:t xml:space="preserve">shall </w:t>
      </w:r>
      <w:r w:rsidRPr="001C1A86">
        <w:rPr>
          <w:lang w:val="en-GB"/>
        </w:rPr>
        <w:t>be used to separate user blocks</w:t>
      </w:r>
      <w:r w:rsidR="00A22925" w:rsidRPr="001C1A86">
        <w:rPr>
          <w:lang w:val="en-GB"/>
        </w:rPr>
        <w:t xml:space="preserve"> that cannot be distributed</w:t>
      </w:r>
      <w:r w:rsidRPr="001C1A86">
        <w:rPr>
          <w:lang w:val="en-GB"/>
        </w:rPr>
        <w:t>. In addition</w:t>
      </w:r>
      <w:r>
        <w:rPr>
          <w:lang w:val="en-GB"/>
        </w:rPr>
        <w:t xml:space="preserve"> to 28 MHz and </w:t>
      </w:r>
      <w:r w:rsidR="00EB3EF4">
        <w:rPr>
          <w:lang w:val="en-GB"/>
        </w:rPr>
        <w:t xml:space="preserve">narrower </w:t>
      </w:r>
      <w:r>
        <w:rPr>
          <w:lang w:val="en-GB"/>
        </w:rPr>
        <w:t xml:space="preserve">bandwidth channels, some operators have also started to use 56 MHz bandwidth channels, but typically this has not yet caused any particular issues (although isolated cases did occur) when using the band, mainly because the </w:t>
      </w:r>
      <w:r w:rsidR="00EB3EF4">
        <w:rPr>
          <w:lang w:val="en-GB"/>
        </w:rPr>
        <w:t xml:space="preserve">vast </w:t>
      </w:r>
      <w:r>
        <w:rPr>
          <w:lang w:val="en-GB"/>
        </w:rPr>
        <w:t>majority of the systems operated are of point-to-point</w:t>
      </w:r>
      <w:r w:rsidR="00DD5334">
        <w:rPr>
          <w:lang w:val="en-GB"/>
        </w:rPr>
        <w:t xml:space="preserve"> type</w:t>
      </w:r>
      <w:r>
        <w:rPr>
          <w:lang w:val="en-GB"/>
        </w:rPr>
        <w:t>.</w:t>
      </w:r>
    </w:p>
    <w:p w14:paraId="64011F68" w14:textId="48C22FA9" w:rsidR="00C56362" w:rsidRDefault="003E0C77" w:rsidP="00C56362">
      <w:pPr>
        <w:pStyle w:val="Behzottbekezdsnmhh"/>
      </w:pPr>
      <w:r>
        <w:rPr>
          <w:lang w:val="en-GB"/>
        </w:rPr>
        <w:t>Increasing the channel bandwidth increases the likelihood of adjacent block</w:t>
      </w:r>
      <w:r w:rsidR="00EB3EF4">
        <w:rPr>
          <w:lang w:val="en-GB"/>
        </w:rPr>
        <w:t xml:space="preserve"> interference</w:t>
      </w:r>
      <w:r>
        <w:rPr>
          <w:lang w:val="en-GB"/>
        </w:rPr>
        <w:t xml:space="preserve">. </w:t>
      </w:r>
      <w:r w:rsidR="00C12B7B">
        <w:rPr>
          <w:lang w:val="en-GB"/>
        </w:rPr>
        <w:t xml:space="preserve">According to </w:t>
      </w:r>
      <w:r>
        <w:rPr>
          <w:lang w:val="en-GB"/>
        </w:rPr>
        <w:t xml:space="preserve">the regulation for the 26 GHz frequency band, a radio spectrum right holder using a channel with a bandwidth </w:t>
      </w:r>
      <w:r w:rsidR="00C12B7B">
        <w:rPr>
          <w:lang w:val="en-GB"/>
        </w:rPr>
        <w:t xml:space="preserve">wider </w:t>
      </w:r>
      <w:r>
        <w:rPr>
          <w:lang w:val="en-GB"/>
        </w:rPr>
        <w:t>than 28 MHz at the edge of the user block (or at a frequency distance from the edge of the block that could cause interference to the station us</w:t>
      </w:r>
      <w:r w:rsidR="00C12B7B">
        <w:rPr>
          <w:lang w:val="en-GB"/>
        </w:rPr>
        <w:t>ed</w:t>
      </w:r>
      <w:r>
        <w:rPr>
          <w:lang w:val="en-GB"/>
        </w:rPr>
        <w:t xml:space="preserve"> </w:t>
      </w:r>
      <w:r w:rsidR="00C12B7B">
        <w:rPr>
          <w:lang w:val="en-GB"/>
        </w:rPr>
        <w:t xml:space="preserve">in </w:t>
      </w:r>
      <w:r>
        <w:rPr>
          <w:lang w:val="en-GB"/>
        </w:rPr>
        <w:t>the adjacent block) is required to take action in the event of adjacent block</w:t>
      </w:r>
      <w:r w:rsidR="003D1EED">
        <w:rPr>
          <w:lang w:val="en-GB"/>
        </w:rPr>
        <w:t xml:space="preserve"> interference</w:t>
      </w:r>
      <w:r>
        <w:rPr>
          <w:lang w:val="en-GB"/>
        </w:rPr>
        <w:t>. For the 32 GHz frequency band, due to the need for higher capacity links, the bandwidth of the channels used for transmission is expected to be multiples of 28 MHz (typically 56 and 112 MHz expected); therefore, new technical and spectrum management considerations are needed. In the event of interference, the prioritisation of channels with a bandwidth of 28 MHz and less is not an appropriate solution, nor is the use of a 28 MHz separation band between user blocks sufficient to eliminate the adjacent block</w:t>
      </w:r>
      <w:r w:rsidR="003D1EED">
        <w:rPr>
          <w:lang w:val="en-GB"/>
        </w:rPr>
        <w:t xml:space="preserve"> interference</w:t>
      </w:r>
      <w:r>
        <w:rPr>
          <w:lang w:val="en-GB"/>
        </w:rPr>
        <w:t xml:space="preserve">. Taking into account the above considerations and the nature of the expected use (primarily point-to-point links), the size of the separation band for the 32 GHz band between user blocks is not specified at the legal level </w:t>
      </w:r>
      <w:r>
        <w:rPr>
          <w:color w:val="000000"/>
          <w:shd w:val="clear" w:color="auto" w:fill="FFFFFF"/>
          <w:lang w:val="en-GB"/>
        </w:rPr>
        <w:t>in the draft amendment to the NFFF Decree (Annex 3, Section 2.3.11 of the NFFF Decree), which is undergoing the technical notification procedure</w:t>
      </w:r>
      <w:r>
        <w:rPr>
          <w:lang w:val="en-GB"/>
        </w:rPr>
        <w:t xml:space="preserve">. The NMHH will </w:t>
      </w:r>
      <w:r w:rsidR="003D1EED">
        <w:rPr>
          <w:lang w:val="en-GB"/>
        </w:rPr>
        <w:t xml:space="preserve">stipulate </w:t>
      </w:r>
      <w:r>
        <w:rPr>
          <w:lang w:val="en-GB"/>
        </w:rPr>
        <w:t xml:space="preserve">this in the documentation of the planned </w:t>
      </w:r>
      <w:r w:rsidR="003D1EED">
        <w:rPr>
          <w:lang w:val="en-GB"/>
        </w:rPr>
        <w:t xml:space="preserve">competitive </w:t>
      </w:r>
      <w:r>
        <w:rPr>
          <w:lang w:val="en-GB"/>
        </w:rPr>
        <w:t xml:space="preserve">procedure. </w:t>
      </w:r>
    </w:p>
    <w:p w14:paraId="280A802D" w14:textId="54A4A5BE" w:rsidR="00C56362" w:rsidRDefault="00C56362" w:rsidP="00C56362">
      <w:pPr>
        <w:pStyle w:val="Behzottbekezdsnmhh"/>
      </w:pPr>
      <w:r>
        <w:rPr>
          <w:lang w:val="en-GB"/>
        </w:rPr>
        <w:t xml:space="preserve">Coordination between stations </w:t>
      </w:r>
      <w:r w:rsidR="003D1EED">
        <w:rPr>
          <w:lang w:val="en-GB"/>
        </w:rPr>
        <w:t xml:space="preserve">deployed </w:t>
      </w:r>
      <w:r>
        <w:rPr>
          <w:lang w:val="en-GB"/>
        </w:rPr>
        <w:t>in the same geographical location may, in some cases, be necessary (in order to use other interference mitigation techniques) so as to avoid interference between adjacent channels.</w:t>
      </w:r>
    </w:p>
    <w:p w14:paraId="57282E90" w14:textId="0A39DF39" w:rsidR="00C56362" w:rsidRPr="0002366A" w:rsidRDefault="00C56362" w:rsidP="007F3AF1">
      <w:pPr>
        <w:pStyle w:val="Cmsor3szmozottnmhh"/>
        <w:ind w:left="1287"/>
      </w:pPr>
      <w:bookmarkStart w:id="41" w:name="_Toc89185034"/>
      <w:bookmarkStart w:id="42" w:name="_Toc99619498"/>
      <w:bookmarkEnd w:id="41"/>
      <w:r>
        <w:rPr>
          <w:bCs/>
          <w:lang w:val="en-GB"/>
        </w:rPr>
        <w:t>Aspects related to equipment tuning range</w:t>
      </w:r>
      <w:bookmarkEnd w:id="42"/>
    </w:p>
    <w:p w14:paraId="3678D26D" w14:textId="4052FD3E" w:rsidR="00C56362" w:rsidRDefault="00C56362" w:rsidP="00C56362">
      <w:pPr>
        <w:pStyle w:val="Behzottbekezdsnmhh"/>
      </w:pPr>
      <w:r>
        <w:rPr>
          <w:lang w:val="en-GB"/>
        </w:rPr>
        <w:t xml:space="preserve">With regards to the use of the frequency band, the question may arise whether the tuning range of the equipment covers the whole band or whether a particular type of equipment can only be used in a smaller range. The tuning range of the available equipment may be </w:t>
      </w:r>
      <w:r w:rsidR="003D1EED">
        <w:rPr>
          <w:lang w:val="en-GB"/>
        </w:rPr>
        <w:t xml:space="preserve">of </w:t>
      </w:r>
      <w:r>
        <w:rPr>
          <w:lang w:val="en-GB"/>
        </w:rPr>
        <w:t xml:space="preserve">interest because the user block of one of the winners may be placed in the middle of the band in such a way that it includes the breakpoint. In an unfortunate case, this may even mean that the right holder cannot use a </w:t>
      </w:r>
      <w:r w:rsidR="00672A4F">
        <w:rPr>
          <w:lang w:val="en-GB"/>
        </w:rPr>
        <w:t>wider channel</w:t>
      </w:r>
      <w:r>
        <w:rPr>
          <w:lang w:val="en-GB"/>
        </w:rPr>
        <w:t xml:space="preserve"> bandwidth (e.g. 112 MHz), even though the size of the user block allows it, because </w:t>
      </w:r>
      <w:r w:rsidR="00672A4F">
        <w:rPr>
          <w:lang w:val="en-GB"/>
        </w:rPr>
        <w:t>the spectrum use</w:t>
      </w:r>
      <w:r>
        <w:rPr>
          <w:lang w:val="en-GB"/>
        </w:rPr>
        <w:t xml:space="preserve"> </w:t>
      </w:r>
      <w:r w:rsidR="00672A4F">
        <w:rPr>
          <w:lang w:val="en-GB"/>
        </w:rPr>
        <w:t xml:space="preserve">is limited by </w:t>
      </w:r>
      <w:r>
        <w:rPr>
          <w:lang w:val="en-GB"/>
        </w:rPr>
        <w:t xml:space="preserve">the frequency </w:t>
      </w:r>
      <w:r w:rsidR="00672A4F">
        <w:rPr>
          <w:lang w:val="en-GB"/>
        </w:rPr>
        <w:t xml:space="preserve">limit </w:t>
      </w:r>
      <w:r>
        <w:rPr>
          <w:lang w:val="en-GB"/>
        </w:rPr>
        <w:t xml:space="preserve">of the tuning range of a particular type of equipment. There are also breakpoints in the 26 GHz frequency band, but this type of issue was not critical there because the vast majority of links </w:t>
      </w:r>
      <w:r w:rsidR="00672A4F">
        <w:rPr>
          <w:lang w:val="en-GB"/>
        </w:rPr>
        <w:t xml:space="preserve">operate with </w:t>
      </w:r>
      <w:r>
        <w:rPr>
          <w:lang w:val="en-GB"/>
        </w:rPr>
        <w:t>28 MHz and 56 MHz channel bandwidth, respectively.</w:t>
      </w:r>
    </w:p>
    <w:p w14:paraId="369E2507" w14:textId="3FBCF17F" w:rsidR="007F3AF1" w:rsidRDefault="007F3AF1">
      <w:pPr>
        <w:spacing w:after="200"/>
        <w:jc w:val="left"/>
        <w:rPr>
          <w:sz w:val="20"/>
          <w:szCs w:val="20"/>
        </w:rPr>
      </w:pPr>
      <w:r>
        <w:rPr>
          <w:sz w:val="20"/>
          <w:szCs w:val="20"/>
          <w:lang w:val="en-GB"/>
        </w:rPr>
        <w:br w:type="page"/>
      </w:r>
    </w:p>
    <w:p w14:paraId="3FFF8A27" w14:textId="327ACF7A" w:rsidR="00DA53A4" w:rsidRDefault="00DA53A4" w:rsidP="007F3AF1">
      <w:pPr>
        <w:pStyle w:val="Cmsor2szmozottnmhh"/>
      </w:pPr>
      <w:bookmarkStart w:id="43" w:name="_Toc99619499"/>
      <w:r>
        <w:rPr>
          <w:bCs/>
          <w:lang w:val="en-GB"/>
        </w:rPr>
        <w:lastRenderedPageBreak/>
        <w:t>Regulation according to the NFFF Decree for the future use of the 32 GHz frequency band</w:t>
      </w:r>
      <w:bookmarkEnd w:id="43"/>
    </w:p>
    <w:p w14:paraId="6BFF4BEA" w14:textId="3AADF597" w:rsidR="003F13C8" w:rsidRDefault="003F13C8" w:rsidP="003F13C8">
      <w:pPr>
        <w:pStyle w:val="Cmsor3szmozottnmhh"/>
        <w:numPr>
          <w:ilvl w:val="2"/>
          <w:numId w:val="87"/>
        </w:numPr>
      </w:pPr>
      <w:bookmarkStart w:id="44" w:name="_Toc99619500"/>
      <w:r>
        <w:rPr>
          <w:bCs/>
          <w:lang w:val="en-GB"/>
        </w:rPr>
        <w:t>Radio spectrum management requirements</w:t>
      </w:r>
      <w:bookmarkEnd w:id="44"/>
    </w:p>
    <w:p w14:paraId="08C3F497" w14:textId="3CB16485" w:rsidR="00343F9F" w:rsidRDefault="003F13C8" w:rsidP="003F13C8">
      <w:pPr>
        <w:pStyle w:val="Behzottbekezdsnmhh"/>
      </w:pPr>
      <w:r>
        <w:rPr>
          <w:lang w:val="en-GB"/>
        </w:rPr>
        <w:t xml:space="preserve">The technical and radio spectrum management requirements for the future use of the 32 GHz frequency band are specified in Sections 2.5 and 2.13 of Annex 3 to the NFFF Decree currently </w:t>
      </w:r>
      <w:r>
        <w:rPr>
          <w:color w:val="000000"/>
          <w:shd w:val="clear" w:color="auto" w:fill="FFFFFF"/>
          <w:lang w:val="en-GB"/>
        </w:rPr>
        <w:t xml:space="preserve">in force and in the amendments to this section </w:t>
      </w:r>
      <w:r w:rsidR="00542BB8">
        <w:rPr>
          <w:color w:val="000000"/>
          <w:shd w:val="clear" w:color="auto" w:fill="FFFFFF"/>
          <w:lang w:val="en-GB"/>
        </w:rPr>
        <w:t xml:space="preserve">of </w:t>
      </w:r>
      <w:r>
        <w:rPr>
          <w:color w:val="000000"/>
          <w:shd w:val="clear" w:color="auto" w:fill="FFFFFF"/>
          <w:lang w:val="en-GB"/>
        </w:rPr>
        <w:t>the draft amendment to the NFFF Decree currently undergoing EU technical notification</w:t>
      </w:r>
      <w:r w:rsidR="007A4AD6">
        <w:rPr>
          <w:color w:val="000000"/>
          <w:shd w:val="clear" w:color="auto" w:fill="FFFFFF"/>
          <w:lang w:val="en-GB"/>
        </w:rPr>
        <w:t xml:space="preserve"> procedure</w:t>
      </w:r>
      <w:r>
        <w:rPr>
          <w:lang w:val="en-GB"/>
        </w:rPr>
        <w:t xml:space="preserve">. </w:t>
      </w:r>
    </w:p>
    <w:p w14:paraId="1B3A7546" w14:textId="7193595F" w:rsidR="00343F9F" w:rsidRPr="00D1041B" w:rsidRDefault="008627B8" w:rsidP="00D1041B">
      <w:pPr>
        <w:pStyle w:val="Behzottbekezdsnmhh"/>
      </w:pPr>
      <w:r>
        <w:rPr>
          <w:lang w:val="en-GB"/>
        </w:rPr>
        <w:t xml:space="preserve">Only point-to-point and point-to-multipoint systems with FDD access may be </w:t>
      </w:r>
      <w:r w:rsidR="004564F1">
        <w:rPr>
          <w:lang w:val="en-GB"/>
        </w:rPr>
        <w:t xml:space="preserve">put into operation </w:t>
      </w:r>
      <w:r>
        <w:rPr>
          <w:lang w:val="en-GB"/>
        </w:rPr>
        <w:t xml:space="preserve">in the 32 GHz band. The duplex spacing is 812 MHz. The </w:t>
      </w:r>
      <w:r w:rsidR="004564F1">
        <w:rPr>
          <w:lang w:val="en-GB"/>
        </w:rPr>
        <w:t xml:space="preserve">division </w:t>
      </w:r>
      <w:r>
        <w:rPr>
          <w:lang w:val="en-GB"/>
        </w:rPr>
        <w:t>of the frequency band into sub-bands is listed in Table 4.2.1.1:</w:t>
      </w:r>
    </w:p>
    <w:p w14:paraId="2CB1C889" w14:textId="77777777" w:rsidR="00343F9F" w:rsidRPr="00D1041B" w:rsidRDefault="00343F9F" w:rsidP="00D1041B">
      <w:pPr>
        <w:pStyle w:val="Behzottbekezdsnmh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268"/>
        <w:gridCol w:w="3265"/>
      </w:tblGrid>
      <w:tr w:rsidR="00D1041B" w14:paraId="37BA3CF5" w14:textId="77777777" w:rsidTr="00D1041B">
        <w:trPr>
          <w:cantSplit/>
          <w:trHeight w:val="23"/>
          <w:jc w:val="center"/>
        </w:trPr>
        <w:tc>
          <w:tcPr>
            <w:tcW w:w="2268" w:type="dxa"/>
            <w:tcBorders>
              <w:top w:val="single" w:sz="18" w:space="0" w:color="auto"/>
              <w:left w:val="single" w:sz="18" w:space="0" w:color="auto"/>
              <w:bottom w:val="single" w:sz="18" w:space="0" w:color="auto"/>
            </w:tcBorders>
            <w:vAlign w:val="center"/>
          </w:tcPr>
          <w:p w14:paraId="464C4A33" w14:textId="77777777" w:rsidR="00D1041B" w:rsidRDefault="00D1041B" w:rsidP="00CB7A92">
            <w:pPr>
              <w:keepNext/>
              <w:jc w:val="center"/>
              <w:rPr>
                <w:rFonts w:cs="Arial"/>
                <w:b/>
                <w:color w:val="000000"/>
                <w:sz w:val="18"/>
                <w:szCs w:val="18"/>
              </w:rPr>
            </w:pPr>
            <w:r>
              <w:rPr>
                <w:rFonts w:cs="Arial"/>
                <w:b/>
                <w:bCs/>
                <w:color w:val="000000"/>
                <w:sz w:val="18"/>
                <w:szCs w:val="18"/>
                <w:lang w:val="en-GB"/>
              </w:rPr>
              <w:t>Sub-band [MHz]</w:t>
            </w:r>
          </w:p>
        </w:tc>
        <w:tc>
          <w:tcPr>
            <w:tcW w:w="3265" w:type="dxa"/>
            <w:tcBorders>
              <w:top w:val="single" w:sz="18" w:space="0" w:color="auto"/>
              <w:bottom w:val="single" w:sz="18" w:space="0" w:color="auto"/>
              <w:right w:val="single" w:sz="18" w:space="0" w:color="auto"/>
            </w:tcBorders>
            <w:vAlign w:val="center"/>
          </w:tcPr>
          <w:p w14:paraId="77C766A8" w14:textId="77777777" w:rsidR="00D1041B" w:rsidRDefault="00D1041B" w:rsidP="00CB7A92">
            <w:pPr>
              <w:keepNext/>
              <w:jc w:val="center"/>
              <w:rPr>
                <w:rFonts w:cs="Arial"/>
                <w:b/>
                <w:color w:val="000000"/>
                <w:sz w:val="18"/>
                <w:szCs w:val="18"/>
              </w:rPr>
            </w:pPr>
            <w:r>
              <w:rPr>
                <w:rFonts w:cs="Arial"/>
                <w:b/>
                <w:bCs/>
                <w:color w:val="000000"/>
                <w:sz w:val="18"/>
                <w:szCs w:val="18"/>
                <w:lang w:val="en-GB"/>
              </w:rPr>
              <w:t>Name of sub-band</w:t>
            </w:r>
          </w:p>
        </w:tc>
      </w:tr>
      <w:tr w:rsidR="00D1041B" w14:paraId="51C58851" w14:textId="77777777" w:rsidTr="00D1041B">
        <w:trPr>
          <w:cantSplit/>
          <w:trHeight w:val="23"/>
          <w:jc w:val="center"/>
        </w:trPr>
        <w:tc>
          <w:tcPr>
            <w:tcW w:w="2268" w:type="dxa"/>
            <w:tcBorders>
              <w:top w:val="single" w:sz="18" w:space="0" w:color="auto"/>
              <w:left w:val="single" w:sz="18" w:space="0" w:color="auto"/>
            </w:tcBorders>
            <w:vAlign w:val="center"/>
          </w:tcPr>
          <w:p w14:paraId="5AE59E35" w14:textId="77777777" w:rsidR="00D1041B" w:rsidRDefault="00D1041B" w:rsidP="00CB7A92">
            <w:pPr>
              <w:keepNext/>
              <w:jc w:val="center"/>
              <w:rPr>
                <w:rFonts w:cs="Arial"/>
                <w:color w:val="000000"/>
                <w:sz w:val="18"/>
                <w:szCs w:val="18"/>
              </w:rPr>
            </w:pPr>
            <w:r>
              <w:rPr>
                <w:rFonts w:cs="Arial"/>
                <w:color w:val="000000"/>
                <w:sz w:val="18"/>
                <w:szCs w:val="18"/>
                <w:lang w:val="en-GB"/>
              </w:rPr>
              <w:t>31 800–31 871</w:t>
            </w:r>
          </w:p>
        </w:tc>
        <w:tc>
          <w:tcPr>
            <w:tcW w:w="3265" w:type="dxa"/>
            <w:tcBorders>
              <w:top w:val="single" w:sz="18" w:space="0" w:color="auto"/>
              <w:right w:val="single" w:sz="18" w:space="0" w:color="auto"/>
            </w:tcBorders>
            <w:vAlign w:val="center"/>
          </w:tcPr>
          <w:p w14:paraId="35F34C5E" w14:textId="77777777" w:rsidR="00D1041B" w:rsidRDefault="00D1041B" w:rsidP="00CB7A92">
            <w:pPr>
              <w:keepNext/>
              <w:jc w:val="center"/>
              <w:rPr>
                <w:rFonts w:cs="Arial"/>
                <w:color w:val="000000"/>
                <w:sz w:val="18"/>
                <w:szCs w:val="18"/>
              </w:rPr>
            </w:pPr>
            <w:r>
              <w:rPr>
                <w:rFonts w:cs="Arial"/>
                <w:color w:val="000000"/>
                <w:sz w:val="18"/>
                <w:szCs w:val="18"/>
                <w:lang w:val="en-GB"/>
              </w:rPr>
              <w:t>lower guard band</w:t>
            </w:r>
          </w:p>
        </w:tc>
      </w:tr>
      <w:tr w:rsidR="00D1041B" w14:paraId="4F452A2B" w14:textId="77777777" w:rsidTr="00D1041B">
        <w:trPr>
          <w:cantSplit/>
          <w:trHeight w:val="23"/>
          <w:jc w:val="center"/>
        </w:trPr>
        <w:tc>
          <w:tcPr>
            <w:tcW w:w="2268" w:type="dxa"/>
            <w:tcBorders>
              <w:left w:val="single" w:sz="18" w:space="0" w:color="auto"/>
            </w:tcBorders>
            <w:vAlign w:val="center"/>
          </w:tcPr>
          <w:p w14:paraId="2991FAE1" w14:textId="77777777" w:rsidR="00D1041B" w:rsidRDefault="00D1041B" w:rsidP="00CB7A92">
            <w:pPr>
              <w:keepNext/>
              <w:jc w:val="center"/>
              <w:rPr>
                <w:rFonts w:cs="Arial"/>
                <w:color w:val="000000"/>
                <w:sz w:val="18"/>
                <w:szCs w:val="18"/>
              </w:rPr>
            </w:pPr>
            <w:r>
              <w:rPr>
                <w:rFonts w:cs="Arial"/>
                <w:color w:val="000000"/>
                <w:sz w:val="18"/>
                <w:szCs w:val="18"/>
                <w:lang w:val="en-GB"/>
              </w:rPr>
              <w:t>31 871–32 543</w:t>
            </w:r>
          </w:p>
        </w:tc>
        <w:tc>
          <w:tcPr>
            <w:tcW w:w="3265" w:type="dxa"/>
            <w:tcBorders>
              <w:right w:val="single" w:sz="18" w:space="0" w:color="auto"/>
            </w:tcBorders>
            <w:vAlign w:val="center"/>
          </w:tcPr>
          <w:p w14:paraId="6052459B" w14:textId="77777777" w:rsidR="00D1041B" w:rsidRDefault="00D1041B" w:rsidP="00CB7A92">
            <w:pPr>
              <w:keepNext/>
              <w:jc w:val="center"/>
              <w:rPr>
                <w:rFonts w:cs="Arial"/>
                <w:color w:val="000000"/>
                <w:sz w:val="18"/>
                <w:szCs w:val="18"/>
              </w:rPr>
            </w:pPr>
            <w:r>
              <w:rPr>
                <w:rFonts w:cs="Arial"/>
                <w:color w:val="000000"/>
                <w:sz w:val="18"/>
                <w:szCs w:val="18"/>
                <w:lang w:val="en-GB"/>
              </w:rPr>
              <w:t>lower block band</w:t>
            </w:r>
          </w:p>
        </w:tc>
      </w:tr>
      <w:tr w:rsidR="00D1041B" w14:paraId="2D924A85" w14:textId="77777777" w:rsidTr="00D1041B">
        <w:trPr>
          <w:cantSplit/>
          <w:trHeight w:val="23"/>
          <w:jc w:val="center"/>
        </w:trPr>
        <w:tc>
          <w:tcPr>
            <w:tcW w:w="2268" w:type="dxa"/>
            <w:tcBorders>
              <w:left w:val="single" w:sz="18" w:space="0" w:color="auto"/>
            </w:tcBorders>
            <w:vAlign w:val="center"/>
          </w:tcPr>
          <w:p w14:paraId="71537C62" w14:textId="77777777" w:rsidR="00D1041B" w:rsidRDefault="00D1041B" w:rsidP="00CB7A92">
            <w:pPr>
              <w:keepNext/>
              <w:jc w:val="center"/>
              <w:rPr>
                <w:rFonts w:cs="Arial"/>
                <w:color w:val="000000"/>
                <w:sz w:val="18"/>
                <w:szCs w:val="18"/>
              </w:rPr>
            </w:pPr>
            <w:r>
              <w:rPr>
                <w:rFonts w:cs="Arial"/>
                <w:color w:val="000000"/>
                <w:sz w:val="18"/>
                <w:szCs w:val="18"/>
                <w:lang w:val="en-GB"/>
              </w:rPr>
              <w:t>32 543–32 683</w:t>
            </w:r>
          </w:p>
        </w:tc>
        <w:tc>
          <w:tcPr>
            <w:tcW w:w="3265" w:type="dxa"/>
            <w:tcBorders>
              <w:right w:val="single" w:sz="18" w:space="0" w:color="auto"/>
            </w:tcBorders>
            <w:vAlign w:val="center"/>
          </w:tcPr>
          <w:p w14:paraId="2AD7A2EE" w14:textId="77777777" w:rsidR="00D1041B" w:rsidRDefault="00D1041B" w:rsidP="00CB7A92">
            <w:pPr>
              <w:keepNext/>
              <w:jc w:val="center"/>
              <w:rPr>
                <w:rFonts w:cs="Arial"/>
                <w:color w:val="000000"/>
                <w:sz w:val="18"/>
                <w:szCs w:val="18"/>
              </w:rPr>
            </w:pPr>
            <w:r>
              <w:rPr>
                <w:rFonts w:cs="Arial"/>
                <w:color w:val="000000"/>
                <w:sz w:val="18"/>
                <w:szCs w:val="18"/>
                <w:lang w:val="en-GB"/>
              </w:rPr>
              <w:t>middle guard band</w:t>
            </w:r>
          </w:p>
        </w:tc>
      </w:tr>
      <w:tr w:rsidR="00D1041B" w14:paraId="0B062D26" w14:textId="77777777" w:rsidTr="00D1041B">
        <w:trPr>
          <w:cantSplit/>
          <w:trHeight w:val="23"/>
          <w:jc w:val="center"/>
        </w:trPr>
        <w:tc>
          <w:tcPr>
            <w:tcW w:w="2268" w:type="dxa"/>
            <w:tcBorders>
              <w:left w:val="single" w:sz="18" w:space="0" w:color="auto"/>
            </w:tcBorders>
            <w:vAlign w:val="center"/>
          </w:tcPr>
          <w:p w14:paraId="51353D32" w14:textId="77777777" w:rsidR="00D1041B" w:rsidRDefault="00D1041B" w:rsidP="00CB7A92">
            <w:pPr>
              <w:keepNext/>
              <w:jc w:val="center"/>
              <w:rPr>
                <w:rFonts w:cs="Arial"/>
                <w:color w:val="000000"/>
                <w:sz w:val="18"/>
                <w:szCs w:val="18"/>
              </w:rPr>
            </w:pPr>
            <w:r>
              <w:rPr>
                <w:rFonts w:cs="Arial"/>
                <w:color w:val="000000"/>
                <w:sz w:val="18"/>
                <w:szCs w:val="18"/>
                <w:lang w:val="en-GB"/>
              </w:rPr>
              <w:t>32 683–33 355</w:t>
            </w:r>
          </w:p>
        </w:tc>
        <w:tc>
          <w:tcPr>
            <w:tcW w:w="3265" w:type="dxa"/>
            <w:tcBorders>
              <w:right w:val="single" w:sz="18" w:space="0" w:color="auto"/>
            </w:tcBorders>
            <w:vAlign w:val="center"/>
          </w:tcPr>
          <w:p w14:paraId="02798594" w14:textId="77777777" w:rsidR="00D1041B" w:rsidRDefault="00D1041B" w:rsidP="00CB7A92">
            <w:pPr>
              <w:keepNext/>
              <w:jc w:val="center"/>
              <w:rPr>
                <w:rFonts w:cs="Arial"/>
                <w:color w:val="000000"/>
                <w:sz w:val="18"/>
                <w:szCs w:val="18"/>
              </w:rPr>
            </w:pPr>
            <w:r>
              <w:rPr>
                <w:rFonts w:cs="Arial"/>
                <w:color w:val="000000"/>
                <w:sz w:val="18"/>
                <w:szCs w:val="18"/>
                <w:lang w:val="en-GB"/>
              </w:rPr>
              <w:t>upper block band</w:t>
            </w:r>
          </w:p>
        </w:tc>
      </w:tr>
      <w:tr w:rsidR="00D1041B" w14:paraId="43493F6E" w14:textId="77777777" w:rsidTr="00D1041B">
        <w:trPr>
          <w:cantSplit/>
          <w:trHeight w:val="23"/>
          <w:jc w:val="center"/>
        </w:trPr>
        <w:tc>
          <w:tcPr>
            <w:tcW w:w="2268" w:type="dxa"/>
            <w:tcBorders>
              <w:left w:val="single" w:sz="18" w:space="0" w:color="auto"/>
              <w:bottom w:val="single" w:sz="18" w:space="0" w:color="auto"/>
            </w:tcBorders>
            <w:vAlign w:val="center"/>
          </w:tcPr>
          <w:p w14:paraId="7857BBFB" w14:textId="77777777" w:rsidR="00D1041B" w:rsidRDefault="00D1041B" w:rsidP="00CB7A92">
            <w:pPr>
              <w:keepNext/>
              <w:jc w:val="center"/>
              <w:rPr>
                <w:rFonts w:cs="Arial"/>
                <w:color w:val="000000"/>
                <w:sz w:val="18"/>
                <w:szCs w:val="18"/>
              </w:rPr>
            </w:pPr>
            <w:r>
              <w:rPr>
                <w:rFonts w:cs="Arial"/>
                <w:color w:val="000000"/>
                <w:sz w:val="18"/>
                <w:szCs w:val="18"/>
                <w:lang w:val="en-GB"/>
              </w:rPr>
              <w:t>33 355–33 400</w:t>
            </w:r>
          </w:p>
        </w:tc>
        <w:tc>
          <w:tcPr>
            <w:tcW w:w="3265" w:type="dxa"/>
            <w:tcBorders>
              <w:bottom w:val="single" w:sz="18" w:space="0" w:color="auto"/>
              <w:right w:val="single" w:sz="18" w:space="0" w:color="auto"/>
            </w:tcBorders>
            <w:vAlign w:val="center"/>
          </w:tcPr>
          <w:p w14:paraId="58D37556" w14:textId="77777777" w:rsidR="00D1041B" w:rsidRDefault="00D1041B" w:rsidP="00D1041B">
            <w:pPr>
              <w:keepNext/>
              <w:jc w:val="center"/>
              <w:rPr>
                <w:rFonts w:cs="Arial"/>
                <w:color w:val="000000"/>
                <w:sz w:val="18"/>
                <w:szCs w:val="18"/>
              </w:rPr>
            </w:pPr>
            <w:r>
              <w:rPr>
                <w:rFonts w:cs="Arial"/>
                <w:color w:val="000000"/>
                <w:sz w:val="18"/>
                <w:szCs w:val="18"/>
                <w:lang w:val="en-GB"/>
              </w:rPr>
              <w:t>upper guard band</w:t>
            </w:r>
          </w:p>
        </w:tc>
      </w:tr>
    </w:tbl>
    <w:p w14:paraId="23772651" w14:textId="14C460CD" w:rsidR="00343F9F" w:rsidRPr="00D1041B" w:rsidRDefault="00D1041B" w:rsidP="00D1041B">
      <w:pPr>
        <w:pStyle w:val="Kpalrs"/>
        <w:jc w:val="center"/>
        <w:rPr>
          <w:color w:val="auto"/>
        </w:rPr>
      </w:pPr>
      <w:r>
        <w:rPr>
          <w:lang w:val="en-GB"/>
        </w:rPr>
        <w:t>Table 4.2.1</w:t>
      </w:r>
      <w:fldSimple w:instr=" SEQ Figure \* ARABIC ">
        <w:r>
          <w:rPr>
            <w:noProof/>
            <w:lang w:val="en-GB"/>
          </w:rPr>
          <w:t>1</w:t>
        </w:r>
      </w:fldSimple>
      <w:r>
        <w:rPr>
          <w:lang w:val="en-GB"/>
        </w:rPr>
        <w:t xml:space="preserve"> </w:t>
      </w:r>
      <w:r w:rsidR="004564F1">
        <w:rPr>
          <w:lang w:val="en-GB"/>
        </w:rPr>
        <w:t xml:space="preserve">Division </w:t>
      </w:r>
      <w:r>
        <w:rPr>
          <w:lang w:val="en-GB"/>
        </w:rPr>
        <w:t>of the 32 GHz frequency band into sub-bands</w:t>
      </w:r>
    </w:p>
    <w:p w14:paraId="5FFADC10" w14:textId="6F5235FB" w:rsidR="00CB7A92" w:rsidRPr="00D1041B" w:rsidRDefault="00343F9F" w:rsidP="00D1041B">
      <w:pPr>
        <w:pStyle w:val="Behzottbekezdsnmhh"/>
      </w:pPr>
      <w:r>
        <w:rPr>
          <w:lang w:val="en-GB"/>
        </w:rPr>
        <w:t xml:space="preserve">The guard bands cannot be distributed. The lower and upper block bands are divided into 24x28 </w:t>
      </w:r>
      <w:r w:rsidRPr="00DD5334">
        <w:rPr>
          <w:lang w:val="en-GB"/>
        </w:rPr>
        <w:t xml:space="preserve">MHz basic blocks. </w:t>
      </w:r>
      <w:r w:rsidR="00750150" w:rsidRPr="00DD5334">
        <w:rPr>
          <w:lang w:val="en-GB"/>
        </w:rPr>
        <w:t xml:space="preserve">A </w:t>
      </w:r>
      <w:r w:rsidRPr="00DD5334">
        <w:rPr>
          <w:lang w:val="en-GB"/>
        </w:rPr>
        <w:t xml:space="preserve">user block </w:t>
      </w:r>
      <w:r w:rsidR="00750150" w:rsidRPr="00DD5334">
        <w:rPr>
          <w:lang w:val="en-GB"/>
        </w:rPr>
        <w:t xml:space="preserve">shall </w:t>
      </w:r>
      <w:r w:rsidRPr="00DD5334">
        <w:rPr>
          <w:lang w:val="en-GB"/>
        </w:rPr>
        <w:t xml:space="preserve">consist of an integer </w:t>
      </w:r>
      <w:r w:rsidR="00750150" w:rsidRPr="00DD5334">
        <w:rPr>
          <w:lang w:val="en-GB"/>
        </w:rPr>
        <w:t xml:space="preserve">multiple of </w:t>
      </w:r>
      <w:r w:rsidRPr="00DD5334">
        <w:rPr>
          <w:lang w:val="en-GB"/>
        </w:rPr>
        <w:t>basic block</w:t>
      </w:r>
      <w:r w:rsidR="00132FE8" w:rsidRPr="00716287">
        <w:rPr>
          <w:lang w:val="en-GB"/>
        </w:rPr>
        <w:t>s</w:t>
      </w:r>
      <w:r w:rsidRPr="00DD5334">
        <w:rPr>
          <w:lang w:val="en-GB"/>
        </w:rPr>
        <w:t>.</w:t>
      </w:r>
    </w:p>
    <w:p w14:paraId="526FFF2B" w14:textId="21B0C6CD" w:rsidR="0037475E" w:rsidRPr="00D1041B" w:rsidRDefault="0037475E" w:rsidP="00D1041B">
      <w:pPr>
        <w:pStyle w:val="Behzottbekezdsnmhh"/>
      </w:pPr>
      <w:r>
        <w:rPr>
          <w:lang w:val="en-GB"/>
        </w:rPr>
        <w:t xml:space="preserve">The frequency bands of the signal </w:t>
      </w:r>
      <w:r w:rsidR="00DD5334">
        <w:rPr>
          <w:lang w:val="en-GB"/>
        </w:rPr>
        <w:t xml:space="preserve">transmission </w:t>
      </w:r>
      <w:r>
        <w:rPr>
          <w:lang w:val="en-GB"/>
        </w:rPr>
        <w:t>paths for point-to-multipoint systems are listed in Table 4.2.1.2:</w:t>
      </w:r>
    </w:p>
    <w:p w14:paraId="2D9D0444" w14:textId="77777777" w:rsidR="0037475E" w:rsidRPr="00D1041B" w:rsidRDefault="0037475E" w:rsidP="00D1041B">
      <w:pPr>
        <w:pStyle w:val="Behzottbekezdsnmh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765"/>
        <w:gridCol w:w="2268"/>
      </w:tblGrid>
      <w:tr w:rsidR="00D1041B" w14:paraId="698F83E0" w14:textId="77777777" w:rsidTr="00D1041B">
        <w:trPr>
          <w:cantSplit/>
          <w:trHeight w:val="23"/>
          <w:jc w:val="center"/>
        </w:trPr>
        <w:tc>
          <w:tcPr>
            <w:tcW w:w="3765" w:type="dxa"/>
            <w:tcBorders>
              <w:top w:val="single" w:sz="18" w:space="0" w:color="auto"/>
              <w:left w:val="single" w:sz="18" w:space="0" w:color="auto"/>
              <w:bottom w:val="single" w:sz="18" w:space="0" w:color="auto"/>
            </w:tcBorders>
          </w:tcPr>
          <w:p w14:paraId="75CA9EB7" w14:textId="77777777" w:rsidR="00D1041B" w:rsidRDefault="00D1041B" w:rsidP="00C71B70">
            <w:pPr>
              <w:keepNext/>
              <w:jc w:val="center"/>
              <w:rPr>
                <w:rFonts w:cs="Arial"/>
                <w:b/>
                <w:bCs/>
                <w:color w:val="000000"/>
                <w:sz w:val="18"/>
                <w:szCs w:val="18"/>
              </w:rPr>
            </w:pPr>
            <w:r>
              <w:rPr>
                <w:rFonts w:cs="Arial"/>
                <w:b/>
                <w:bCs/>
                <w:color w:val="000000"/>
                <w:sz w:val="18"/>
                <w:szCs w:val="18"/>
                <w:lang w:val="en-GB"/>
              </w:rPr>
              <w:t>Signal path</w:t>
            </w:r>
          </w:p>
        </w:tc>
        <w:tc>
          <w:tcPr>
            <w:tcW w:w="2268" w:type="dxa"/>
            <w:tcBorders>
              <w:top w:val="single" w:sz="18" w:space="0" w:color="auto"/>
              <w:bottom w:val="single" w:sz="18" w:space="0" w:color="auto"/>
              <w:right w:val="single" w:sz="18" w:space="0" w:color="auto"/>
            </w:tcBorders>
            <w:vAlign w:val="center"/>
          </w:tcPr>
          <w:p w14:paraId="7937B7B5" w14:textId="77777777" w:rsidR="00D1041B" w:rsidRDefault="00D1041B" w:rsidP="00C71B70">
            <w:pPr>
              <w:keepNext/>
              <w:jc w:val="center"/>
              <w:rPr>
                <w:rFonts w:cs="Arial"/>
                <w:b/>
                <w:bCs/>
                <w:color w:val="000000"/>
                <w:sz w:val="18"/>
                <w:szCs w:val="18"/>
              </w:rPr>
            </w:pPr>
            <w:r>
              <w:rPr>
                <w:rFonts w:cs="Arial"/>
                <w:b/>
                <w:bCs/>
                <w:color w:val="000000"/>
                <w:sz w:val="18"/>
                <w:szCs w:val="18"/>
                <w:lang w:val="en-GB"/>
              </w:rPr>
              <w:t>Block band</w:t>
            </w:r>
          </w:p>
        </w:tc>
      </w:tr>
      <w:tr w:rsidR="00D1041B" w14:paraId="70D39657" w14:textId="77777777" w:rsidTr="00D1041B">
        <w:trPr>
          <w:cantSplit/>
          <w:trHeight w:val="23"/>
          <w:jc w:val="center"/>
        </w:trPr>
        <w:tc>
          <w:tcPr>
            <w:tcW w:w="3765" w:type="dxa"/>
            <w:tcBorders>
              <w:top w:val="single" w:sz="18" w:space="0" w:color="auto"/>
              <w:left w:val="single" w:sz="18" w:space="0" w:color="auto"/>
            </w:tcBorders>
          </w:tcPr>
          <w:p w14:paraId="761291C8" w14:textId="77777777" w:rsidR="00D1041B" w:rsidRDefault="00D1041B" w:rsidP="00C71B70">
            <w:pPr>
              <w:keepNext/>
              <w:rPr>
                <w:rFonts w:cs="Arial"/>
                <w:bCs/>
                <w:color w:val="000000"/>
                <w:sz w:val="18"/>
                <w:szCs w:val="18"/>
              </w:rPr>
            </w:pPr>
            <w:r>
              <w:rPr>
                <w:rFonts w:cs="Arial"/>
                <w:color w:val="000000"/>
                <w:sz w:val="18"/>
                <w:szCs w:val="18"/>
                <w:lang w:val="en-GB"/>
              </w:rPr>
              <w:t>user station – central station</w:t>
            </w:r>
          </w:p>
        </w:tc>
        <w:tc>
          <w:tcPr>
            <w:tcW w:w="2268" w:type="dxa"/>
            <w:vMerge w:val="restart"/>
            <w:tcBorders>
              <w:top w:val="single" w:sz="18" w:space="0" w:color="auto"/>
              <w:right w:val="single" w:sz="18" w:space="0" w:color="auto"/>
            </w:tcBorders>
            <w:vAlign w:val="center"/>
          </w:tcPr>
          <w:p w14:paraId="416F95D3" w14:textId="77777777" w:rsidR="00D1041B" w:rsidRDefault="00D1041B" w:rsidP="00C71B70">
            <w:pPr>
              <w:keepNext/>
              <w:jc w:val="center"/>
              <w:rPr>
                <w:rFonts w:cs="Arial"/>
                <w:bCs/>
                <w:color w:val="000000"/>
                <w:sz w:val="18"/>
                <w:szCs w:val="18"/>
              </w:rPr>
            </w:pPr>
            <w:r>
              <w:rPr>
                <w:rFonts w:cs="Arial"/>
                <w:color w:val="000000"/>
                <w:sz w:val="18"/>
                <w:szCs w:val="18"/>
                <w:lang w:val="en-GB"/>
              </w:rPr>
              <w:t>upper</w:t>
            </w:r>
          </w:p>
        </w:tc>
      </w:tr>
      <w:tr w:rsidR="00D1041B" w14:paraId="08330973" w14:textId="77777777" w:rsidTr="00D1041B">
        <w:trPr>
          <w:cantSplit/>
          <w:trHeight w:val="23"/>
          <w:jc w:val="center"/>
        </w:trPr>
        <w:tc>
          <w:tcPr>
            <w:tcW w:w="3765" w:type="dxa"/>
            <w:tcBorders>
              <w:left w:val="single" w:sz="18" w:space="0" w:color="auto"/>
            </w:tcBorders>
          </w:tcPr>
          <w:p w14:paraId="07BEB766" w14:textId="77777777" w:rsidR="00D1041B" w:rsidRDefault="00D1041B" w:rsidP="00C71B70">
            <w:pPr>
              <w:keepNext/>
              <w:rPr>
                <w:rFonts w:cs="Arial"/>
                <w:bCs/>
                <w:color w:val="000000"/>
                <w:sz w:val="18"/>
                <w:szCs w:val="18"/>
              </w:rPr>
            </w:pPr>
            <w:r>
              <w:rPr>
                <w:rFonts w:cs="Arial"/>
                <w:color w:val="000000"/>
                <w:sz w:val="18"/>
                <w:szCs w:val="18"/>
                <w:lang w:val="en-GB"/>
              </w:rPr>
              <w:t>user station – repeater station</w:t>
            </w:r>
          </w:p>
        </w:tc>
        <w:tc>
          <w:tcPr>
            <w:tcW w:w="2268" w:type="dxa"/>
            <w:vMerge/>
            <w:tcBorders>
              <w:right w:val="single" w:sz="18" w:space="0" w:color="auto"/>
            </w:tcBorders>
            <w:vAlign w:val="center"/>
          </w:tcPr>
          <w:p w14:paraId="3A8E828C" w14:textId="77777777" w:rsidR="00D1041B" w:rsidRDefault="00D1041B" w:rsidP="00C71B70">
            <w:pPr>
              <w:keepNext/>
              <w:jc w:val="center"/>
              <w:rPr>
                <w:rFonts w:cs="Arial"/>
                <w:bCs/>
                <w:color w:val="000000"/>
                <w:sz w:val="18"/>
                <w:szCs w:val="18"/>
              </w:rPr>
            </w:pPr>
          </w:p>
        </w:tc>
      </w:tr>
      <w:tr w:rsidR="00D1041B" w14:paraId="32C1B702" w14:textId="77777777" w:rsidTr="00D1041B">
        <w:trPr>
          <w:cantSplit/>
          <w:trHeight w:val="23"/>
          <w:jc w:val="center"/>
        </w:trPr>
        <w:tc>
          <w:tcPr>
            <w:tcW w:w="3765" w:type="dxa"/>
            <w:tcBorders>
              <w:left w:val="single" w:sz="18" w:space="0" w:color="auto"/>
            </w:tcBorders>
          </w:tcPr>
          <w:p w14:paraId="394768E2" w14:textId="77777777" w:rsidR="00D1041B" w:rsidRDefault="00D1041B" w:rsidP="00C71B70">
            <w:pPr>
              <w:keepNext/>
              <w:rPr>
                <w:rFonts w:cs="Arial"/>
                <w:bCs/>
                <w:color w:val="000000"/>
                <w:sz w:val="18"/>
                <w:szCs w:val="18"/>
              </w:rPr>
            </w:pPr>
            <w:r>
              <w:rPr>
                <w:rFonts w:cs="Arial"/>
                <w:color w:val="000000"/>
                <w:sz w:val="18"/>
                <w:szCs w:val="18"/>
                <w:lang w:val="en-GB"/>
              </w:rPr>
              <w:t>repeater station – central station</w:t>
            </w:r>
          </w:p>
        </w:tc>
        <w:tc>
          <w:tcPr>
            <w:tcW w:w="2268" w:type="dxa"/>
            <w:vMerge/>
            <w:tcBorders>
              <w:right w:val="single" w:sz="18" w:space="0" w:color="auto"/>
            </w:tcBorders>
            <w:vAlign w:val="center"/>
          </w:tcPr>
          <w:p w14:paraId="038F7D2C" w14:textId="77777777" w:rsidR="00D1041B" w:rsidRDefault="00D1041B" w:rsidP="00C71B70">
            <w:pPr>
              <w:keepNext/>
              <w:jc w:val="center"/>
              <w:rPr>
                <w:rFonts w:cs="Arial"/>
                <w:bCs/>
                <w:color w:val="000000"/>
                <w:sz w:val="18"/>
                <w:szCs w:val="18"/>
              </w:rPr>
            </w:pPr>
          </w:p>
        </w:tc>
      </w:tr>
      <w:tr w:rsidR="00D1041B" w14:paraId="3B30B795" w14:textId="77777777" w:rsidTr="00D1041B">
        <w:trPr>
          <w:cantSplit/>
          <w:trHeight w:val="23"/>
          <w:jc w:val="center"/>
        </w:trPr>
        <w:tc>
          <w:tcPr>
            <w:tcW w:w="3765" w:type="dxa"/>
            <w:tcBorders>
              <w:left w:val="single" w:sz="18" w:space="0" w:color="auto"/>
            </w:tcBorders>
          </w:tcPr>
          <w:p w14:paraId="498A6BCE" w14:textId="77777777" w:rsidR="00D1041B" w:rsidRDefault="00D1041B" w:rsidP="00C71B70">
            <w:pPr>
              <w:keepNext/>
              <w:rPr>
                <w:rFonts w:cs="Arial"/>
                <w:bCs/>
                <w:color w:val="000000"/>
                <w:sz w:val="18"/>
                <w:szCs w:val="18"/>
              </w:rPr>
            </w:pPr>
            <w:r>
              <w:rPr>
                <w:rFonts w:cs="Arial"/>
                <w:color w:val="000000"/>
                <w:sz w:val="18"/>
                <w:szCs w:val="18"/>
                <w:lang w:val="en-GB"/>
              </w:rPr>
              <w:t>central station – user station</w:t>
            </w:r>
          </w:p>
        </w:tc>
        <w:tc>
          <w:tcPr>
            <w:tcW w:w="2268" w:type="dxa"/>
            <w:vMerge w:val="restart"/>
            <w:tcBorders>
              <w:right w:val="single" w:sz="18" w:space="0" w:color="auto"/>
            </w:tcBorders>
            <w:vAlign w:val="center"/>
          </w:tcPr>
          <w:p w14:paraId="5E5698CC" w14:textId="77777777" w:rsidR="00D1041B" w:rsidRDefault="00D1041B" w:rsidP="00C71B70">
            <w:pPr>
              <w:keepNext/>
              <w:jc w:val="center"/>
              <w:rPr>
                <w:rFonts w:cs="Arial"/>
                <w:bCs/>
                <w:color w:val="000000"/>
                <w:sz w:val="18"/>
                <w:szCs w:val="18"/>
              </w:rPr>
            </w:pPr>
            <w:r>
              <w:rPr>
                <w:rFonts w:cs="Arial"/>
                <w:color w:val="000000"/>
                <w:sz w:val="18"/>
                <w:szCs w:val="18"/>
                <w:lang w:val="en-GB"/>
              </w:rPr>
              <w:t>lower</w:t>
            </w:r>
          </w:p>
        </w:tc>
      </w:tr>
      <w:tr w:rsidR="00D1041B" w14:paraId="0D7D57C4" w14:textId="77777777" w:rsidTr="00D1041B">
        <w:trPr>
          <w:cantSplit/>
          <w:trHeight w:val="23"/>
          <w:jc w:val="center"/>
        </w:trPr>
        <w:tc>
          <w:tcPr>
            <w:tcW w:w="3765" w:type="dxa"/>
            <w:tcBorders>
              <w:left w:val="single" w:sz="18" w:space="0" w:color="auto"/>
            </w:tcBorders>
          </w:tcPr>
          <w:p w14:paraId="256D0D06" w14:textId="77777777" w:rsidR="00D1041B" w:rsidRDefault="00D1041B" w:rsidP="00C71B70">
            <w:pPr>
              <w:keepNext/>
              <w:rPr>
                <w:rFonts w:cs="Arial"/>
                <w:bCs/>
                <w:color w:val="000000"/>
                <w:sz w:val="18"/>
                <w:szCs w:val="18"/>
              </w:rPr>
            </w:pPr>
            <w:r>
              <w:rPr>
                <w:rFonts w:cs="Arial"/>
                <w:color w:val="000000"/>
                <w:sz w:val="18"/>
                <w:szCs w:val="18"/>
                <w:lang w:val="en-GB"/>
              </w:rPr>
              <w:t>central station – repeater station</w:t>
            </w:r>
          </w:p>
        </w:tc>
        <w:tc>
          <w:tcPr>
            <w:tcW w:w="2268" w:type="dxa"/>
            <w:vMerge/>
            <w:tcBorders>
              <w:right w:val="single" w:sz="18" w:space="0" w:color="auto"/>
            </w:tcBorders>
          </w:tcPr>
          <w:p w14:paraId="63995C78" w14:textId="77777777" w:rsidR="00D1041B" w:rsidRDefault="00D1041B" w:rsidP="00C71B70">
            <w:pPr>
              <w:keepNext/>
              <w:jc w:val="center"/>
              <w:rPr>
                <w:rFonts w:cs="Arial"/>
                <w:bCs/>
                <w:color w:val="000000"/>
                <w:sz w:val="18"/>
                <w:szCs w:val="18"/>
              </w:rPr>
            </w:pPr>
          </w:p>
        </w:tc>
      </w:tr>
      <w:tr w:rsidR="00D1041B" w14:paraId="0D851748" w14:textId="77777777" w:rsidTr="00D1041B">
        <w:trPr>
          <w:cantSplit/>
          <w:trHeight w:val="23"/>
          <w:jc w:val="center"/>
        </w:trPr>
        <w:tc>
          <w:tcPr>
            <w:tcW w:w="3765" w:type="dxa"/>
            <w:tcBorders>
              <w:left w:val="single" w:sz="18" w:space="0" w:color="auto"/>
              <w:bottom w:val="single" w:sz="18" w:space="0" w:color="auto"/>
            </w:tcBorders>
          </w:tcPr>
          <w:p w14:paraId="41442372" w14:textId="77777777" w:rsidR="00D1041B" w:rsidRDefault="00D1041B" w:rsidP="00C71B70">
            <w:pPr>
              <w:rPr>
                <w:rFonts w:cs="Arial"/>
                <w:bCs/>
                <w:color w:val="000000"/>
                <w:sz w:val="18"/>
                <w:szCs w:val="18"/>
              </w:rPr>
            </w:pPr>
            <w:r>
              <w:rPr>
                <w:rFonts w:cs="Arial"/>
                <w:color w:val="000000"/>
                <w:sz w:val="18"/>
                <w:szCs w:val="18"/>
                <w:lang w:val="en-GB"/>
              </w:rPr>
              <w:t>repeater station – user station</w:t>
            </w:r>
          </w:p>
        </w:tc>
        <w:tc>
          <w:tcPr>
            <w:tcW w:w="2268" w:type="dxa"/>
            <w:vMerge/>
            <w:tcBorders>
              <w:bottom w:val="single" w:sz="18" w:space="0" w:color="auto"/>
              <w:right w:val="single" w:sz="18" w:space="0" w:color="auto"/>
            </w:tcBorders>
          </w:tcPr>
          <w:p w14:paraId="6E109731" w14:textId="77777777" w:rsidR="00D1041B" w:rsidRDefault="00D1041B" w:rsidP="00D1041B">
            <w:pPr>
              <w:keepNext/>
              <w:jc w:val="center"/>
              <w:rPr>
                <w:rFonts w:cs="Arial"/>
                <w:bCs/>
                <w:color w:val="000000"/>
                <w:sz w:val="18"/>
                <w:szCs w:val="18"/>
              </w:rPr>
            </w:pPr>
          </w:p>
        </w:tc>
      </w:tr>
    </w:tbl>
    <w:p w14:paraId="45DAEEF6" w14:textId="074A04D5" w:rsidR="0037475E" w:rsidRDefault="00D1041B" w:rsidP="00D1041B">
      <w:pPr>
        <w:pStyle w:val="Kpalrs"/>
        <w:jc w:val="center"/>
      </w:pPr>
      <w:r>
        <w:rPr>
          <w:lang w:val="en-GB"/>
        </w:rPr>
        <w:t xml:space="preserve">Table 4.2.1.2 Frequency bands of signal </w:t>
      </w:r>
      <w:r w:rsidR="00DD5334">
        <w:rPr>
          <w:lang w:val="en-GB"/>
        </w:rPr>
        <w:t xml:space="preserve">transmission </w:t>
      </w:r>
      <w:r>
        <w:rPr>
          <w:lang w:val="en-GB"/>
        </w:rPr>
        <w:t>paths in the 32 GHz frequency band</w:t>
      </w:r>
    </w:p>
    <w:p w14:paraId="79E03BBE" w14:textId="273D1AB1" w:rsidR="00085A59" w:rsidRDefault="00085A59">
      <w:pPr>
        <w:spacing w:after="200"/>
        <w:jc w:val="left"/>
      </w:pPr>
      <w:r>
        <w:rPr>
          <w:lang w:val="en-GB"/>
        </w:rPr>
        <w:br w:type="page"/>
      </w:r>
    </w:p>
    <w:p w14:paraId="182EB5FD" w14:textId="76652E36" w:rsidR="00CB7A92" w:rsidRPr="00D1041B" w:rsidRDefault="00CB7A92" w:rsidP="0037475E">
      <w:pPr>
        <w:pStyle w:val="Cmsor3szmozottnmhh"/>
        <w:numPr>
          <w:ilvl w:val="2"/>
          <w:numId w:val="87"/>
        </w:numPr>
      </w:pPr>
      <w:bookmarkStart w:id="45" w:name="_Toc99619501"/>
      <w:r>
        <w:rPr>
          <w:bCs/>
          <w:lang w:val="en-GB"/>
        </w:rPr>
        <w:lastRenderedPageBreak/>
        <w:t xml:space="preserve">Conditions </w:t>
      </w:r>
      <w:r w:rsidR="00BB67EE">
        <w:rPr>
          <w:bCs/>
          <w:lang w:val="en-GB"/>
        </w:rPr>
        <w:t xml:space="preserve">for </w:t>
      </w:r>
      <w:r>
        <w:rPr>
          <w:bCs/>
          <w:lang w:val="en-GB"/>
        </w:rPr>
        <w:t xml:space="preserve">obtaining right of radio spectrum use and </w:t>
      </w:r>
      <w:r w:rsidR="00BB67EE">
        <w:rPr>
          <w:bCs/>
          <w:lang w:val="en-GB"/>
        </w:rPr>
        <w:t xml:space="preserve">conditions of using the </w:t>
      </w:r>
      <w:r>
        <w:rPr>
          <w:bCs/>
          <w:lang w:val="en-GB"/>
        </w:rPr>
        <w:t>band</w:t>
      </w:r>
      <w:bookmarkEnd w:id="45"/>
    </w:p>
    <w:tbl>
      <w:tblPr>
        <w:tblW w:w="9334"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55"/>
        <w:gridCol w:w="6379"/>
      </w:tblGrid>
      <w:tr w:rsidR="00D1041B" w:rsidRPr="003F6E7F" w14:paraId="0F5E2143" w14:textId="77777777" w:rsidTr="00D1041B">
        <w:trPr>
          <w:cantSplit/>
          <w:trHeight w:val="55"/>
          <w:tblHeader/>
        </w:trPr>
        <w:tc>
          <w:tcPr>
            <w:tcW w:w="2955" w:type="dxa"/>
            <w:tcBorders>
              <w:top w:val="single" w:sz="18" w:space="0" w:color="auto"/>
              <w:left w:val="single" w:sz="18" w:space="0" w:color="auto"/>
              <w:bottom w:val="single" w:sz="18" w:space="0" w:color="auto"/>
            </w:tcBorders>
            <w:vAlign w:val="center"/>
          </w:tcPr>
          <w:p w14:paraId="09E1E605" w14:textId="4A771015" w:rsidR="00D1041B" w:rsidRPr="003F6E7F" w:rsidRDefault="00D1041B" w:rsidP="00CB7A92">
            <w:pPr>
              <w:keepNext/>
              <w:jc w:val="center"/>
              <w:rPr>
                <w:rFonts w:cs="Arial"/>
                <w:color w:val="000000"/>
                <w:sz w:val="18"/>
                <w:szCs w:val="18"/>
              </w:rPr>
            </w:pPr>
            <w:r>
              <w:rPr>
                <w:b/>
                <w:bCs/>
                <w:color w:val="000000"/>
                <w:sz w:val="18"/>
                <w:lang w:val="en-GB"/>
              </w:rPr>
              <w:t>Subject of condition</w:t>
            </w:r>
          </w:p>
        </w:tc>
        <w:tc>
          <w:tcPr>
            <w:tcW w:w="6379" w:type="dxa"/>
            <w:tcBorders>
              <w:top w:val="single" w:sz="18" w:space="0" w:color="auto"/>
              <w:bottom w:val="single" w:sz="18" w:space="0" w:color="auto"/>
              <w:right w:val="single" w:sz="18" w:space="0" w:color="auto"/>
            </w:tcBorders>
            <w:vAlign w:val="center"/>
          </w:tcPr>
          <w:p w14:paraId="3A41F4EE" w14:textId="77777777" w:rsidR="00D1041B" w:rsidRPr="003F6E7F" w:rsidRDefault="00D1041B" w:rsidP="00CB7A92">
            <w:pPr>
              <w:keepNext/>
              <w:tabs>
                <w:tab w:val="left" w:pos="-1440"/>
                <w:tab w:val="left" w:pos="-720"/>
              </w:tabs>
              <w:spacing w:line="240" w:lineRule="exact"/>
              <w:jc w:val="center"/>
              <w:outlineLvl w:val="3"/>
              <w:rPr>
                <w:rFonts w:cs="Arial"/>
                <w:color w:val="000000"/>
                <w:sz w:val="18"/>
                <w:szCs w:val="18"/>
              </w:rPr>
            </w:pPr>
            <w:r>
              <w:rPr>
                <w:b/>
                <w:bCs/>
                <w:color w:val="000000"/>
                <w:sz w:val="18"/>
                <w:lang w:val="en-GB"/>
              </w:rPr>
              <w:t>Requirement</w:t>
            </w:r>
          </w:p>
        </w:tc>
      </w:tr>
      <w:tr w:rsidR="00D1041B" w:rsidRPr="003F6E7F" w14:paraId="077B1C07" w14:textId="77777777" w:rsidTr="00D1041B">
        <w:trPr>
          <w:cantSplit/>
          <w:trHeight w:val="23"/>
        </w:trPr>
        <w:tc>
          <w:tcPr>
            <w:tcW w:w="2955" w:type="dxa"/>
            <w:tcBorders>
              <w:top w:val="single" w:sz="18" w:space="0" w:color="auto"/>
              <w:left w:val="single" w:sz="18" w:space="0" w:color="auto"/>
              <w:bottom w:val="single" w:sz="4" w:space="0" w:color="auto"/>
            </w:tcBorders>
          </w:tcPr>
          <w:p w14:paraId="7F1B289B" w14:textId="77777777" w:rsidR="00D1041B" w:rsidRPr="003F6E7F" w:rsidRDefault="00D1041B" w:rsidP="00CB7A92">
            <w:pPr>
              <w:keepNext/>
              <w:keepLines/>
              <w:jc w:val="left"/>
              <w:rPr>
                <w:rFonts w:cs="Arial"/>
                <w:color w:val="000000"/>
                <w:sz w:val="18"/>
                <w:szCs w:val="18"/>
              </w:rPr>
            </w:pPr>
            <w:r>
              <w:rPr>
                <w:rFonts w:cs="Arial"/>
                <w:color w:val="000000"/>
                <w:sz w:val="18"/>
                <w:szCs w:val="18"/>
                <w:lang w:val="en-GB"/>
              </w:rPr>
              <w:t>Purpose of use</w:t>
            </w:r>
          </w:p>
        </w:tc>
        <w:tc>
          <w:tcPr>
            <w:tcW w:w="6379" w:type="dxa"/>
            <w:tcBorders>
              <w:top w:val="single" w:sz="18" w:space="0" w:color="auto"/>
              <w:bottom w:val="single" w:sz="4" w:space="0" w:color="auto"/>
              <w:right w:val="single" w:sz="18" w:space="0" w:color="auto"/>
            </w:tcBorders>
          </w:tcPr>
          <w:p w14:paraId="4FF1BA0B" w14:textId="77777777" w:rsidR="00D1041B" w:rsidRPr="003F6E7F" w:rsidRDefault="00D1041B" w:rsidP="00CB7A92">
            <w:pPr>
              <w:keepNext/>
              <w:keepLines/>
              <w:ind w:left="198" w:hanging="198"/>
              <w:jc w:val="left"/>
              <w:rPr>
                <w:rFonts w:cs="Arial"/>
                <w:color w:val="000000"/>
                <w:sz w:val="18"/>
                <w:szCs w:val="18"/>
              </w:rPr>
            </w:pPr>
            <w:r>
              <w:rPr>
                <w:rFonts w:eastAsia="PTSansRegular" w:cs="Arial"/>
                <w:color w:val="000000"/>
                <w:sz w:val="18"/>
                <w:szCs w:val="18"/>
                <w:lang w:val="en-GB"/>
              </w:rPr>
              <w:t>providing electronic communications services, electronic communications operations</w:t>
            </w:r>
          </w:p>
        </w:tc>
      </w:tr>
      <w:tr w:rsidR="00D1041B" w:rsidRPr="003F6E7F" w14:paraId="7B2D6297" w14:textId="77777777" w:rsidTr="00D1041B">
        <w:trPr>
          <w:cantSplit/>
          <w:trHeight w:val="23"/>
        </w:trPr>
        <w:tc>
          <w:tcPr>
            <w:tcW w:w="2955" w:type="dxa"/>
            <w:tcBorders>
              <w:top w:val="single" w:sz="4" w:space="0" w:color="auto"/>
              <w:left w:val="single" w:sz="18" w:space="0" w:color="auto"/>
              <w:bottom w:val="single" w:sz="4" w:space="0" w:color="auto"/>
            </w:tcBorders>
          </w:tcPr>
          <w:p w14:paraId="23B2CD08" w14:textId="77777777" w:rsidR="00D1041B" w:rsidRPr="003F6E7F" w:rsidRDefault="00D1041B" w:rsidP="00CB7A92">
            <w:pPr>
              <w:keepNext/>
              <w:keepLines/>
              <w:jc w:val="left"/>
              <w:rPr>
                <w:rFonts w:cs="Arial"/>
                <w:color w:val="000000"/>
                <w:sz w:val="18"/>
                <w:szCs w:val="18"/>
              </w:rPr>
            </w:pPr>
            <w:r>
              <w:rPr>
                <w:rFonts w:cs="Arial"/>
                <w:color w:val="000000"/>
                <w:sz w:val="18"/>
                <w:szCs w:val="18"/>
                <w:lang w:val="en-GB"/>
              </w:rPr>
              <w:t>Method of frequency distribution</w:t>
            </w:r>
          </w:p>
        </w:tc>
        <w:tc>
          <w:tcPr>
            <w:tcW w:w="6379" w:type="dxa"/>
            <w:tcBorders>
              <w:top w:val="single" w:sz="4" w:space="0" w:color="auto"/>
              <w:bottom w:val="single" w:sz="4" w:space="0" w:color="auto"/>
              <w:right w:val="single" w:sz="18" w:space="0" w:color="auto"/>
            </w:tcBorders>
          </w:tcPr>
          <w:p w14:paraId="1D70605C" w14:textId="19749FFA" w:rsidR="00D1041B" w:rsidRPr="003F6E7F" w:rsidRDefault="00D1041B" w:rsidP="00D47CBE">
            <w:pPr>
              <w:keepNext/>
              <w:keepLines/>
              <w:ind w:left="198" w:hanging="198"/>
              <w:jc w:val="left"/>
              <w:rPr>
                <w:rFonts w:cs="Arial"/>
                <w:color w:val="000000"/>
                <w:sz w:val="18"/>
                <w:szCs w:val="18"/>
              </w:rPr>
            </w:pPr>
            <w:r>
              <w:rPr>
                <w:rFonts w:eastAsia="PTSansRegular" w:cs="Arial"/>
                <w:color w:val="000000"/>
                <w:sz w:val="18"/>
                <w:szCs w:val="18"/>
                <w:lang w:val="en-GB"/>
              </w:rPr>
              <w:t>competitive procedure</w:t>
            </w:r>
          </w:p>
        </w:tc>
      </w:tr>
      <w:tr w:rsidR="00D1041B" w:rsidRPr="003F6E7F" w14:paraId="45DC5B3B" w14:textId="77777777" w:rsidTr="00D1041B">
        <w:trPr>
          <w:cantSplit/>
          <w:trHeight w:val="23"/>
        </w:trPr>
        <w:tc>
          <w:tcPr>
            <w:tcW w:w="2955" w:type="dxa"/>
            <w:tcBorders>
              <w:top w:val="single" w:sz="4" w:space="0" w:color="auto"/>
              <w:left w:val="single" w:sz="18" w:space="0" w:color="auto"/>
              <w:bottom w:val="single" w:sz="4" w:space="0" w:color="auto"/>
            </w:tcBorders>
          </w:tcPr>
          <w:p w14:paraId="1489BB4E" w14:textId="5D31D938" w:rsidR="00D1041B" w:rsidRPr="003F6E7F" w:rsidRDefault="00D1041B" w:rsidP="00D47CBE">
            <w:pPr>
              <w:keepNext/>
              <w:keepLines/>
              <w:jc w:val="left"/>
              <w:rPr>
                <w:rFonts w:cs="Arial"/>
                <w:color w:val="000000"/>
                <w:sz w:val="18"/>
                <w:szCs w:val="18"/>
              </w:rPr>
            </w:pPr>
            <w:r>
              <w:rPr>
                <w:rFonts w:cs="Arial"/>
                <w:color w:val="000000"/>
                <w:sz w:val="18"/>
                <w:szCs w:val="18"/>
                <w:lang w:val="en-GB"/>
              </w:rPr>
              <w:t xml:space="preserve">Maximum </w:t>
            </w:r>
            <w:r w:rsidR="00D47CBE">
              <w:rPr>
                <w:rFonts w:cs="Arial"/>
                <w:color w:val="000000"/>
                <w:sz w:val="18"/>
                <w:szCs w:val="18"/>
                <w:lang w:val="en-GB"/>
              </w:rPr>
              <w:t xml:space="preserve">amount </w:t>
            </w:r>
            <w:r w:rsidR="008B2D98">
              <w:rPr>
                <w:rFonts w:cs="Arial"/>
                <w:color w:val="000000"/>
                <w:sz w:val="18"/>
                <w:szCs w:val="18"/>
                <w:lang w:val="en-GB"/>
              </w:rPr>
              <w:t xml:space="preserve">of </w:t>
            </w:r>
            <w:r>
              <w:rPr>
                <w:rFonts w:cs="Arial"/>
                <w:color w:val="000000"/>
                <w:sz w:val="18"/>
                <w:szCs w:val="18"/>
                <w:lang w:val="en-GB"/>
              </w:rPr>
              <w:t xml:space="preserve">frequency range </w:t>
            </w:r>
          </w:p>
        </w:tc>
        <w:tc>
          <w:tcPr>
            <w:tcW w:w="6379" w:type="dxa"/>
            <w:tcBorders>
              <w:top w:val="single" w:sz="4" w:space="0" w:color="auto"/>
              <w:bottom w:val="single" w:sz="4" w:space="0" w:color="auto"/>
              <w:right w:val="single" w:sz="18" w:space="0" w:color="auto"/>
            </w:tcBorders>
          </w:tcPr>
          <w:p w14:paraId="02E34B3F" w14:textId="15A54C53" w:rsidR="00D1041B" w:rsidRDefault="00D1041B" w:rsidP="00CB7A92">
            <w:pPr>
              <w:keepNext/>
              <w:keepLines/>
              <w:ind w:left="198" w:hanging="198"/>
              <w:jc w:val="left"/>
              <w:rPr>
                <w:rFonts w:eastAsia="PTSansRegular" w:cs="Arial"/>
                <w:color w:val="000000"/>
                <w:sz w:val="18"/>
                <w:szCs w:val="18"/>
              </w:rPr>
            </w:pPr>
            <w:r>
              <w:rPr>
                <w:rFonts w:eastAsia="PTSansRegular" w:cs="Arial"/>
                <w:color w:val="000000"/>
                <w:sz w:val="18"/>
                <w:szCs w:val="18"/>
                <w:lang w:val="en-GB"/>
              </w:rPr>
              <w:t xml:space="preserve">a single radio spectrum right holder may have the right </w:t>
            </w:r>
            <w:r w:rsidR="00132FE8">
              <w:rPr>
                <w:rFonts w:eastAsia="PTSansRegular" w:cs="Arial"/>
                <w:color w:val="000000"/>
                <w:sz w:val="18"/>
                <w:szCs w:val="18"/>
                <w:lang w:val="en-GB"/>
              </w:rPr>
              <w:t xml:space="preserve">of </w:t>
            </w:r>
            <w:r>
              <w:rPr>
                <w:rFonts w:eastAsia="PTSansRegular" w:cs="Arial"/>
                <w:color w:val="000000"/>
                <w:sz w:val="18"/>
                <w:szCs w:val="18"/>
                <w:lang w:val="en-GB"/>
              </w:rPr>
              <w:t xml:space="preserve">and entitlement to radio spectrum use of up to six basic blocks within the territorial </w:t>
            </w:r>
            <w:r w:rsidR="00E521DF">
              <w:rPr>
                <w:rFonts w:eastAsia="PTSansRegular" w:cs="Arial"/>
                <w:color w:val="000000"/>
                <w:sz w:val="18"/>
                <w:szCs w:val="18"/>
                <w:lang w:val="en-GB"/>
              </w:rPr>
              <w:t xml:space="preserve">coverage </w:t>
            </w:r>
            <w:r>
              <w:rPr>
                <w:rFonts w:eastAsia="PTSansRegular" w:cs="Arial"/>
                <w:color w:val="000000"/>
                <w:sz w:val="18"/>
                <w:szCs w:val="18"/>
                <w:lang w:val="en-GB"/>
              </w:rPr>
              <w:t>of entitlement to radio spectrum use;</w:t>
            </w:r>
          </w:p>
          <w:p w14:paraId="64CA744B" w14:textId="55746F05" w:rsidR="00D1041B" w:rsidRPr="003F6E7F" w:rsidRDefault="00D1041B" w:rsidP="00FE165F">
            <w:pPr>
              <w:keepNext/>
              <w:keepLines/>
              <w:ind w:left="198" w:hanging="198"/>
              <w:jc w:val="left"/>
              <w:rPr>
                <w:rFonts w:eastAsia="PTSansRegular" w:cs="Arial"/>
                <w:color w:val="000000"/>
                <w:sz w:val="18"/>
                <w:szCs w:val="18"/>
              </w:rPr>
            </w:pPr>
            <w:r>
              <w:rPr>
                <w:rFonts w:eastAsia="PTSansRegular" w:cs="Arial"/>
                <w:color w:val="000000"/>
                <w:sz w:val="18"/>
                <w:szCs w:val="18"/>
                <w:lang w:val="en-GB"/>
              </w:rPr>
              <w:t xml:space="preserve">radio spectrum right holders belonging to the same business group may have the right </w:t>
            </w:r>
            <w:r w:rsidR="00FE165F">
              <w:rPr>
                <w:rFonts w:eastAsia="PTSansRegular" w:cs="Arial"/>
                <w:color w:val="000000"/>
                <w:sz w:val="18"/>
                <w:szCs w:val="18"/>
                <w:lang w:val="en-GB"/>
              </w:rPr>
              <w:t xml:space="preserve">of </w:t>
            </w:r>
            <w:r>
              <w:rPr>
                <w:rFonts w:eastAsia="PTSansRegular" w:cs="Arial"/>
                <w:color w:val="000000"/>
                <w:sz w:val="18"/>
                <w:szCs w:val="18"/>
                <w:lang w:val="en-GB"/>
              </w:rPr>
              <w:t xml:space="preserve">and entitlement to radio spectrum use of up to six basic blocks within the territorial </w:t>
            </w:r>
            <w:r w:rsidR="00D47CBE">
              <w:rPr>
                <w:rFonts w:eastAsia="PTSansRegular" w:cs="Arial"/>
                <w:color w:val="000000"/>
                <w:sz w:val="18"/>
                <w:szCs w:val="18"/>
                <w:lang w:val="en-GB"/>
              </w:rPr>
              <w:t xml:space="preserve">coverage </w:t>
            </w:r>
            <w:r>
              <w:rPr>
                <w:rFonts w:eastAsia="PTSansRegular" w:cs="Arial"/>
                <w:color w:val="000000"/>
                <w:sz w:val="18"/>
                <w:szCs w:val="18"/>
                <w:lang w:val="en-GB"/>
              </w:rPr>
              <w:t>of entitlement to radio spectrum use</w:t>
            </w:r>
          </w:p>
        </w:tc>
      </w:tr>
      <w:tr w:rsidR="00D1041B" w:rsidRPr="003F6E7F" w14:paraId="52B37D35" w14:textId="77777777" w:rsidTr="00D1041B">
        <w:trPr>
          <w:cantSplit/>
          <w:trHeight w:val="23"/>
        </w:trPr>
        <w:tc>
          <w:tcPr>
            <w:tcW w:w="2955" w:type="dxa"/>
            <w:tcBorders>
              <w:top w:val="single" w:sz="4" w:space="0" w:color="auto"/>
              <w:left w:val="single" w:sz="18" w:space="0" w:color="auto"/>
              <w:bottom w:val="single" w:sz="4" w:space="0" w:color="auto"/>
            </w:tcBorders>
          </w:tcPr>
          <w:p w14:paraId="1A3A1A8B" w14:textId="77777777" w:rsidR="00D1041B" w:rsidRPr="003F6E7F" w:rsidRDefault="00D1041B" w:rsidP="00CB7A92">
            <w:pPr>
              <w:keepNext/>
              <w:keepLines/>
              <w:jc w:val="left"/>
              <w:rPr>
                <w:rFonts w:cs="Arial"/>
                <w:color w:val="000000"/>
                <w:sz w:val="18"/>
                <w:szCs w:val="18"/>
              </w:rPr>
            </w:pPr>
          </w:p>
        </w:tc>
        <w:tc>
          <w:tcPr>
            <w:tcW w:w="6379" w:type="dxa"/>
            <w:tcBorders>
              <w:top w:val="single" w:sz="4" w:space="0" w:color="auto"/>
              <w:bottom w:val="single" w:sz="4" w:space="0" w:color="auto"/>
              <w:right w:val="single" w:sz="18" w:space="0" w:color="auto"/>
            </w:tcBorders>
          </w:tcPr>
          <w:p w14:paraId="4218F673" w14:textId="7F695A40" w:rsidR="00D1041B" w:rsidRPr="003F6E7F" w:rsidRDefault="00D1041B" w:rsidP="008B2D98">
            <w:pPr>
              <w:keepNext/>
              <w:keepLines/>
              <w:ind w:left="198" w:hanging="198"/>
              <w:jc w:val="left"/>
              <w:rPr>
                <w:rFonts w:eastAsia="PTSansRegular" w:cs="Arial"/>
                <w:color w:val="000000"/>
                <w:sz w:val="18"/>
                <w:szCs w:val="18"/>
              </w:rPr>
            </w:pPr>
            <w:r>
              <w:rPr>
                <w:rFonts w:eastAsia="PTSansRegular" w:cs="Arial"/>
                <w:color w:val="000000"/>
                <w:sz w:val="18"/>
                <w:szCs w:val="18"/>
                <w:lang w:val="en-GB"/>
              </w:rPr>
              <w:t xml:space="preserve">if, after completion of the competitive procedure, any radio spectrum right holder or radio spectrum right holders belonging to the same business group exceed the maximum </w:t>
            </w:r>
            <w:r w:rsidR="008B2D98">
              <w:rPr>
                <w:rFonts w:eastAsia="PTSansRegular" w:cs="Arial"/>
                <w:color w:val="000000"/>
                <w:sz w:val="18"/>
                <w:szCs w:val="18"/>
                <w:lang w:val="en-GB"/>
              </w:rPr>
              <w:t xml:space="preserve">amount of </w:t>
            </w:r>
            <w:r>
              <w:rPr>
                <w:rFonts w:eastAsia="PTSansRegular" w:cs="Arial"/>
                <w:color w:val="000000"/>
                <w:sz w:val="18"/>
                <w:szCs w:val="18"/>
                <w:lang w:val="en-GB"/>
              </w:rPr>
              <w:t xml:space="preserve">frequency range, they </w:t>
            </w:r>
            <w:r w:rsidR="008B2D98">
              <w:rPr>
                <w:rFonts w:eastAsia="PTSansRegular" w:cs="Arial"/>
                <w:color w:val="000000"/>
                <w:sz w:val="18"/>
                <w:szCs w:val="18"/>
                <w:lang w:val="en-GB"/>
              </w:rPr>
              <w:t xml:space="preserve">shall </w:t>
            </w:r>
            <w:r>
              <w:rPr>
                <w:rFonts w:eastAsia="PTSansRegular" w:cs="Arial"/>
                <w:color w:val="000000"/>
                <w:sz w:val="18"/>
                <w:szCs w:val="18"/>
                <w:lang w:val="en-GB"/>
              </w:rPr>
              <w:t xml:space="preserve">reduce the </w:t>
            </w:r>
            <w:r w:rsidR="008B2D98">
              <w:rPr>
                <w:rFonts w:eastAsia="PTSansRegular" w:cs="Arial"/>
                <w:color w:val="000000"/>
                <w:sz w:val="18"/>
                <w:szCs w:val="18"/>
                <w:lang w:val="en-GB"/>
              </w:rPr>
              <w:t xml:space="preserve">amount </w:t>
            </w:r>
            <w:r>
              <w:rPr>
                <w:rFonts w:eastAsia="PTSansRegular" w:cs="Arial"/>
                <w:color w:val="000000"/>
                <w:sz w:val="18"/>
                <w:szCs w:val="18"/>
                <w:lang w:val="en-GB"/>
              </w:rPr>
              <w:t xml:space="preserve">of frequency range </w:t>
            </w:r>
            <w:r w:rsidR="008B2D98">
              <w:rPr>
                <w:rFonts w:eastAsia="PTSansRegular" w:cs="Arial"/>
                <w:color w:val="000000"/>
                <w:sz w:val="18"/>
                <w:szCs w:val="18"/>
                <w:lang w:val="en-GB"/>
              </w:rPr>
              <w:t xml:space="preserve">belonging </w:t>
            </w:r>
            <w:r>
              <w:rPr>
                <w:rFonts w:eastAsia="PTSansRegular" w:cs="Arial"/>
                <w:color w:val="000000"/>
                <w:sz w:val="18"/>
                <w:szCs w:val="18"/>
                <w:lang w:val="en-GB"/>
              </w:rPr>
              <w:t>to them to at least the maximum amount of frequency range within 1 year from the date the maximum is exceeded.</w:t>
            </w:r>
          </w:p>
        </w:tc>
      </w:tr>
      <w:tr w:rsidR="00D1041B" w:rsidRPr="003F6E7F" w14:paraId="3B85F3EC" w14:textId="77777777" w:rsidTr="00D1041B">
        <w:trPr>
          <w:cantSplit/>
          <w:trHeight w:val="23"/>
        </w:trPr>
        <w:tc>
          <w:tcPr>
            <w:tcW w:w="2955" w:type="dxa"/>
            <w:tcBorders>
              <w:top w:val="single" w:sz="4" w:space="0" w:color="auto"/>
              <w:left w:val="single" w:sz="18" w:space="0" w:color="auto"/>
              <w:bottom w:val="single" w:sz="4" w:space="0" w:color="auto"/>
            </w:tcBorders>
          </w:tcPr>
          <w:p w14:paraId="3D2CEBEF" w14:textId="1EA4255C" w:rsidR="00D1041B" w:rsidRPr="003F6E7F" w:rsidRDefault="008B2D98" w:rsidP="008B2D98">
            <w:pPr>
              <w:keepNext/>
              <w:keepLines/>
              <w:jc w:val="left"/>
              <w:rPr>
                <w:rFonts w:cs="Arial"/>
                <w:color w:val="000000"/>
                <w:sz w:val="18"/>
                <w:szCs w:val="18"/>
              </w:rPr>
            </w:pPr>
            <w:r>
              <w:rPr>
                <w:rFonts w:cs="Arial"/>
                <w:color w:val="000000"/>
                <w:sz w:val="18"/>
                <w:szCs w:val="18"/>
                <w:lang w:val="en-GB"/>
              </w:rPr>
              <w:t xml:space="preserve">Minimum amount of </w:t>
            </w:r>
            <w:r w:rsidR="00D1041B">
              <w:rPr>
                <w:rFonts w:cs="Arial"/>
                <w:color w:val="000000"/>
                <w:sz w:val="18"/>
                <w:szCs w:val="18"/>
                <w:lang w:val="en-GB"/>
              </w:rPr>
              <w:t xml:space="preserve">frequency range </w:t>
            </w:r>
          </w:p>
        </w:tc>
        <w:tc>
          <w:tcPr>
            <w:tcW w:w="6379" w:type="dxa"/>
            <w:tcBorders>
              <w:top w:val="single" w:sz="4" w:space="0" w:color="auto"/>
              <w:bottom w:val="single" w:sz="4" w:space="0" w:color="auto"/>
              <w:right w:val="single" w:sz="18" w:space="0" w:color="auto"/>
            </w:tcBorders>
          </w:tcPr>
          <w:p w14:paraId="7F6407A3" w14:textId="5144B741" w:rsidR="00D1041B" w:rsidRDefault="00D1041B" w:rsidP="00BB67EE">
            <w:pPr>
              <w:keepNext/>
              <w:keepLines/>
              <w:ind w:left="198" w:hanging="198"/>
              <w:jc w:val="left"/>
              <w:rPr>
                <w:rFonts w:eastAsia="PTSansRegular" w:cs="Arial"/>
                <w:color w:val="000000"/>
                <w:sz w:val="18"/>
                <w:szCs w:val="18"/>
              </w:rPr>
            </w:pPr>
            <w:r>
              <w:rPr>
                <w:rFonts w:eastAsia="PTSansRegular" w:cs="Arial"/>
                <w:color w:val="000000"/>
                <w:sz w:val="18"/>
                <w:szCs w:val="18"/>
                <w:lang w:val="en-GB"/>
              </w:rPr>
              <w:t xml:space="preserve">a radio spectrum right holder </w:t>
            </w:r>
            <w:r w:rsidR="00BB67EE">
              <w:rPr>
                <w:rFonts w:eastAsia="PTSansRegular" w:cs="Arial"/>
                <w:color w:val="000000"/>
                <w:sz w:val="18"/>
                <w:szCs w:val="18"/>
                <w:lang w:val="en-GB"/>
              </w:rPr>
              <w:t xml:space="preserve">shall </w:t>
            </w:r>
            <w:r>
              <w:rPr>
                <w:rFonts w:eastAsia="PTSansRegular" w:cs="Arial"/>
                <w:color w:val="000000"/>
                <w:sz w:val="18"/>
                <w:szCs w:val="18"/>
                <w:lang w:val="en-GB"/>
              </w:rPr>
              <w:t>have entitlement to radio spectrum use for at least two basic blocks</w:t>
            </w:r>
          </w:p>
        </w:tc>
      </w:tr>
      <w:tr w:rsidR="00D1041B" w:rsidRPr="003F6E7F" w14:paraId="6021011D" w14:textId="77777777" w:rsidTr="00D1041B">
        <w:trPr>
          <w:cantSplit/>
          <w:trHeight w:val="23"/>
        </w:trPr>
        <w:tc>
          <w:tcPr>
            <w:tcW w:w="2955" w:type="dxa"/>
            <w:tcBorders>
              <w:top w:val="single" w:sz="4" w:space="0" w:color="auto"/>
              <w:left w:val="single" w:sz="18" w:space="0" w:color="auto"/>
              <w:bottom w:val="single" w:sz="4" w:space="0" w:color="auto"/>
            </w:tcBorders>
          </w:tcPr>
          <w:p w14:paraId="10C2A652" w14:textId="77777777" w:rsidR="00D1041B" w:rsidRPr="003F6E7F" w:rsidRDefault="00D1041B" w:rsidP="00CB7A92">
            <w:pPr>
              <w:keepNext/>
              <w:keepLines/>
              <w:jc w:val="left"/>
              <w:rPr>
                <w:rFonts w:cs="Arial"/>
                <w:color w:val="000000"/>
                <w:sz w:val="18"/>
                <w:szCs w:val="18"/>
              </w:rPr>
            </w:pPr>
            <w:bookmarkStart w:id="46" w:name="_GoBack"/>
            <w:bookmarkEnd w:id="46"/>
          </w:p>
        </w:tc>
        <w:tc>
          <w:tcPr>
            <w:tcW w:w="6379" w:type="dxa"/>
            <w:tcBorders>
              <w:top w:val="single" w:sz="4" w:space="0" w:color="auto"/>
              <w:bottom w:val="single" w:sz="4" w:space="0" w:color="auto"/>
              <w:right w:val="single" w:sz="18" w:space="0" w:color="auto"/>
            </w:tcBorders>
          </w:tcPr>
          <w:p w14:paraId="16734B6B" w14:textId="1DDEE72D" w:rsidR="00D1041B" w:rsidRDefault="00D1041B" w:rsidP="00BB67EE">
            <w:pPr>
              <w:keepNext/>
              <w:keepLines/>
              <w:ind w:left="198" w:hanging="198"/>
              <w:jc w:val="left"/>
              <w:rPr>
                <w:rFonts w:eastAsia="PTSansRegular" w:cs="Arial"/>
                <w:color w:val="000000"/>
                <w:sz w:val="18"/>
                <w:szCs w:val="18"/>
              </w:rPr>
            </w:pPr>
            <w:r>
              <w:rPr>
                <w:rFonts w:eastAsia="PTSansRegular" w:cs="Arial"/>
                <w:color w:val="000000"/>
                <w:sz w:val="18"/>
                <w:szCs w:val="18"/>
                <w:lang w:val="en-GB"/>
              </w:rPr>
              <w:t xml:space="preserve">if a radio spectrum right holder does not have entitlement to radio spectrum use </w:t>
            </w:r>
            <w:r w:rsidR="00BB67EE">
              <w:rPr>
                <w:rFonts w:eastAsia="PTSansRegular" w:cs="Arial"/>
                <w:color w:val="000000"/>
                <w:sz w:val="18"/>
                <w:szCs w:val="18"/>
                <w:lang w:val="en-GB"/>
              </w:rPr>
              <w:t xml:space="preserve">for </w:t>
            </w:r>
            <w:r>
              <w:rPr>
                <w:rFonts w:eastAsia="PTSansRegular" w:cs="Arial"/>
                <w:color w:val="000000"/>
                <w:sz w:val="18"/>
                <w:szCs w:val="18"/>
                <w:lang w:val="en-GB"/>
              </w:rPr>
              <w:t xml:space="preserve">at least two basic blocks, the minimum </w:t>
            </w:r>
            <w:r w:rsidR="00BB67EE">
              <w:rPr>
                <w:rFonts w:eastAsia="PTSansRegular" w:cs="Arial"/>
                <w:color w:val="000000"/>
                <w:sz w:val="18"/>
                <w:szCs w:val="18"/>
                <w:lang w:val="en-GB"/>
              </w:rPr>
              <w:t xml:space="preserve">amount of </w:t>
            </w:r>
            <w:r>
              <w:rPr>
                <w:rFonts w:eastAsia="PTSansRegular" w:cs="Arial"/>
                <w:color w:val="000000"/>
                <w:sz w:val="18"/>
                <w:szCs w:val="18"/>
                <w:lang w:val="en-GB"/>
              </w:rPr>
              <w:t xml:space="preserve">frequency range </w:t>
            </w:r>
            <w:r w:rsidR="00BB67EE">
              <w:rPr>
                <w:rFonts w:eastAsia="PTSansRegular" w:cs="Arial"/>
                <w:color w:val="000000"/>
                <w:sz w:val="18"/>
                <w:szCs w:val="18"/>
                <w:lang w:val="en-GB"/>
              </w:rPr>
              <w:t xml:space="preserve">shall be reached </w:t>
            </w:r>
            <w:r>
              <w:rPr>
                <w:rFonts w:eastAsia="PTSansRegular" w:cs="Arial"/>
                <w:color w:val="000000"/>
                <w:sz w:val="18"/>
                <w:szCs w:val="18"/>
                <w:lang w:val="en-GB"/>
              </w:rPr>
              <w:t>within 1 year from the date the minimum frequency range volume is not reached</w:t>
            </w:r>
          </w:p>
        </w:tc>
      </w:tr>
      <w:tr w:rsidR="00D1041B" w:rsidRPr="003F6E7F" w14:paraId="2746F5FA" w14:textId="77777777" w:rsidTr="00D1041B">
        <w:trPr>
          <w:cantSplit/>
          <w:trHeight w:val="23"/>
        </w:trPr>
        <w:tc>
          <w:tcPr>
            <w:tcW w:w="2955" w:type="dxa"/>
            <w:tcBorders>
              <w:top w:val="single" w:sz="4" w:space="0" w:color="auto"/>
              <w:left w:val="single" w:sz="18" w:space="0" w:color="auto"/>
              <w:bottom w:val="single" w:sz="4" w:space="0" w:color="auto"/>
            </w:tcBorders>
          </w:tcPr>
          <w:p w14:paraId="18DF7456" w14:textId="32C85004" w:rsidR="00D1041B" w:rsidRPr="003F6E7F" w:rsidRDefault="00D1041B" w:rsidP="00E521DF">
            <w:pPr>
              <w:keepNext/>
              <w:keepLines/>
              <w:jc w:val="left"/>
              <w:rPr>
                <w:rFonts w:cs="Arial"/>
                <w:color w:val="000000"/>
                <w:sz w:val="18"/>
                <w:szCs w:val="18"/>
              </w:rPr>
            </w:pPr>
            <w:r>
              <w:rPr>
                <w:rFonts w:cs="Arial"/>
                <w:color w:val="000000"/>
                <w:sz w:val="18"/>
                <w:szCs w:val="18"/>
                <w:lang w:val="en-GB"/>
              </w:rPr>
              <w:t xml:space="preserve">Territorial </w:t>
            </w:r>
            <w:r w:rsidR="00E521DF">
              <w:rPr>
                <w:rFonts w:cs="Arial"/>
                <w:color w:val="000000"/>
                <w:sz w:val="18"/>
                <w:szCs w:val="18"/>
                <w:lang w:val="en-GB"/>
              </w:rPr>
              <w:t xml:space="preserve">coverage </w:t>
            </w:r>
            <w:r>
              <w:rPr>
                <w:rFonts w:cs="Arial"/>
                <w:color w:val="000000"/>
                <w:sz w:val="18"/>
                <w:szCs w:val="18"/>
                <w:lang w:val="en-GB"/>
              </w:rPr>
              <w:t>of entitlement to radio spectrum use</w:t>
            </w:r>
          </w:p>
        </w:tc>
        <w:tc>
          <w:tcPr>
            <w:tcW w:w="6379" w:type="dxa"/>
            <w:tcBorders>
              <w:top w:val="single" w:sz="4" w:space="0" w:color="auto"/>
              <w:bottom w:val="single" w:sz="4" w:space="0" w:color="auto"/>
              <w:right w:val="single" w:sz="18" w:space="0" w:color="auto"/>
            </w:tcBorders>
          </w:tcPr>
          <w:p w14:paraId="4C49BDBC" w14:textId="77777777" w:rsidR="00E577E1" w:rsidRDefault="002A0D60" w:rsidP="002A0D60">
            <w:pPr>
              <w:keepNext/>
              <w:keepLines/>
              <w:ind w:left="198" w:hanging="198"/>
              <w:jc w:val="left"/>
              <w:rPr>
                <w:rFonts w:ascii="Arial" w:hAnsi="Arial" w:cs="Arial"/>
                <w:color w:val="212529"/>
                <w:sz w:val="18"/>
                <w:szCs w:val="18"/>
                <w:shd w:val="clear" w:color="auto" w:fill="FFFFFF"/>
              </w:rPr>
            </w:pPr>
            <w:r>
              <w:rPr>
                <w:rFonts w:ascii="Arial" w:hAnsi="Arial" w:cs="Arial"/>
                <w:color w:val="212529"/>
                <w:sz w:val="18"/>
                <w:szCs w:val="18"/>
                <w:shd w:val="clear" w:color="auto" w:fill="FFFFFF"/>
              </w:rPr>
              <w:t>nationwide in case of obtainment of entitlement to radio spectrum use, as a result of a competitive</w:t>
            </w:r>
            <w:r w:rsidR="00E577E1">
              <w:rPr>
                <w:rFonts w:ascii="Arial" w:hAnsi="Arial" w:cs="Arial"/>
                <w:color w:val="212529"/>
                <w:sz w:val="18"/>
                <w:szCs w:val="18"/>
                <w:shd w:val="clear" w:color="auto" w:fill="FFFFFF"/>
              </w:rPr>
              <w:t xml:space="preserve"> procedure,</w:t>
            </w:r>
          </w:p>
          <w:p w14:paraId="4E68D883" w14:textId="0BD9D9C5" w:rsidR="00D1041B" w:rsidRPr="003F6E7F" w:rsidRDefault="002A0D60" w:rsidP="002A0D60">
            <w:pPr>
              <w:keepNext/>
              <w:keepLines/>
              <w:ind w:left="198" w:hanging="198"/>
              <w:jc w:val="left"/>
              <w:rPr>
                <w:rFonts w:cs="Arial"/>
                <w:color w:val="000000"/>
                <w:sz w:val="18"/>
                <w:szCs w:val="18"/>
              </w:rPr>
            </w:pPr>
            <w:r>
              <w:rPr>
                <w:rFonts w:ascii="Arial" w:hAnsi="Arial" w:cs="Arial"/>
                <w:color w:val="212529"/>
                <w:sz w:val="18"/>
                <w:szCs w:val="18"/>
                <w:shd w:val="clear" w:color="auto" w:fill="FFFFFF"/>
              </w:rPr>
              <w:t>in case of transfer, smaller geographical unit is also permitted</w:t>
            </w:r>
          </w:p>
        </w:tc>
      </w:tr>
      <w:tr w:rsidR="00D1041B" w:rsidRPr="003F6E7F" w14:paraId="134EE834" w14:textId="77777777" w:rsidTr="00D1041B">
        <w:trPr>
          <w:cantSplit/>
          <w:trHeight w:val="23"/>
        </w:trPr>
        <w:tc>
          <w:tcPr>
            <w:tcW w:w="2955" w:type="dxa"/>
            <w:tcBorders>
              <w:top w:val="single" w:sz="4" w:space="0" w:color="auto"/>
              <w:left w:val="single" w:sz="18" w:space="0" w:color="auto"/>
              <w:bottom w:val="single" w:sz="4" w:space="0" w:color="auto"/>
            </w:tcBorders>
          </w:tcPr>
          <w:p w14:paraId="78ADF485" w14:textId="77777777" w:rsidR="00D1041B" w:rsidRPr="003F6E7F" w:rsidRDefault="00D1041B" w:rsidP="00CB7A92">
            <w:pPr>
              <w:jc w:val="left"/>
              <w:rPr>
                <w:rFonts w:cs="Arial"/>
                <w:color w:val="000000"/>
                <w:sz w:val="18"/>
                <w:szCs w:val="18"/>
              </w:rPr>
            </w:pPr>
            <w:r>
              <w:rPr>
                <w:rFonts w:cs="Arial"/>
                <w:color w:val="000000"/>
                <w:sz w:val="18"/>
                <w:szCs w:val="18"/>
                <w:lang w:val="en-GB"/>
              </w:rPr>
              <w:t>Method of management</w:t>
            </w:r>
          </w:p>
        </w:tc>
        <w:tc>
          <w:tcPr>
            <w:tcW w:w="6379" w:type="dxa"/>
            <w:tcBorders>
              <w:top w:val="single" w:sz="4" w:space="0" w:color="auto"/>
              <w:bottom w:val="single" w:sz="4" w:space="0" w:color="auto"/>
              <w:right w:val="single" w:sz="18" w:space="0" w:color="auto"/>
            </w:tcBorders>
          </w:tcPr>
          <w:p w14:paraId="448A93A5" w14:textId="77777777" w:rsidR="00D1041B" w:rsidRPr="003F6E7F" w:rsidRDefault="00D1041B" w:rsidP="00CB7A92">
            <w:pPr>
              <w:ind w:left="198" w:hanging="198"/>
              <w:jc w:val="left"/>
              <w:rPr>
                <w:rFonts w:cs="Arial"/>
                <w:color w:val="000000"/>
                <w:sz w:val="18"/>
                <w:szCs w:val="18"/>
              </w:rPr>
            </w:pPr>
            <w:r>
              <w:rPr>
                <w:rFonts w:eastAsia="PTSansRegular" w:cs="Arial"/>
                <w:color w:val="000000"/>
                <w:sz w:val="18"/>
                <w:szCs w:val="18"/>
                <w:lang w:val="en-GB"/>
              </w:rPr>
              <w:t>block management</w:t>
            </w:r>
          </w:p>
        </w:tc>
      </w:tr>
      <w:tr w:rsidR="00D1041B" w:rsidRPr="003F6E7F" w14:paraId="3BE4E078" w14:textId="77777777" w:rsidTr="00D1041B">
        <w:trPr>
          <w:cantSplit/>
          <w:trHeight w:val="23"/>
        </w:trPr>
        <w:tc>
          <w:tcPr>
            <w:tcW w:w="2955" w:type="dxa"/>
            <w:tcBorders>
              <w:top w:val="single" w:sz="4" w:space="0" w:color="auto"/>
              <w:left w:val="single" w:sz="18" w:space="0" w:color="auto"/>
              <w:bottom w:val="single" w:sz="6" w:space="0" w:color="auto"/>
            </w:tcBorders>
          </w:tcPr>
          <w:p w14:paraId="7CFE8704" w14:textId="77777777" w:rsidR="00D1041B" w:rsidRPr="003F6E7F" w:rsidRDefault="00D1041B" w:rsidP="00CB7A92">
            <w:pPr>
              <w:jc w:val="left"/>
              <w:rPr>
                <w:rFonts w:cs="Arial"/>
                <w:color w:val="000000"/>
                <w:sz w:val="18"/>
                <w:szCs w:val="18"/>
              </w:rPr>
            </w:pPr>
            <w:r>
              <w:rPr>
                <w:rFonts w:cs="Arial"/>
                <w:color w:val="000000"/>
                <w:sz w:val="18"/>
                <w:szCs w:val="18"/>
                <w:lang w:val="en-GB"/>
              </w:rPr>
              <w:t>Band rearrangement</w:t>
            </w:r>
          </w:p>
        </w:tc>
        <w:tc>
          <w:tcPr>
            <w:tcW w:w="6379" w:type="dxa"/>
            <w:tcBorders>
              <w:top w:val="single" w:sz="4" w:space="0" w:color="auto"/>
              <w:bottom w:val="single" w:sz="6" w:space="0" w:color="auto"/>
              <w:right w:val="single" w:sz="18" w:space="0" w:color="auto"/>
            </w:tcBorders>
          </w:tcPr>
          <w:p w14:paraId="4B8EAF38" w14:textId="77777777" w:rsidR="00D1041B" w:rsidRPr="003F6E7F" w:rsidRDefault="00D1041B" w:rsidP="00CB7A92">
            <w:pPr>
              <w:ind w:left="198" w:hanging="198"/>
              <w:jc w:val="left"/>
              <w:rPr>
                <w:rFonts w:eastAsia="PTSansRegular" w:cs="Arial"/>
                <w:color w:val="000000"/>
                <w:sz w:val="18"/>
                <w:szCs w:val="18"/>
              </w:rPr>
            </w:pPr>
            <w:r>
              <w:rPr>
                <w:rFonts w:eastAsia="PTSansRegular" w:cs="Arial"/>
                <w:color w:val="000000"/>
                <w:sz w:val="18"/>
                <w:szCs w:val="18"/>
                <w:lang w:val="en-GB"/>
              </w:rPr>
              <w:t>allowed</w:t>
            </w:r>
          </w:p>
        </w:tc>
      </w:tr>
      <w:tr w:rsidR="00D1041B" w:rsidRPr="003F6E7F" w14:paraId="03D89E59" w14:textId="77777777" w:rsidTr="00D1041B">
        <w:trPr>
          <w:cantSplit/>
          <w:trHeight w:val="23"/>
        </w:trPr>
        <w:tc>
          <w:tcPr>
            <w:tcW w:w="2955" w:type="dxa"/>
            <w:tcBorders>
              <w:top w:val="single" w:sz="6" w:space="0" w:color="auto"/>
              <w:left w:val="single" w:sz="18" w:space="0" w:color="auto"/>
              <w:bottom w:val="single" w:sz="18" w:space="0" w:color="auto"/>
            </w:tcBorders>
          </w:tcPr>
          <w:p w14:paraId="2819DF79" w14:textId="77777777" w:rsidR="00D1041B" w:rsidRPr="003F6E7F" w:rsidRDefault="00D1041B" w:rsidP="00CB7A92">
            <w:pPr>
              <w:jc w:val="left"/>
              <w:rPr>
                <w:rFonts w:cs="Arial"/>
                <w:color w:val="000000"/>
                <w:sz w:val="18"/>
                <w:szCs w:val="18"/>
              </w:rPr>
            </w:pPr>
            <w:r>
              <w:rPr>
                <w:rFonts w:cs="Arial"/>
                <w:color w:val="000000"/>
                <w:sz w:val="18"/>
                <w:szCs w:val="18"/>
                <w:lang w:val="en-GB"/>
              </w:rPr>
              <w:t>Secondary trading</w:t>
            </w:r>
          </w:p>
        </w:tc>
        <w:tc>
          <w:tcPr>
            <w:tcW w:w="6379" w:type="dxa"/>
            <w:tcBorders>
              <w:top w:val="single" w:sz="6" w:space="0" w:color="auto"/>
              <w:bottom w:val="single" w:sz="18" w:space="0" w:color="auto"/>
              <w:right w:val="single" w:sz="18" w:space="0" w:color="auto"/>
            </w:tcBorders>
          </w:tcPr>
          <w:p w14:paraId="039EF2E3" w14:textId="6DF2F28D" w:rsidR="00D1041B" w:rsidRPr="003F6E7F" w:rsidRDefault="00D1041B" w:rsidP="00CB7A92">
            <w:pPr>
              <w:ind w:left="198" w:hanging="198"/>
              <w:jc w:val="left"/>
              <w:rPr>
                <w:rFonts w:eastAsia="PTSansRegular" w:cs="Arial"/>
                <w:color w:val="000000"/>
                <w:sz w:val="18"/>
                <w:szCs w:val="18"/>
              </w:rPr>
            </w:pPr>
            <w:r>
              <w:rPr>
                <w:rFonts w:eastAsia="PTSansRegular" w:cs="Arial"/>
                <w:color w:val="000000"/>
                <w:sz w:val="18"/>
                <w:szCs w:val="18"/>
                <w:lang w:val="en-GB"/>
              </w:rPr>
              <w:t xml:space="preserve">entitlement to </w:t>
            </w:r>
            <w:r w:rsidR="000030D2" w:rsidRPr="000030D2">
              <w:rPr>
                <w:rFonts w:eastAsia="PTSansRegular" w:cs="Arial"/>
                <w:color w:val="000000"/>
                <w:sz w:val="18"/>
                <w:szCs w:val="18"/>
                <w:lang w:val="en-GB"/>
              </w:rPr>
              <w:t xml:space="preserve">and right of </w:t>
            </w:r>
            <w:r>
              <w:rPr>
                <w:rFonts w:eastAsia="PTSansRegular" w:cs="Arial"/>
                <w:color w:val="000000"/>
                <w:sz w:val="18"/>
                <w:szCs w:val="18"/>
                <w:lang w:val="en-GB"/>
              </w:rPr>
              <w:t>radio spectrum use may be transferred or leased in whole or in part; partial transfer or lease in respect of frequencies may occur per basic block</w:t>
            </w:r>
          </w:p>
        </w:tc>
      </w:tr>
    </w:tbl>
    <w:p w14:paraId="7029B5FC" w14:textId="4B9C2AF2" w:rsidR="00085A59" w:rsidRPr="00D1041B" w:rsidRDefault="00085A59" w:rsidP="00085A59">
      <w:pPr>
        <w:pStyle w:val="Kpalrs"/>
        <w:jc w:val="center"/>
        <w:rPr>
          <w:color w:val="auto"/>
        </w:rPr>
      </w:pPr>
      <w:r>
        <w:rPr>
          <w:lang w:val="en-GB"/>
        </w:rPr>
        <w:t xml:space="preserve">Table 4.2.2: Conditions </w:t>
      </w:r>
      <w:r w:rsidR="00E521DF">
        <w:rPr>
          <w:lang w:val="en-GB"/>
        </w:rPr>
        <w:t xml:space="preserve">for </w:t>
      </w:r>
      <w:r>
        <w:rPr>
          <w:lang w:val="en-GB"/>
        </w:rPr>
        <w:t xml:space="preserve">obtaining </w:t>
      </w:r>
      <w:r w:rsidR="00E521DF">
        <w:rPr>
          <w:lang w:val="en-GB"/>
        </w:rPr>
        <w:t xml:space="preserve">right of </w:t>
      </w:r>
      <w:r w:rsidRPr="00D77525">
        <w:rPr>
          <w:lang w:val="en-GB"/>
        </w:rPr>
        <w:t xml:space="preserve">radio spectrum use </w:t>
      </w:r>
      <w:r>
        <w:rPr>
          <w:lang w:val="en-GB"/>
        </w:rPr>
        <w:t xml:space="preserve">and </w:t>
      </w:r>
      <w:r w:rsidR="00E521DF">
        <w:rPr>
          <w:lang w:val="en-GB"/>
        </w:rPr>
        <w:t xml:space="preserve">conditions of using </w:t>
      </w:r>
      <w:r w:rsidR="00D77525">
        <w:rPr>
          <w:lang w:val="en-GB"/>
        </w:rPr>
        <w:t xml:space="preserve">the </w:t>
      </w:r>
      <w:r>
        <w:rPr>
          <w:lang w:val="en-GB"/>
        </w:rPr>
        <w:t>band in the 32 GHz frequency band</w:t>
      </w:r>
    </w:p>
    <w:p w14:paraId="283F726F" w14:textId="77777777" w:rsidR="00CB7A92" w:rsidRDefault="00CB7A92" w:rsidP="00CB7A92">
      <w:pPr>
        <w:rPr>
          <w:color w:val="000000"/>
        </w:rPr>
      </w:pPr>
    </w:p>
    <w:p w14:paraId="6DDC04AB" w14:textId="21BAEDDB" w:rsidR="00CB7A92" w:rsidRPr="0037475E" w:rsidRDefault="00CB7A92" w:rsidP="0037475E">
      <w:pPr>
        <w:pStyle w:val="Cmsor3szmozottnmhh"/>
        <w:numPr>
          <w:ilvl w:val="2"/>
          <w:numId w:val="87"/>
        </w:numPr>
      </w:pPr>
      <w:bookmarkStart w:id="47" w:name="_Toc99619502"/>
      <w:r>
        <w:rPr>
          <w:bCs/>
          <w:lang w:val="en-GB"/>
        </w:rPr>
        <w:t>Rules for coexistence of user blocks</w:t>
      </w:r>
      <w:bookmarkEnd w:id="47"/>
    </w:p>
    <w:p w14:paraId="543B3082" w14:textId="787C0426" w:rsidR="006B4322" w:rsidRDefault="00CB7A92" w:rsidP="00085A59">
      <w:pPr>
        <w:pStyle w:val="Behzottbekezdsnmhh"/>
      </w:pPr>
      <w:r>
        <w:rPr>
          <w:lang w:val="en-GB"/>
        </w:rPr>
        <w:t>The rules on the separation bands between the individual user blocks (in particular, the</w:t>
      </w:r>
      <w:r w:rsidR="000030D2">
        <w:rPr>
          <w:lang w:val="en-GB"/>
        </w:rPr>
        <w:t>ir</w:t>
      </w:r>
      <w:r>
        <w:rPr>
          <w:lang w:val="en-GB"/>
        </w:rPr>
        <w:t xml:space="preserve"> necessity, the extent and the possibility of shared use) and the rules on the avoidance and management of the interference between the closest user blocks in the frequency are determined by the documentation of the competitive procedure, the decision </w:t>
      </w:r>
      <w:r w:rsidR="00AA393A" w:rsidRPr="00AA393A">
        <w:rPr>
          <w:bCs/>
          <w:iCs/>
          <w:lang w:val="en-GB"/>
        </w:rPr>
        <w:t xml:space="preserve">establishing </w:t>
      </w:r>
      <w:r>
        <w:rPr>
          <w:lang w:val="en-GB"/>
        </w:rPr>
        <w:t xml:space="preserve">the entitlement to radio spectrum use or the </w:t>
      </w:r>
      <w:r w:rsidR="00786E98">
        <w:rPr>
          <w:lang w:val="en-GB"/>
        </w:rPr>
        <w:t xml:space="preserve">administrative </w:t>
      </w:r>
      <w:r>
        <w:rPr>
          <w:lang w:val="en-GB"/>
        </w:rPr>
        <w:t>contract.</w:t>
      </w:r>
      <w:r>
        <w:rPr>
          <w:lang w:val="en-GB"/>
        </w:rPr>
        <w:br w:type="page"/>
      </w:r>
    </w:p>
    <w:p w14:paraId="33472F68" w14:textId="3EB6418B" w:rsidR="007B55E4" w:rsidRPr="0069015A" w:rsidRDefault="007B55E4" w:rsidP="007B55E4">
      <w:pPr>
        <w:pStyle w:val="Cmsor1szmozottnmhh"/>
        <w:pageBreakBefore w:val="0"/>
        <w:ind w:left="431" w:hanging="431"/>
      </w:pPr>
      <w:bookmarkStart w:id="48" w:name="_Toc89185040"/>
      <w:bookmarkStart w:id="49" w:name="_Toc82171071"/>
      <w:bookmarkStart w:id="50" w:name="_Toc99619503"/>
      <w:r>
        <w:rPr>
          <w:bCs/>
          <w:lang w:val="en-GB"/>
        </w:rPr>
        <w:lastRenderedPageBreak/>
        <w:t>Issues related to migration of fixed service systems in the 26 GHz frequency band</w:t>
      </w:r>
      <w:bookmarkEnd w:id="48"/>
      <w:bookmarkEnd w:id="49"/>
      <w:bookmarkEnd w:id="50"/>
    </w:p>
    <w:p w14:paraId="306A385E" w14:textId="048CDC58" w:rsidR="00EF036F" w:rsidRDefault="006E1625" w:rsidP="007B55E4">
      <w:pPr>
        <w:pStyle w:val="Behzottbekezdsnmhh"/>
      </w:pPr>
      <w:r>
        <w:rPr>
          <w:lang w:val="en-GB"/>
        </w:rPr>
        <w:t>Sufficient amount of radio spectrum should be provided for s</w:t>
      </w:r>
      <w:r w:rsidR="00581FC8">
        <w:rPr>
          <w:lang w:val="en-GB"/>
        </w:rPr>
        <w:t xml:space="preserve">ystems currently operating in the 26 GHz frequency band to allow for the efficient operation of fixed service systems </w:t>
      </w:r>
      <w:r>
        <w:rPr>
          <w:lang w:val="en-GB"/>
        </w:rPr>
        <w:t xml:space="preserve">in place </w:t>
      </w:r>
      <w:r w:rsidR="00581FC8">
        <w:rPr>
          <w:lang w:val="en-GB"/>
        </w:rPr>
        <w:t xml:space="preserve">of the 26 GHz frequency band. The 32 GHz frequency band has been </w:t>
      </w:r>
      <w:r w:rsidR="00E53AF5">
        <w:rPr>
          <w:lang w:val="en-GB"/>
        </w:rPr>
        <w:t xml:space="preserve">designated </w:t>
      </w:r>
      <w:r w:rsidR="00581FC8">
        <w:rPr>
          <w:lang w:val="en-GB"/>
        </w:rPr>
        <w:t xml:space="preserve">for this type of applications. </w:t>
      </w:r>
    </w:p>
    <w:p w14:paraId="4DD57E74" w14:textId="64330876" w:rsidR="007B55E4" w:rsidRDefault="007B55E4" w:rsidP="007B55E4">
      <w:pPr>
        <w:pStyle w:val="Behzottbekezdsnmhh"/>
      </w:pPr>
      <w:r>
        <w:rPr>
          <w:lang w:val="en-GB"/>
        </w:rPr>
        <w:t>Therefore, on the basis of the current entitlement</w:t>
      </w:r>
      <w:r w:rsidR="00804FD7">
        <w:rPr>
          <w:lang w:val="en-GB"/>
        </w:rPr>
        <w:t>s</w:t>
      </w:r>
      <w:r>
        <w:rPr>
          <w:lang w:val="en-GB"/>
        </w:rPr>
        <w:t xml:space="preserve"> to radio spectrum use, the following spectrum </w:t>
      </w:r>
      <w:r w:rsidR="00E53AF5">
        <w:rPr>
          <w:lang w:val="en-GB"/>
        </w:rPr>
        <w:t xml:space="preserve">amounts </w:t>
      </w:r>
      <w:r>
        <w:rPr>
          <w:lang w:val="en-GB"/>
        </w:rPr>
        <w:t>are</w:t>
      </w:r>
      <w:r w:rsidR="00E53AF5">
        <w:rPr>
          <w:lang w:val="en-GB"/>
        </w:rPr>
        <w:t xml:space="preserve"> distributed</w:t>
      </w:r>
      <w:r w:rsidR="00716287">
        <w:rPr>
          <w:lang w:val="en-GB"/>
        </w:rPr>
        <w:t xml:space="preserve"> </w:t>
      </w:r>
      <w:r w:rsidR="00E53AF5">
        <w:rPr>
          <w:lang w:val="en-GB"/>
        </w:rPr>
        <w:t xml:space="preserve">for the </w:t>
      </w:r>
      <w:r>
        <w:rPr>
          <w:lang w:val="en-GB"/>
        </w:rPr>
        <w:t>right holders:</w:t>
      </w:r>
    </w:p>
    <w:p w14:paraId="12610ECC" w14:textId="0AC3F2B3" w:rsidR="007B55E4" w:rsidRPr="0015072A" w:rsidRDefault="00274D87" w:rsidP="007B55E4">
      <w:pPr>
        <w:pStyle w:val="Listaszerbekezds"/>
        <w:numPr>
          <w:ilvl w:val="0"/>
          <w:numId w:val="36"/>
        </w:numPr>
        <w:spacing w:line="240" w:lineRule="auto"/>
        <w:rPr>
          <w:sz w:val="20"/>
          <w:szCs w:val="20"/>
        </w:rPr>
      </w:pPr>
      <w:r>
        <w:rPr>
          <w:sz w:val="20"/>
          <w:szCs w:val="20"/>
          <w:lang w:val="en-GB"/>
        </w:rPr>
        <w:t>Magyar Telekom Nyrt.: 2×168 MHz in total, of which 2×84 MHz will expire in 2024.</w:t>
      </w:r>
    </w:p>
    <w:p w14:paraId="308155BE" w14:textId="5A079887" w:rsidR="007B55E4" w:rsidRPr="003F137A" w:rsidRDefault="007B55E4" w:rsidP="007B55E4">
      <w:pPr>
        <w:pStyle w:val="Listaszerbekezds"/>
        <w:numPr>
          <w:ilvl w:val="0"/>
          <w:numId w:val="36"/>
        </w:numPr>
        <w:spacing w:line="240" w:lineRule="auto"/>
        <w:rPr>
          <w:sz w:val="20"/>
          <w:szCs w:val="20"/>
        </w:rPr>
      </w:pPr>
      <w:r>
        <w:rPr>
          <w:sz w:val="20"/>
          <w:szCs w:val="20"/>
          <w:lang w:val="en-GB"/>
        </w:rPr>
        <w:t>Telenor Magyarország Zrt.: 2×112 MHz</w:t>
      </w:r>
    </w:p>
    <w:p w14:paraId="6CC32540" w14:textId="2B4823C4" w:rsidR="007B55E4" w:rsidRPr="003F137A" w:rsidRDefault="007B55E4" w:rsidP="007B55E4">
      <w:pPr>
        <w:pStyle w:val="Listaszerbekezds"/>
        <w:numPr>
          <w:ilvl w:val="0"/>
          <w:numId w:val="36"/>
        </w:numPr>
        <w:spacing w:line="240" w:lineRule="auto"/>
        <w:rPr>
          <w:sz w:val="20"/>
          <w:szCs w:val="20"/>
        </w:rPr>
      </w:pPr>
      <w:r>
        <w:rPr>
          <w:sz w:val="20"/>
          <w:szCs w:val="20"/>
          <w:lang w:val="en-GB"/>
        </w:rPr>
        <w:t>Vodafone Magyarország Zrt.: 2×168 MHz</w:t>
      </w:r>
    </w:p>
    <w:p w14:paraId="1578F02E" w14:textId="45000C27" w:rsidR="007B55E4" w:rsidRPr="003F137A" w:rsidRDefault="007B55E4" w:rsidP="007B55E4">
      <w:pPr>
        <w:pStyle w:val="Listaszerbekezds"/>
        <w:numPr>
          <w:ilvl w:val="0"/>
          <w:numId w:val="36"/>
        </w:numPr>
        <w:spacing w:line="240" w:lineRule="auto"/>
        <w:rPr>
          <w:sz w:val="20"/>
          <w:szCs w:val="20"/>
        </w:rPr>
      </w:pPr>
      <w:r>
        <w:rPr>
          <w:sz w:val="20"/>
          <w:szCs w:val="20"/>
          <w:lang w:val="en-GB"/>
        </w:rPr>
        <w:t>Antenna Hungária Zrt.: 2×112 MHz</w:t>
      </w:r>
    </w:p>
    <w:p w14:paraId="5BA2C5CA" w14:textId="32010AA8" w:rsidR="007B55E4" w:rsidRDefault="007B55E4" w:rsidP="007B55E4">
      <w:pPr>
        <w:pStyle w:val="Listaszerbekezds"/>
        <w:numPr>
          <w:ilvl w:val="0"/>
          <w:numId w:val="36"/>
        </w:numPr>
        <w:spacing w:line="240" w:lineRule="auto"/>
        <w:rPr>
          <w:sz w:val="20"/>
          <w:szCs w:val="20"/>
        </w:rPr>
      </w:pPr>
      <w:r>
        <w:rPr>
          <w:sz w:val="20"/>
          <w:szCs w:val="20"/>
          <w:lang w:val="en-GB"/>
        </w:rPr>
        <w:t>Digi Kft.: 2×56 MHz</w:t>
      </w:r>
    </w:p>
    <w:p w14:paraId="0E8AAF40" w14:textId="136B0102" w:rsidR="007B55E4" w:rsidRDefault="007B55E4" w:rsidP="007B55E4">
      <w:pPr>
        <w:pStyle w:val="Listaszerbekezds"/>
        <w:spacing w:line="240" w:lineRule="auto"/>
        <w:rPr>
          <w:sz w:val="20"/>
          <w:szCs w:val="20"/>
        </w:rPr>
      </w:pPr>
    </w:p>
    <w:p w14:paraId="49B7801A" w14:textId="1B35B552" w:rsidR="00716E69" w:rsidRPr="00716E69" w:rsidRDefault="00CB7A92" w:rsidP="00570353">
      <w:pPr>
        <w:pStyle w:val="Behzottbekezdsnmhh"/>
      </w:pPr>
      <w:r>
        <w:rPr>
          <w:lang w:val="en-GB"/>
        </w:rPr>
        <w:t xml:space="preserve">A total of 2×616 MHz radio spectrum </w:t>
      </w:r>
      <w:r w:rsidRPr="00410B91">
        <w:rPr>
          <w:lang w:val="en-GB"/>
        </w:rPr>
        <w:t xml:space="preserve">is </w:t>
      </w:r>
      <w:r>
        <w:rPr>
          <w:lang w:val="en-GB"/>
        </w:rPr>
        <w:t>distributed in the 26 GHz band, currently among 5 operators.</w:t>
      </w:r>
    </w:p>
    <w:p w14:paraId="22C69E0D" w14:textId="0BDA40F5" w:rsidR="007B55E4" w:rsidRDefault="00242E39" w:rsidP="00570353">
      <w:pPr>
        <w:pStyle w:val="Behzottbekezdsnmhh"/>
      </w:pPr>
      <w:r>
        <w:rPr>
          <w:lang w:val="en-GB"/>
        </w:rPr>
        <w:t xml:space="preserve">In case user blocks are assigned without a separation band, 2×672 MHz of radio spectrum </w:t>
      </w:r>
      <w:r w:rsidR="007F0E8A">
        <w:rPr>
          <w:lang w:val="en-GB"/>
        </w:rPr>
        <w:t>is available for distribution</w:t>
      </w:r>
      <w:r>
        <w:rPr>
          <w:lang w:val="en-GB"/>
        </w:rPr>
        <w:t xml:space="preserve"> in the 32 GHz frequency band with the specified band arrangement. By using separation band, this </w:t>
      </w:r>
      <w:r w:rsidR="00F1197D">
        <w:rPr>
          <w:lang w:val="en-GB"/>
        </w:rPr>
        <w:t xml:space="preserve">spectrum amount </w:t>
      </w:r>
      <w:r>
        <w:rPr>
          <w:lang w:val="en-GB"/>
        </w:rPr>
        <w:t xml:space="preserve">is reduced. In the case of </w:t>
      </w:r>
      <w:r w:rsidR="00F1197D">
        <w:rPr>
          <w:lang w:val="en-GB"/>
        </w:rPr>
        <w:t xml:space="preserve">applying </w:t>
      </w:r>
      <w:r>
        <w:rPr>
          <w:lang w:val="en-GB"/>
        </w:rPr>
        <w:t xml:space="preserve">28 MHz separation block </w:t>
      </w:r>
      <w:r w:rsidR="00F1197D">
        <w:rPr>
          <w:lang w:val="en-GB"/>
        </w:rPr>
        <w:t>defined for</w:t>
      </w:r>
      <w:r>
        <w:rPr>
          <w:lang w:val="en-GB"/>
        </w:rPr>
        <w:t xml:space="preserve"> the 26 GHz band, the amount of spectrum that can be </w:t>
      </w:r>
      <w:r w:rsidR="00F1197D">
        <w:rPr>
          <w:lang w:val="en-GB"/>
        </w:rPr>
        <w:t xml:space="preserve">distributed </w:t>
      </w:r>
      <w:r>
        <w:rPr>
          <w:lang w:val="en-GB"/>
        </w:rPr>
        <w:t xml:space="preserve">depends on the number of right holders </w:t>
      </w:r>
      <w:r w:rsidR="00F1197D">
        <w:rPr>
          <w:lang w:val="en-GB"/>
        </w:rPr>
        <w:t xml:space="preserve">obtaining </w:t>
      </w:r>
      <w:r>
        <w:rPr>
          <w:lang w:val="en-GB"/>
        </w:rPr>
        <w:t xml:space="preserve">entitlement to radio spectrum use. </w:t>
      </w:r>
    </w:p>
    <w:p w14:paraId="1A1E7376" w14:textId="2D833F1A" w:rsidR="007B2341" w:rsidRDefault="007B2341" w:rsidP="007B2341">
      <w:pPr>
        <w:spacing w:after="200"/>
        <w:rPr>
          <w:sz w:val="20"/>
          <w:szCs w:val="20"/>
        </w:rPr>
      </w:pPr>
    </w:p>
    <w:p w14:paraId="2FA832AE" w14:textId="77777777" w:rsidR="004E1789" w:rsidRDefault="004E1789" w:rsidP="004E1789">
      <w:pPr>
        <w:pStyle w:val="Cmsor1szmozottnmhh"/>
        <w:pageBreakBefore w:val="0"/>
        <w:ind w:left="431" w:hanging="431"/>
      </w:pPr>
      <w:bookmarkStart w:id="51" w:name="_Toc89185044"/>
      <w:bookmarkStart w:id="52" w:name="_Toc82171075"/>
      <w:bookmarkStart w:id="53" w:name="_Toc99619504"/>
      <w:r>
        <w:rPr>
          <w:bCs/>
          <w:lang w:val="en-GB"/>
        </w:rPr>
        <w:t>Interference issues related to adjacent frequency bands</w:t>
      </w:r>
      <w:bookmarkEnd w:id="51"/>
      <w:bookmarkEnd w:id="52"/>
      <w:bookmarkEnd w:id="53"/>
    </w:p>
    <w:p w14:paraId="62AD04C4" w14:textId="77777777" w:rsidR="004E1789" w:rsidRDefault="004E1789" w:rsidP="004E1789">
      <w:pPr>
        <w:pStyle w:val="Cmsor2szmozottnmhh"/>
      </w:pPr>
      <w:bookmarkStart w:id="54" w:name="_Toc89185045"/>
      <w:bookmarkStart w:id="55" w:name="_Toc82171076"/>
      <w:bookmarkStart w:id="56" w:name="_Toc99619505"/>
      <w:r>
        <w:rPr>
          <w:bCs/>
          <w:lang w:val="en-GB"/>
        </w:rPr>
        <w:t>31.5-31.8 GHz frequency range</w:t>
      </w:r>
      <w:bookmarkEnd w:id="54"/>
      <w:bookmarkEnd w:id="55"/>
      <w:bookmarkEnd w:id="56"/>
    </w:p>
    <w:p w14:paraId="229CBEF4" w14:textId="6A2C6EB4" w:rsidR="004E1789" w:rsidRDefault="004E1789" w:rsidP="004E1789">
      <w:pPr>
        <w:pStyle w:val="Behzottbekezdsnmhh"/>
      </w:pPr>
      <w:r>
        <w:rPr>
          <w:lang w:val="en-GB"/>
        </w:rPr>
        <w:t xml:space="preserve">In addition to fixed service systems, the 31.5-31.8 GHz frequency range below the 32 GHz frequency band is </w:t>
      </w:r>
      <w:r w:rsidR="005D78E1">
        <w:rPr>
          <w:lang w:val="en-GB"/>
        </w:rPr>
        <w:t>designated</w:t>
      </w:r>
      <w:r>
        <w:rPr>
          <w:lang w:val="en-GB"/>
        </w:rPr>
        <w:t xml:space="preserve">, on a primary basis, to the applications of passive services (Earth </w:t>
      </w:r>
      <w:r w:rsidR="005D78E1">
        <w:rPr>
          <w:lang w:val="en-GB"/>
        </w:rPr>
        <w:t>exploration-satellite</w:t>
      </w:r>
      <w:r>
        <w:rPr>
          <w:lang w:val="en-GB"/>
        </w:rPr>
        <w:t xml:space="preserve">, space research) and radio astronomy stations. Taking into account </w:t>
      </w:r>
      <w:r w:rsidR="005D78E1">
        <w:rPr>
          <w:lang w:val="en-GB"/>
        </w:rPr>
        <w:t xml:space="preserve">national </w:t>
      </w:r>
      <w:r>
        <w:rPr>
          <w:lang w:val="en-GB"/>
        </w:rPr>
        <w:t xml:space="preserve">radio spectrum use, it can be said that there is currently no use </w:t>
      </w:r>
      <w:r w:rsidR="00BC316E">
        <w:rPr>
          <w:lang w:val="en-GB"/>
        </w:rPr>
        <w:t>at all</w:t>
      </w:r>
      <w:r>
        <w:rPr>
          <w:lang w:val="en-GB"/>
        </w:rPr>
        <w:t xml:space="preserve"> in this frequency band, but the use of radio astronomy stations is possible in the near future. </w:t>
      </w:r>
      <w:r w:rsidR="00BC316E">
        <w:rPr>
          <w:lang w:val="en-GB"/>
        </w:rPr>
        <w:t>In case</w:t>
      </w:r>
      <w:r>
        <w:rPr>
          <w:lang w:val="en-GB"/>
        </w:rPr>
        <w:t xml:space="preserve"> a radio astronomy station </w:t>
      </w:r>
      <w:r w:rsidR="00BC316E">
        <w:rPr>
          <w:lang w:val="en-GB"/>
        </w:rPr>
        <w:t xml:space="preserve">is expected </w:t>
      </w:r>
      <w:r>
        <w:rPr>
          <w:lang w:val="en-GB"/>
        </w:rPr>
        <w:t xml:space="preserve">to be put into service in this frequency range, it is worth paying special attention to complying with the requirements for out-of-band emission of 32 GHz fixed service systems in the vicinity of the site. </w:t>
      </w:r>
    </w:p>
    <w:p w14:paraId="725651C2" w14:textId="57F7C26D" w:rsidR="004E1789" w:rsidRDefault="004E1789" w:rsidP="004E1789">
      <w:pPr>
        <w:pStyle w:val="Behzottbekezdsnmhh"/>
      </w:pPr>
      <w:r>
        <w:rPr>
          <w:lang w:val="en-GB"/>
        </w:rPr>
        <w:t xml:space="preserve">In addition, the 31.5-31.8 GHz (31 GHz) frequency band is </w:t>
      </w:r>
      <w:r w:rsidR="00BC316E">
        <w:rPr>
          <w:lang w:val="en-GB"/>
        </w:rPr>
        <w:t xml:space="preserve">designated also </w:t>
      </w:r>
      <w:r>
        <w:rPr>
          <w:lang w:val="en-GB"/>
        </w:rPr>
        <w:t xml:space="preserve">to fixed point-to-point systems on a primary basis, but </w:t>
      </w:r>
      <w:r w:rsidR="00BC316E">
        <w:rPr>
          <w:lang w:val="en-GB"/>
        </w:rPr>
        <w:t xml:space="preserve">there </w:t>
      </w:r>
      <w:r>
        <w:rPr>
          <w:lang w:val="en-GB"/>
        </w:rPr>
        <w:t xml:space="preserve">has been </w:t>
      </w:r>
      <w:r w:rsidR="00BC316E">
        <w:rPr>
          <w:lang w:val="en-GB"/>
        </w:rPr>
        <w:t xml:space="preserve">no </w:t>
      </w:r>
      <w:r>
        <w:rPr>
          <w:lang w:val="en-GB"/>
        </w:rPr>
        <w:t xml:space="preserve">use in this frequency band. </w:t>
      </w:r>
      <w:r w:rsidR="00BC316E">
        <w:rPr>
          <w:lang w:val="en-GB"/>
        </w:rPr>
        <w:t xml:space="preserve">In case </w:t>
      </w:r>
      <w:r>
        <w:rPr>
          <w:lang w:val="en-GB"/>
        </w:rPr>
        <w:t xml:space="preserve">the 31 GHz frequency band </w:t>
      </w:r>
      <w:r w:rsidR="00BC316E">
        <w:rPr>
          <w:lang w:val="en-GB"/>
        </w:rPr>
        <w:t xml:space="preserve">will be </w:t>
      </w:r>
      <w:r>
        <w:rPr>
          <w:lang w:val="en-GB"/>
        </w:rPr>
        <w:t xml:space="preserve">used by fixed service systems, no interference issue is expected (there is sufficient guard band at the </w:t>
      </w:r>
      <w:r w:rsidR="00BC316E">
        <w:rPr>
          <w:lang w:val="en-GB"/>
        </w:rPr>
        <w:t xml:space="preserve">lower part </w:t>
      </w:r>
      <w:r>
        <w:rPr>
          <w:lang w:val="en-GB"/>
        </w:rPr>
        <w:t>of the 32 GHz band to avoid interference by out-of-band emission).</w:t>
      </w:r>
    </w:p>
    <w:p w14:paraId="748B6560" w14:textId="77777777" w:rsidR="004E1789" w:rsidRDefault="004E1789" w:rsidP="004E1789">
      <w:pPr>
        <w:pStyle w:val="Behzottbekezdsnmhh"/>
      </w:pPr>
    </w:p>
    <w:p w14:paraId="22BD1547" w14:textId="77777777" w:rsidR="004E1789" w:rsidRDefault="004E1789" w:rsidP="004E1789">
      <w:pPr>
        <w:pStyle w:val="Cmsor2szmozottnmhh"/>
      </w:pPr>
      <w:bookmarkStart w:id="57" w:name="_Toc89185046"/>
      <w:bookmarkStart w:id="58" w:name="_Toc82171077"/>
      <w:bookmarkStart w:id="59" w:name="_Toc99619506"/>
      <w:r>
        <w:rPr>
          <w:bCs/>
          <w:lang w:val="en-GB"/>
        </w:rPr>
        <w:t>33.4-35.2 GHz frequency range</w:t>
      </w:r>
      <w:bookmarkEnd w:id="57"/>
      <w:bookmarkEnd w:id="58"/>
      <w:bookmarkEnd w:id="59"/>
    </w:p>
    <w:p w14:paraId="5B15AD20" w14:textId="1E0B8F75" w:rsidR="004E1789" w:rsidRDefault="004E1789" w:rsidP="000A2DD9">
      <w:pPr>
        <w:pStyle w:val="Behzottbekezdsnmhh"/>
      </w:pPr>
      <w:r>
        <w:rPr>
          <w:lang w:val="en-GB"/>
        </w:rPr>
        <w:t xml:space="preserve">The frequency range of 33.4-35.2 GHz above the 32 GHz frequency band is planned for space research and designated for non-civil meteorological, </w:t>
      </w:r>
      <w:r w:rsidR="005D78E1">
        <w:rPr>
          <w:lang w:val="en-GB"/>
        </w:rPr>
        <w:t>speedometer</w:t>
      </w:r>
      <w:r>
        <w:rPr>
          <w:lang w:val="en-GB"/>
        </w:rPr>
        <w:t xml:space="preserve">, military and other radars operating </w:t>
      </w:r>
      <w:r>
        <w:rPr>
          <w:lang w:val="en-GB"/>
        </w:rPr>
        <w:lastRenderedPageBreak/>
        <w:t xml:space="preserve">in the radiolocation service on a primary basis. The frequency band is a NATO harmonised military band, but there is no actual use at </w:t>
      </w:r>
      <w:r w:rsidR="005D78E1">
        <w:rPr>
          <w:lang w:val="en-GB"/>
        </w:rPr>
        <w:t xml:space="preserve">national </w:t>
      </w:r>
      <w:r>
        <w:rPr>
          <w:lang w:val="en-GB"/>
        </w:rPr>
        <w:t xml:space="preserve">level and such use is not planned in the near future. Therefore, no interference issues are expected </w:t>
      </w:r>
      <w:r w:rsidR="005D78E1">
        <w:rPr>
          <w:lang w:val="en-GB"/>
        </w:rPr>
        <w:t xml:space="preserve">in relation with </w:t>
      </w:r>
      <w:r>
        <w:rPr>
          <w:lang w:val="en-GB"/>
        </w:rPr>
        <w:t xml:space="preserve">this adjacent frequency range in the near future. </w:t>
      </w:r>
    </w:p>
    <w:p w14:paraId="2581D3DC" w14:textId="77777777" w:rsidR="00570353" w:rsidRDefault="00570353" w:rsidP="000A2DD9">
      <w:pPr>
        <w:pStyle w:val="Behzottbekezdsnmhh"/>
      </w:pPr>
    </w:p>
    <w:p w14:paraId="26A622D3" w14:textId="4DD6A7FA" w:rsidR="004E1789" w:rsidRPr="00E153C6" w:rsidRDefault="00BC316E" w:rsidP="004E1789">
      <w:pPr>
        <w:pStyle w:val="Cmsor1szmozottnmhh"/>
        <w:pageBreakBefore w:val="0"/>
        <w:ind w:left="431" w:hanging="431"/>
      </w:pPr>
      <w:bookmarkStart w:id="60" w:name="_Toc89185038"/>
      <w:bookmarkStart w:id="61" w:name="_Toc82171069"/>
      <w:bookmarkStart w:id="62" w:name="_Toc99619507"/>
      <w:bookmarkStart w:id="63" w:name="_Toc473880732"/>
      <w:bookmarkEnd w:id="3"/>
      <w:r>
        <w:rPr>
          <w:bCs/>
          <w:lang w:val="en-GB"/>
        </w:rPr>
        <w:t xml:space="preserve">Radio </w:t>
      </w:r>
      <w:r w:rsidR="004E1789">
        <w:rPr>
          <w:bCs/>
          <w:lang w:val="en-GB"/>
        </w:rPr>
        <w:t xml:space="preserve">spectrum use </w:t>
      </w:r>
      <w:r>
        <w:rPr>
          <w:bCs/>
          <w:lang w:val="en-GB"/>
        </w:rPr>
        <w:t xml:space="preserve">in border areas </w:t>
      </w:r>
      <w:r w:rsidR="004E1789">
        <w:rPr>
          <w:bCs/>
          <w:lang w:val="en-GB"/>
        </w:rPr>
        <w:t>and international coordination</w:t>
      </w:r>
      <w:bookmarkEnd w:id="60"/>
      <w:bookmarkEnd w:id="61"/>
      <w:bookmarkEnd w:id="62"/>
      <w:r w:rsidR="004E1789">
        <w:rPr>
          <w:bCs/>
          <w:lang w:val="en-GB"/>
        </w:rPr>
        <w:t xml:space="preserve"> </w:t>
      </w:r>
      <w:bookmarkEnd w:id="63"/>
    </w:p>
    <w:p w14:paraId="70268E84" w14:textId="30A14914" w:rsidR="004E1789" w:rsidRDefault="004E1789" w:rsidP="004E1789">
      <w:pPr>
        <w:spacing w:after="200"/>
        <w:rPr>
          <w:sz w:val="20"/>
          <w:szCs w:val="20"/>
        </w:rPr>
      </w:pPr>
      <w:r>
        <w:rPr>
          <w:sz w:val="20"/>
          <w:szCs w:val="20"/>
          <w:lang w:val="en-GB"/>
        </w:rPr>
        <w:t xml:space="preserve">For the 32 GHz frequency band, there is currently no bilateral or multilateral agreement based on the use of </w:t>
      </w:r>
      <w:r w:rsidR="005A350C">
        <w:rPr>
          <w:sz w:val="20"/>
          <w:szCs w:val="20"/>
          <w:lang w:val="en-GB"/>
        </w:rPr>
        <w:t xml:space="preserve">preferential </w:t>
      </w:r>
      <w:r>
        <w:rPr>
          <w:sz w:val="20"/>
          <w:szCs w:val="20"/>
          <w:lang w:val="en-GB"/>
        </w:rPr>
        <w:t xml:space="preserve">frequency blocks which </w:t>
      </w:r>
      <w:r w:rsidR="005A350C">
        <w:rPr>
          <w:sz w:val="20"/>
          <w:szCs w:val="20"/>
          <w:lang w:val="en-GB"/>
        </w:rPr>
        <w:t>would make</w:t>
      </w:r>
      <w:r>
        <w:rPr>
          <w:sz w:val="20"/>
          <w:szCs w:val="20"/>
          <w:lang w:val="en-GB"/>
        </w:rPr>
        <w:t xml:space="preserve"> </w:t>
      </w:r>
      <w:r w:rsidR="005A350C">
        <w:rPr>
          <w:sz w:val="20"/>
          <w:szCs w:val="20"/>
          <w:lang w:val="en-GB"/>
        </w:rPr>
        <w:t>the</w:t>
      </w:r>
      <w:r>
        <w:rPr>
          <w:sz w:val="20"/>
          <w:szCs w:val="20"/>
          <w:lang w:val="en-GB"/>
        </w:rPr>
        <w:t xml:space="preserve"> operat</w:t>
      </w:r>
      <w:r w:rsidR="005A350C">
        <w:rPr>
          <w:sz w:val="20"/>
          <w:szCs w:val="20"/>
          <w:lang w:val="en-GB"/>
        </w:rPr>
        <w:t>ion</w:t>
      </w:r>
      <w:r>
        <w:rPr>
          <w:sz w:val="20"/>
          <w:szCs w:val="20"/>
          <w:lang w:val="en-GB"/>
        </w:rPr>
        <w:t xml:space="preserve"> </w:t>
      </w:r>
      <w:r w:rsidR="005A350C">
        <w:rPr>
          <w:sz w:val="20"/>
          <w:szCs w:val="20"/>
          <w:lang w:val="en-GB"/>
        </w:rPr>
        <w:t xml:space="preserve">of </w:t>
      </w:r>
      <w:r>
        <w:rPr>
          <w:sz w:val="20"/>
          <w:szCs w:val="20"/>
          <w:lang w:val="en-GB"/>
        </w:rPr>
        <w:t xml:space="preserve">a station in the immediate vicinity of the state border </w:t>
      </w:r>
      <w:r w:rsidR="005A350C">
        <w:rPr>
          <w:sz w:val="20"/>
          <w:szCs w:val="20"/>
          <w:lang w:val="en-GB"/>
        </w:rPr>
        <w:t xml:space="preserve">possible </w:t>
      </w:r>
      <w:r>
        <w:rPr>
          <w:sz w:val="20"/>
          <w:szCs w:val="20"/>
          <w:lang w:val="en-GB"/>
        </w:rPr>
        <w:t>without prior coordination.</w:t>
      </w:r>
    </w:p>
    <w:p w14:paraId="661A784E" w14:textId="24038654" w:rsidR="00837F4B" w:rsidRDefault="00837F4B" w:rsidP="00837F4B">
      <w:pPr>
        <w:spacing w:after="200"/>
        <w:rPr>
          <w:sz w:val="20"/>
          <w:szCs w:val="20"/>
        </w:rPr>
      </w:pPr>
      <w:r>
        <w:rPr>
          <w:sz w:val="20"/>
          <w:szCs w:val="20"/>
          <w:lang w:val="en-GB"/>
        </w:rPr>
        <w:t>The HCM Agreement defines the coordination distances from the border</w:t>
      </w:r>
      <w:r w:rsidR="005A350C">
        <w:rPr>
          <w:sz w:val="20"/>
          <w:szCs w:val="20"/>
          <w:lang w:val="en-GB"/>
        </w:rPr>
        <w:t>line</w:t>
      </w:r>
      <w:r>
        <w:rPr>
          <w:sz w:val="20"/>
          <w:szCs w:val="20"/>
          <w:lang w:val="en-GB"/>
        </w:rPr>
        <w:t xml:space="preserve"> for fixed service systems in general cases. </w:t>
      </w:r>
      <w:r w:rsidR="005A350C">
        <w:rPr>
          <w:sz w:val="20"/>
          <w:szCs w:val="20"/>
          <w:lang w:val="en-GB"/>
        </w:rPr>
        <w:t xml:space="preserve">Based on </w:t>
      </w:r>
      <w:r>
        <w:rPr>
          <w:sz w:val="20"/>
          <w:szCs w:val="20"/>
          <w:lang w:val="en-GB"/>
        </w:rPr>
        <w:t xml:space="preserve">the agreement, the operation of a fixed station </w:t>
      </w:r>
      <w:r w:rsidR="005A350C">
        <w:rPr>
          <w:sz w:val="20"/>
          <w:szCs w:val="20"/>
          <w:lang w:val="en-GB"/>
        </w:rPr>
        <w:t xml:space="preserve">shall </w:t>
      </w:r>
      <w:r>
        <w:rPr>
          <w:sz w:val="20"/>
          <w:szCs w:val="20"/>
          <w:lang w:val="en-GB"/>
        </w:rPr>
        <w:t>normally be coordinated with countries whose state borders are at distances equal to or less than the coordination distance. In the 30-39.5 GHz frequency range, the coordination distance is 30 km.</w:t>
      </w:r>
    </w:p>
    <w:p w14:paraId="12363E3D" w14:textId="24529A6E" w:rsidR="004E1789" w:rsidRDefault="004E1789" w:rsidP="004E1789">
      <w:pPr>
        <w:spacing w:after="200"/>
        <w:rPr>
          <w:sz w:val="20"/>
          <w:szCs w:val="20"/>
        </w:rPr>
      </w:pPr>
      <w:r>
        <w:rPr>
          <w:sz w:val="20"/>
          <w:szCs w:val="20"/>
          <w:lang w:val="en-GB"/>
        </w:rPr>
        <w:t>The ITU register does not contain any notifications</w:t>
      </w:r>
      <w:r w:rsidR="005A350C">
        <w:rPr>
          <w:sz w:val="20"/>
          <w:szCs w:val="20"/>
          <w:lang w:val="en-GB"/>
        </w:rPr>
        <w:t xml:space="preserve"> of </w:t>
      </w:r>
      <w:r w:rsidR="005A350C" w:rsidRPr="00410B91">
        <w:rPr>
          <w:sz w:val="20"/>
          <w:szCs w:val="20"/>
          <w:lang w:val="en-GB"/>
        </w:rPr>
        <w:t xml:space="preserve">stations operating </w:t>
      </w:r>
      <w:r w:rsidR="00071A14" w:rsidRPr="00410B91">
        <w:rPr>
          <w:sz w:val="20"/>
          <w:szCs w:val="20"/>
          <w:lang w:val="en-GB"/>
        </w:rPr>
        <w:t>in</w:t>
      </w:r>
      <w:r w:rsidR="005A350C" w:rsidRPr="00E71F7F">
        <w:rPr>
          <w:sz w:val="20"/>
          <w:szCs w:val="20"/>
          <w:lang w:val="en-GB"/>
        </w:rPr>
        <w:t xml:space="preserve"> the territory of the neighbouring countries</w:t>
      </w:r>
      <w:r w:rsidRPr="00E71F7F">
        <w:rPr>
          <w:sz w:val="20"/>
          <w:szCs w:val="20"/>
          <w:lang w:val="en-GB"/>
        </w:rPr>
        <w:t>. Based on the coordination database</w:t>
      </w:r>
      <w:r>
        <w:rPr>
          <w:sz w:val="20"/>
          <w:szCs w:val="20"/>
          <w:lang w:val="en-GB"/>
        </w:rPr>
        <w:t xml:space="preserve"> related to the HCM Agreement, requests for coordination has been received from Slovakia (610 fixed service links) and Ukraine (9 fixed service links), which were all accepted because we did not have any use in the frequency band at the time of the receipt of those requests. </w:t>
      </w:r>
    </w:p>
    <w:p w14:paraId="45FE6D5F" w14:textId="1EC98E3F" w:rsidR="004E1789" w:rsidRDefault="004E1789" w:rsidP="004E1789">
      <w:pPr>
        <w:spacing w:after="200"/>
        <w:rPr>
          <w:sz w:val="20"/>
          <w:szCs w:val="20"/>
        </w:rPr>
      </w:pPr>
      <w:r>
        <w:rPr>
          <w:sz w:val="20"/>
          <w:szCs w:val="20"/>
          <w:lang w:val="en-GB"/>
        </w:rPr>
        <w:t>No coordination request have be</w:t>
      </w:r>
      <w:r w:rsidR="006B6D19">
        <w:rPr>
          <w:sz w:val="20"/>
          <w:szCs w:val="20"/>
          <w:lang w:val="en-GB"/>
        </w:rPr>
        <w:t>e</w:t>
      </w:r>
      <w:r>
        <w:rPr>
          <w:sz w:val="20"/>
          <w:szCs w:val="20"/>
          <w:lang w:val="en-GB"/>
        </w:rPr>
        <w:t xml:space="preserve">n received from the other neighbouring countries, but at the request of the NMHH concerning the use of the band, Austria replied that the frequency band in Austria was </w:t>
      </w:r>
      <w:r w:rsidR="006B6D19">
        <w:rPr>
          <w:sz w:val="20"/>
          <w:szCs w:val="20"/>
          <w:lang w:val="en-GB"/>
        </w:rPr>
        <w:t xml:space="preserve">designated </w:t>
      </w:r>
      <w:r>
        <w:rPr>
          <w:sz w:val="20"/>
          <w:szCs w:val="20"/>
          <w:lang w:val="en-GB"/>
        </w:rPr>
        <w:t xml:space="preserve">and in use by Austrian mobile operators to establish backhaul network links. </w:t>
      </w:r>
      <w:r w:rsidRPr="00410B91">
        <w:rPr>
          <w:sz w:val="20"/>
          <w:szCs w:val="20"/>
          <w:lang w:val="en-GB"/>
        </w:rPr>
        <w:t xml:space="preserve">450 point-to-point </w:t>
      </w:r>
      <w:r w:rsidR="006B6D19" w:rsidRPr="00E71F7F">
        <w:rPr>
          <w:sz w:val="20"/>
          <w:szCs w:val="20"/>
          <w:lang w:val="en-GB"/>
        </w:rPr>
        <w:t xml:space="preserve">links </w:t>
      </w:r>
      <w:r w:rsidRPr="00E71F7F">
        <w:rPr>
          <w:sz w:val="20"/>
          <w:szCs w:val="20"/>
          <w:lang w:val="en-GB"/>
        </w:rPr>
        <w:t>are currently in operat</w:t>
      </w:r>
      <w:r w:rsidR="006B6D19" w:rsidRPr="00E71F7F">
        <w:rPr>
          <w:sz w:val="20"/>
          <w:szCs w:val="20"/>
          <w:lang w:val="en-GB"/>
        </w:rPr>
        <w:t>ion</w:t>
      </w:r>
      <w:r w:rsidRPr="001C1A86">
        <w:rPr>
          <w:sz w:val="20"/>
          <w:szCs w:val="20"/>
          <w:lang w:val="en-GB"/>
        </w:rPr>
        <w:t xml:space="preserve"> </w:t>
      </w:r>
      <w:r w:rsidR="00E31A1A" w:rsidRPr="001C1A86">
        <w:rPr>
          <w:sz w:val="20"/>
          <w:szCs w:val="20"/>
          <w:lang w:val="en-GB"/>
        </w:rPr>
        <w:t xml:space="preserve">in </w:t>
      </w:r>
      <w:r w:rsidRPr="001C1A86">
        <w:rPr>
          <w:sz w:val="20"/>
          <w:szCs w:val="20"/>
          <w:lang w:val="en-GB"/>
        </w:rPr>
        <w:t>the territory of the country, and</w:t>
      </w:r>
      <w:r>
        <w:rPr>
          <w:sz w:val="20"/>
          <w:szCs w:val="20"/>
          <w:lang w:val="en-GB"/>
        </w:rPr>
        <w:t xml:space="preserve"> cross-border coordination is carried out at the request of the service provider. </w:t>
      </w:r>
    </w:p>
    <w:p w14:paraId="4CB6ACBA" w14:textId="2ED28533" w:rsidR="004E1789" w:rsidRPr="007B687A" w:rsidRDefault="004E1789" w:rsidP="004E1789">
      <w:pPr>
        <w:spacing w:after="200"/>
        <w:rPr>
          <w:sz w:val="20"/>
          <w:szCs w:val="20"/>
        </w:rPr>
      </w:pPr>
      <w:r>
        <w:rPr>
          <w:sz w:val="20"/>
          <w:szCs w:val="20"/>
          <w:lang w:val="en-GB"/>
        </w:rPr>
        <w:t xml:space="preserve">According to information from the Croatian, Slovenian and Romanian administrations, none of the countries currently uses the frequency band. Croatia considers it possible to use 32 GHz later for the purpose of relieving congested frequency bands, but not in the near future. In Slovenia, the frequency band has been </w:t>
      </w:r>
      <w:r w:rsidR="006B6D19">
        <w:rPr>
          <w:sz w:val="20"/>
          <w:szCs w:val="20"/>
          <w:lang w:val="en-GB"/>
        </w:rPr>
        <w:t xml:space="preserve">designated </w:t>
      </w:r>
      <w:r>
        <w:rPr>
          <w:sz w:val="20"/>
          <w:szCs w:val="20"/>
          <w:lang w:val="en-GB"/>
        </w:rPr>
        <w:t>for point-to-point and point-to-multipoint use in accordance with Recommendations ECC/REC/(11)01 and ERC/REC/(01)02, but it is not yet in use. There is information from the Romanian administration that the frequency band is not currently in use, but they plan to open it on a “first-come, first-served” basis in the future.</w:t>
      </w:r>
    </w:p>
    <w:p w14:paraId="170D45E5" w14:textId="033A9E04" w:rsidR="004E1789" w:rsidRDefault="004E1789" w:rsidP="004E1789">
      <w:pPr>
        <w:spacing w:after="200"/>
        <w:rPr>
          <w:sz w:val="20"/>
          <w:szCs w:val="20"/>
        </w:rPr>
      </w:pPr>
      <w:r>
        <w:rPr>
          <w:sz w:val="20"/>
          <w:szCs w:val="20"/>
          <w:lang w:val="en-GB"/>
        </w:rPr>
        <w:t xml:space="preserve">Generally speaking, in neighbouring countries where the frequency band is used, few stations can be found that may cause interference </w:t>
      </w:r>
      <w:r w:rsidR="006B6D19">
        <w:rPr>
          <w:sz w:val="20"/>
          <w:szCs w:val="20"/>
          <w:lang w:val="en-GB"/>
        </w:rPr>
        <w:t>resulting from</w:t>
      </w:r>
      <w:r>
        <w:rPr>
          <w:sz w:val="20"/>
          <w:szCs w:val="20"/>
          <w:lang w:val="en-GB"/>
        </w:rPr>
        <w:t xml:space="preserve"> their proximity to the state border, and, due to the frequency band’s wave propagation characteristics and the nature of the application (point-to-point links), there is a very low probability of </w:t>
      </w:r>
      <w:r w:rsidR="00F334CF">
        <w:rPr>
          <w:sz w:val="20"/>
          <w:szCs w:val="20"/>
          <w:lang w:val="en-GB"/>
        </w:rPr>
        <w:t>co-</w:t>
      </w:r>
      <w:r>
        <w:rPr>
          <w:sz w:val="20"/>
          <w:szCs w:val="20"/>
          <w:lang w:val="en-GB"/>
        </w:rPr>
        <w:t>channel interference (highly dependent on distance from the border</w:t>
      </w:r>
      <w:r w:rsidR="00F334CF">
        <w:rPr>
          <w:sz w:val="20"/>
          <w:szCs w:val="20"/>
          <w:lang w:val="en-GB"/>
        </w:rPr>
        <w:t>line</w:t>
      </w:r>
      <w:r>
        <w:rPr>
          <w:sz w:val="20"/>
          <w:szCs w:val="20"/>
          <w:lang w:val="en-GB"/>
        </w:rPr>
        <w:t>, terrain conditions, antenna gain, azimuth angle, site conditions). For this reason, individual coordination on a case-by-case basis may be sufficient if predominantly point-to-point applications are expected to be used in Hungary as well.</w:t>
      </w:r>
    </w:p>
    <w:p w14:paraId="62493B55" w14:textId="1776E18B" w:rsidR="004E1789" w:rsidRDefault="004E1789" w:rsidP="004E167B">
      <w:pPr>
        <w:pStyle w:val="Cmsor1szmozottnmhh"/>
        <w:ind w:left="431" w:hanging="431"/>
      </w:pPr>
      <w:bookmarkStart w:id="64" w:name="_Toc99619508"/>
      <w:r>
        <w:rPr>
          <w:bCs/>
          <w:lang w:val="en-GB"/>
        </w:rPr>
        <w:lastRenderedPageBreak/>
        <w:t>Radio spectrum fees</w:t>
      </w:r>
      <w:bookmarkEnd w:id="64"/>
    </w:p>
    <w:p w14:paraId="390BD8B2" w14:textId="6D22B817" w:rsidR="000272F2" w:rsidRPr="000272F2" w:rsidRDefault="000272F2" w:rsidP="000272F2">
      <w:pPr>
        <w:spacing w:after="200"/>
        <w:ind w:firstLine="357"/>
        <w:rPr>
          <w:sz w:val="20"/>
          <w:szCs w:val="20"/>
        </w:rPr>
      </w:pPr>
      <w:r w:rsidRPr="000272F2">
        <w:rPr>
          <w:sz w:val="20"/>
          <w:szCs w:val="20"/>
          <w:lang w:val="en-GB"/>
        </w:rPr>
        <w:t>The method of calculation for regular radio spectrum fees is prescribed by Decree 1/2011 (III.31.) NMHH on frequency reservation and usage fees (hereinafter: Fees Decree). P</w:t>
      </w:r>
      <w:r w:rsidR="00716287">
        <w:rPr>
          <w:sz w:val="20"/>
          <w:szCs w:val="20"/>
          <w:lang w:val="en-GB"/>
        </w:rPr>
        <w:t>ursuant to the NFFF Decree, the</w:t>
      </w:r>
      <w:r w:rsidRPr="000272F2">
        <w:rPr>
          <w:sz w:val="20"/>
          <w:szCs w:val="20"/>
          <w:lang w:val="en-GB"/>
        </w:rPr>
        <w:t xml:space="preserve"> </w:t>
      </w:r>
      <w:r w:rsidRPr="000272F2">
        <w:rPr>
          <w:sz w:val="20"/>
          <w:szCs w:val="20"/>
          <w:lang w:val="en-GB"/>
        </w:rPr>
        <w:t xml:space="preserve">right holder </w:t>
      </w:r>
      <w:r w:rsidRPr="000272F2">
        <w:rPr>
          <w:sz w:val="20"/>
          <w:szCs w:val="20"/>
          <w:lang w:val="en-GB"/>
        </w:rPr>
        <w:t xml:space="preserve">acquiring </w:t>
      </w:r>
      <w:r w:rsidR="00E726CF" w:rsidRPr="00E726CF">
        <w:rPr>
          <w:sz w:val="20"/>
          <w:szCs w:val="20"/>
          <w:lang w:val="en-GB"/>
        </w:rPr>
        <w:t xml:space="preserve">entitlements to </w:t>
      </w:r>
      <w:r w:rsidRPr="000272F2">
        <w:rPr>
          <w:sz w:val="20"/>
          <w:szCs w:val="20"/>
          <w:lang w:val="en-GB"/>
        </w:rPr>
        <w:t xml:space="preserve">radio spectrum </w:t>
      </w:r>
      <w:r w:rsidR="00E726CF">
        <w:rPr>
          <w:sz w:val="20"/>
          <w:szCs w:val="20"/>
          <w:lang w:val="en-GB"/>
        </w:rPr>
        <w:t xml:space="preserve">use </w:t>
      </w:r>
      <w:r w:rsidRPr="000272F2">
        <w:rPr>
          <w:sz w:val="20"/>
          <w:szCs w:val="20"/>
          <w:lang w:val="en-GB"/>
        </w:rPr>
        <w:t>shall pay a monthly band fee, in the case of radio spectrum for service purposes acquired as a result of a competitive procedure, as a result of the extension of the entitlement to radio spectrum use, or as a result of the renewal of the entitlement to radio spectrum use, and resold after acquisition, during the term of the entitlement to radio spectrum use, starting from the earliest date of the validity of the radio licence determined in Section 22(3) of Decree 4/2011 (X. 6.) NMHH on the Rules of Auctioning and Tendering to Acquire entitlement</w:t>
      </w:r>
      <w:r w:rsidR="00FB52F6">
        <w:rPr>
          <w:sz w:val="20"/>
          <w:szCs w:val="20"/>
          <w:lang w:val="en-GB"/>
        </w:rPr>
        <w:t>s</w:t>
      </w:r>
      <w:r w:rsidRPr="000272F2">
        <w:rPr>
          <w:sz w:val="20"/>
          <w:szCs w:val="20"/>
          <w:lang w:val="en-GB"/>
        </w:rPr>
        <w:t xml:space="preserve"> to radio spectrum usage.</w:t>
      </w:r>
    </w:p>
    <w:p w14:paraId="5F1A6878" w14:textId="13C5C1B5" w:rsidR="004E1789" w:rsidRDefault="000272F2" w:rsidP="00085A59">
      <w:pPr>
        <w:spacing w:after="200"/>
        <w:ind w:firstLine="357"/>
        <w:rPr>
          <w:sz w:val="20"/>
          <w:szCs w:val="20"/>
        </w:rPr>
      </w:pPr>
      <w:r w:rsidRPr="000272F2">
        <w:rPr>
          <w:sz w:val="20"/>
          <w:szCs w:val="20"/>
          <w:lang w:val="en-GB"/>
        </w:rPr>
        <w:t>In order to determine the band fee payable for the use of the 32 GHz frequency band, the Fees Decree needs to be amended, as this frequency band is not included in Section 20</w:t>
      </w:r>
      <w:r w:rsidRPr="000272F2">
        <w:rPr>
          <w:lang w:val="en-GB"/>
        </w:rPr>
        <w:t xml:space="preserve"> entitled “Fees payable for bands within the scope of block management”</w:t>
      </w:r>
      <w:r w:rsidRPr="000272F2">
        <w:rPr>
          <w:sz w:val="20"/>
          <w:szCs w:val="20"/>
          <w:lang w:val="en-GB"/>
        </w:rPr>
        <w:t xml:space="preserve"> and Annex 9 of the</w:t>
      </w:r>
      <w:r w:rsidRPr="000272F2">
        <w:rPr>
          <w:sz w:val="20"/>
          <w:szCs w:val="20"/>
          <w:lang w:val="en-GB"/>
        </w:rPr>
        <w:t xml:space="preserve"> Fees Decree</w:t>
      </w:r>
      <w:r w:rsidRPr="000272F2">
        <w:rPr>
          <w:sz w:val="20"/>
          <w:szCs w:val="20"/>
          <w:lang w:val="en-GB"/>
        </w:rPr>
        <w:t>.</w:t>
      </w:r>
    </w:p>
    <w:p w14:paraId="5B6CF692" w14:textId="77777777" w:rsidR="00CE5B7D" w:rsidRDefault="00CE5B7D" w:rsidP="00607E0B">
      <w:pPr>
        <w:pStyle w:val="Behzottbekezdsnmhh"/>
        <w:ind w:firstLine="0"/>
        <w:sectPr w:rsidR="00CE5B7D" w:rsidSect="00607E0B">
          <w:headerReference w:type="default" r:id="rId19"/>
          <w:footerReference w:type="default" r:id="rId20"/>
          <w:headerReference w:type="first" r:id="rId21"/>
          <w:pgSz w:w="11906" w:h="16838"/>
          <w:pgMar w:top="1417" w:right="1417" w:bottom="1417" w:left="1417" w:header="1417" w:footer="709" w:gutter="0"/>
          <w:cols w:space="708"/>
          <w:titlePg/>
          <w:docGrid w:linePitch="360"/>
        </w:sectPr>
      </w:pPr>
    </w:p>
    <w:p w14:paraId="5E612C09" w14:textId="59616479" w:rsidR="004E0238" w:rsidRDefault="00CE5B7D" w:rsidP="00DA416E">
      <w:pPr>
        <w:pStyle w:val="Cmsor1szmozottnmhh"/>
        <w:pageBreakBefore w:val="0"/>
        <w:numPr>
          <w:ilvl w:val="0"/>
          <w:numId w:val="0"/>
        </w:numPr>
        <w:ind w:left="432" w:hanging="432"/>
      </w:pPr>
      <w:bookmarkStart w:id="65" w:name="_Toc99619509"/>
      <w:r>
        <w:rPr>
          <w:bCs/>
          <w:lang w:val="en-GB"/>
        </w:rPr>
        <w:lastRenderedPageBreak/>
        <w:t>Attachment: 32 GHz band arrangement with 28 MHz basic blocks</w:t>
      </w:r>
      <w:bookmarkEnd w:id="65"/>
    </w:p>
    <w:p w14:paraId="3FD53A75" w14:textId="723076D0" w:rsidR="00CE5B7D" w:rsidRDefault="00CE5B7D" w:rsidP="00607E0B">
      <w:pPr>
        <w:pStyle w:val="Behzottbekezdsnmhh"/>
        <w:ind w:firstLine="0"/>
      </w:pPr>
    </w:p>
    <w:p w14:paraId="484B015F" w14:textId="00808470" w:rsidR="00CE5B7D" w:rsidRDefault="00CE5B7D" w:rsidP="00607E0B">
      <w:pPr>
        <w:pStyle w:val="Behzottbekezdsnmhh"/>
        <w:ind w:firstLine="0"/>
      </w:pPr>
    </w:p>
    <w:p w14:paraId="5D6577E1" w14:textId="45594524" w:rsidR="00CE5B7D" w:rsidRDefault="00DA416E" w:rsidP="00DA416E">
      <w:pPr>
        <w:pStyle w:val="Behzottbekezdsnmhh"/>
        <w:ind w:left="-567" w:firstLine="0"/>
      </w:pPr>
      <w:r>
        <w:rPr>
          <w:noProof/>
          <w:lang w:eastAsia="hu-HU"/>
        </w:rPr>
        <w:drawing>
          <wp:inline distT="0" distB="0" distL="0" distR="0" wp14:anchorId="0CBE3F5D" wp14:editId="734FAB54">
            <wp:extent cx="9261249" cy="1176794"/>
            <wp:effectExtent l="0" t="0" r="0" b="4445"/>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pic:cNvPicPr>
                      <a:picLocks noChangeAspect="1"/>
                    </pic:cNvPicPr>
                  </pic:nvPicPr>
                  <pic:blipFill>
                    <a:blip r:embed="rId22"/>
                    <a:stretch>
                      <a:fillRect/>
                    </a:stretch>
                  </pic:blipFill>
                  <pic:spPr>
                    <a:xfrm>
                      <a:off x="0" y="0"/>
                      <a:ext cx="9466489" cy="1202873"/>
                    </a:xfrm>
                    <a:prstGeom prst="rect">
                      <a:avLst/>
                    </a:prstGeom>
                  </pic:spPr>
                </pic:pic>
              </a:graphicData>
            </a:graphic>
          </wp:inline>
        </w:drawing>
      </w:r>
    </w:p>
    <w:p w14:paraId="6DF3460D" w14:textId="0C0AC28D" w:rsidR="00CE5B7D" w:rsidRDefault="00CE5B7D" w:rsidP="00607E0B">
      <w:pPr>
        <w:pStyle w:val="Behzottbekezdsnmhh"/>
        <w:ind w:firstLine="0"/>
      </w:pPr>
    </w:p>
    <w:p w14:paraId="4D51B744" w14:textId="1264D165" w:rsidR="00CE5B7D" w:rsidRDefault="0042070E" w:rsidP="004E167B">
      <w:pPr>
        <w:pStyle w:val="Behzottbekezdsnmhh"/>
        <w:ind w:firstLine="0"/>
        <w:jc w:val="center"/>
      </w:pPr>
      <w:r>
        <w:rPr>
          <w:lang w:val="en-GB"/>
        </w:rPr>
        <w:object w:dxaOrig="2616" w:dyaOrig="816" w14:anchorId="20C6DC4A">
          <v:shape id="_x0000_i1026" type="#_x0000_t75" style="width:96pt;height:29.55pt" o:ole="">
            <v:imagedata r:id="rId23" o:title=""/>
          </v:shape>
          <o:OLEObject Type="Embed" ProgID="Package" ShapeID="_x0000_i1026" DrawAspect="Content" ObjectID="_1713788339" r:id="rId24"/>
        </w:object>
      </w:r>
    </w:p>
    <w:p w14:paraId="6F2923B6" w14:textId="40636948" w:rsidR="00CE5B7D" w:rsidRPr="004E0238" w:rsidRDefault="00CE5B7D" w:rsidP="00CE5B7D">
      <w:pPr>
        <w:pStyle w:val="Behzottbekezdsnmhh"/>
        <w:ind w:left="-567" w:firstLine="0"/>
      </w:pPr>
    </w:p>
    <w:sectPr w:rsidR="00CE5B7D" w:rsidRPr="004E0238" w:rsidSect="00CE5B7D">
      <w:pgSz w:w="16838" w:h="11906" w:orient="landscape"/>
      <w:pgMar w:top="1417" w:right="1417" w:bottom="1417" w:left="1417" w:header="141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541B" w16cex:dateUtc="2022-03-29T08:56:00Z"/>
  <w16cex:commentExtensible w16cex:durableId="25F5541C" w16cex:dateUtc="2022-03-29T10:47:00Z"/>
  <w16cex:commentExtensible w16cex:durableId="25F5541D" w16cex:dateUtc="2022-03-29T12:25:00Z"/>
  <w16cex:commentExtensible w16cex:durableId="25F5541E" w16cex:dateUtc="2022-03-29T12:41:00Z"/>
  <w16cex:commentExtensible w16cex:durableId="25F5541F" w16cex:dateUtc="2022-03-29T12:50:00Z"/>
  <w16cex:commentExtensible w16cex:durableId="25F55420" w16cex:dateUtc="2022-03-30T09:11:00Z"/>
  <w16cex:commentExtensible w16cex:durableId="25F55421" w16cex:dateUtc="2022-03-30T12:11:00Z"/>
  <w16cex:commentExtensible w16cex:durableId="25F55422" w16cex:dateUtc="2022-03-30T12:09:00Z"/>
  <w16cex:commentExtensible w16cex:durableId="25F55423" w16cex:dateUtc="2022-03-30T12:35:00Z"/>
  <w16cex:commentExtensible w16cex:durableId="25F55424" w16cex:dateUtc="2022-03-30T12:42:00Z"/>
  <w16cex:commentExtensible w16cex:durableId="25F55425" w16cex:dateUtc="2022-03-30T12:45:00Z"/>
  <w16cex:commentExtensible w16cex:durableId="25F55426" w16cex:dateUtc="2022-03-30T12:49:00Z"/>
  <w16cex:commentExtensible w16cex:durableId="25F55427" w16cex:dateUtc="2022-03-30T13:24:00Z"/>
  <w16cex:commentExtensible w16cex:durableId="25F55428" w16cex:dateUtc="2022-03-30T13:18:00Z"/>
  <w16cex:commentExtensible w16cex:durableId="25F55429" w16cex:dateUtc="2022-03-30T13:28:00Z"/>
  <w16cex:commentExtensible w16cex:durableId="25F5542A" w16cex:dateUtc="2022-03-30T13:31:00Z"/>
  <w16cex:commentExtensible w16cex:durableId="25F5542B" w16cex:dateUtc="2022-03-30T13:55:00Z"/>
  <w16cex:commentExtensible w16cex:durableId="25F5542C" w16cex:dateUtc="2022-03-30T13:59:00Z"/>
  <w16cex:commentExtensible w16cex:durableId="25F5542D" w16cex:dateUtc="2022-03-31T07:48:00Z"/>
  <w16cex:commentExtensible w16cex:durableId="25F5542E" w16cex:dateUtc="2022-03-31T07:58:00Z"/>
  <w16cex:commentExtensible w16cex:durableId="25F5542F" w16cex:dateUtc="2022-03-31T08:00:00Z"/>
  <w16cex:commentExtensible w16cex:durableId="25F55430" w16cex:dateUtc="2022-03-31T08:01:00Z"/>
  <w16cex:commentExtensible w16cex:durableId="25F55431" w16cex:dateUtc="2022-03-31T08:03:00Z"/>
  <w16cex:commentExtensible w16cex:durableId="25F55432" w16cex:dateUtc="2022-03-31T08:05:00Z"/>
  <w16cex:commentExtensible w16cex:durableId="25F55433" w16cex:dateUtc="2022-03-31T08:07:00Z"/>
  <w16cex:commentExtensible w16cex:durableId="25F55434" w16cex:dateUtc="2022-03-31T08:09:00Z"/>
  <w16cex:commentExtensible w16cex:durableId="25F55435" w16cex:dateUtc="2022-03-29T13:02:00Z"/>
  <w16cex:commentExtensible w16cex:durableId="25F55436" w16cex:dateUtc="2022-03-31T08:27:00Z"/>
  <w16cex:commentExtensible w16cex:durableId="25F55437" w16cex:dateUtc="2022-03-29T13:02:00Z"/>
  <w16cex:commentExtensible w16cex:durableId="25F55438" w16cex:dateUtc="2022-03-31T08:30:00Z"/>
  <w16cex:commentExtensible w16cex:durableId="25F55439" w16cex:dateUtc="2022-03-31T08:31:00Z"/>
  <w16cex:commentExtensible w16cex:durableId="25F5543A" w16cex:dateUtc="2022-03-31T08:44:00Z"/>
  <w16cex:commentExtensible w16cex:durableId="25F5543B" w16cex:dateUtc="2022-03-31T08:35:00Z"/>
  <w16cex:commentExtensible w16cex:durableId="25F5543C" w16cex:dateUtc="2022-03-31T08:36:00Z"/>
  <w16cex:commentExtensible w16cex:durableId="25F5543D" w16cex:dateUtc="2022-03-31T08:49:00Z"/>
  <w16cex:commentExtensible w16cex:durableId="25F5543E" w16cex:dateUtc="2022-03-31T08:59:00Z"/>
  <w16cex:commentExtensible w16cex:durableId="25F5543F" w16cex:dateUtc="2022-03-31T09:19:00Z"/>
  <w16cex:commentExtensible w16cex:durableId="25F55440" w16cex:dateUtc="2022-03-31T09:26:00Z"/>
  <w16cex:commentExtensible w16cex:durableId="25F55441" w16cex:dateUtc="2022-03-31T09:30:00Z"/>
  <w16cex:commentExtensible w16cex:durableId="25F55442" w16cex:dateUtc="2022-03-31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86BE34" w16cid:durableId="25F5541B"/>
  <w16cid:commentId w16cid:paraId="200D32E8" w16cid:durableId="25F5541C"/>
  <w16cid:commentId w16cid:paraId="33022079" w16cid:durableId="25F5541D"/>
  <w16cid:commentId w16cid:paraId="6F177BFD" w16cid:durableId="25F5541E"/>
  <w16cid:commentId w16cid:paraId="6E9F7843" w16cid:durableId="25F5541F"/>
  <w16cid:commentId w16cid:paraId="629E3BC6" w16cid:durableId="25F55420"/>
  <w16cid:commentId w16cid:paraId="2771EDD6" w16cid:durableId="25F55421"/>
  <w16cid:commentId w16cid:paraId="5B350716" w16cid:durableId="25F55422"/>
  <w16cid:commentId w16cid:paraId="1CFBF4EA" w16cid:durableId="25F55423"/>
  <w16cid:commentId w16cid:paraId="6C244A43" w16cid:durableId="25F55424"/>
  <w16cid:commentId w16cid:paraId="5462412B" w16cid:durableId="25F55425"/>
  <w16cid:commentId w16cid:paraId="417140FF" w16cid:durableId="25F55426"/>
  <w16cid:commentId w16cid:paraId="447DBF6A" w16cid:durableId="25F55427"/>
  <w16cid:commentId w16cid:paraId="3C733EFF" w16cid:durableId="25F55428"/>
  <w16cid:commentId w16cid:paraId="4B2B4A3E" w16cid:durableId="25F55429"/>
  <w16cid:commentId w16cid:paraId="44FD6096" w16cid:durableId="25F5542A"/>
  <w16cid:commentId w16cid:paraId="26200060" w16cid:durableId="25F5542B"/>
  <w16cid:commentId w16cid:paraId="694DB602" w16cid:durableId="25F5542C"/>
  <w16cid:commentId w16cid:paraId="0F48337F" w16cid:durableId="25F5542D"/>
  <w16cid:commentId w16cid:paraId="60EFDC7D" w16cid:durableId="25F5542E"/>
  <w16cid:commentId w16cid:paraId="1D9746A5" w16cid:durableId="25F5542F"/>
  <w16cid:commentId w16cid:paraId="1690AE56" w16cid:durableId="25F55430"/>
  <w16cid:commentId w16cid:paraId="69C07340" w16cid:durableId="25F55431"/>
  <w16cid:commentId w16cid:paraId="633FA1EE" w16cid:durableId="25F55432"/>
  <w16cid:commentId w16cid:paraId="75E71E1E" w16cid:durableId="25F55433"/>
  <w16cid:commentId w16cid:paraId="6FEB74E8" w16cid:durableId="25F55434"/>
  <w16cid:commentId w16cid:paraId="393FEEE9" w16cid:durableId="25F55435"/>
  <w16cid:commentId w16cid:paraId="2CC7DB98" w16cid:durableId="25F55436"/>
  <w16cid:commentId w16cid:paraId="04DD5BC1" w16cid:durableId="25F55437"/>
  <w16cid:commentId w16cid:paraId="507607A6" w16cid:durableId="25F55438"/>
  <w16cid:commentId w16cid:paraId="18183D70" w16cid:durableId="25F55439"/>
  <w16cid:commentId w16cid:paraId="2C37A801" w16cid:durableId="25F5543A"/>
  <w16cid:commentId w16cid:paraId="432FE718" w16cid:durableId="25F5543B"/>
  <w16cid:commentId w16cid:paraId="7CAEAFEA" w16cid:durableId="25F5543C"/>
  <w16cid:commentId w16cid:paraId="05E94A0A" w16cid:durableId="25F5543D"/>
  <w16cid:commentId w16cid:paraId="4E93A899" w16cid:durableId="25F5543E"/>
  <w16cid:commentId w16cid:paraId="043B400C" w16cid:durableId="25F5543F"/>
  <w16cid:commentId w16cid:paraId="221508CA" w16cid:durableId="25F55440"/>
  <w16cid:commentId w16cid:paraId="433730B8" w16cid:durableId="25F55441"/>
  <w16cid:commentId w16cid:paraId="171983DA" w16cid:durableId="25F554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1EAA5" w14:textId="77777777" w:rsidR="009511C6" w:rsidRDefault="009511C6">
      <w:pPr>
        <w:spacing w:after="0" w:line="240" w:lineRule="auto"/>
      </w:pPr>
      <w:r>
        <w:separator/>
      </w:r>
    </w:p>
  </w:endnote>
  <w:endnote w:type="continuationSeparator" w:id="0">
    <w:p w14:paraId="1D1DCE40" w14:textId="77777777" w:rsidR="009511C6" w:rsidRDefault="0095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3525A"/>
      </w:rPr>
      <w:id w:val="-521928211"/>
      <w:docPartObj>
        <w:docPartGallery w:val="Page Numbers (Bottom of Page)"/>
        <w:docPartUnique/>
      </w:docPartObj>
    </w:sdtPr>
    <w:sdtContent>
      <w:p w14:paraId="1E0AC7C7" w14:textId="54384248" w:rsidR="00215BFC" w:rsidRDefault="00215BFC">
        <w:pPr>
          <w:pStyle w:val="llb"/>
          <w:jc w:val="left"/>
          <w:rPr>
            <w:color w:val="43525A"/>
          </w:rPr>
        </w:pPr>
        <w:r>
          <w:rPr>
            <w:color w:val="43525A"/>
            <w:lang w:val="en-GB"/>
          </w:rPr>
          <w:fldChar w:fldCharType="begin"/>
        </w:r>
        <w:r>
          <w:rPr>
            <w:color w:val="43525A"/>
            <w:lang w:val="en-GB"/>
          </w:rPr>
          <w:instrText>PAGE   \* MERGEFORMAT</w:instrText>
        </w:r>
        <w:r>
          <w:rPr>
            <w:color w:val="43525A"/>
            <w:lang w:val="en-GB"/>
          </w:rPr>
          <w:fldChar w:fldCharType="separate"/>
        </w:r>
        <w:r w:rsidR="00716287">
          <w:rPr>
            <w:noProof/>
            <w:color w:val="43525A"/>
            <w:lang w:val="en-GB"/>
          </w:rPr>
          <w:t>16</w:t>
        </w:r>
        <w:r>
          <w:rPr>
            <w:color w:val="43525A"/>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19296"/>
      <w:docPartObj>
        <w:docPartGallery w:val="Page Numbers (Bottom of Page)"/>
        <w:docPartUnique/>
      </w:docPartObj>
    </w:sdtPr>
    <w:sdtEndPr>
      <w:rPr>
        <w:color w:val="43525A"/>
      </w:rPr>
    </w:sdtEndPr>
    <w:sdtContent>
      <w:p w14:paraId="4FC9EF92" w14:textId="60AA8058" w:rsidR="00215BFC" w:rsidRDefault="00215BFC">
        <w:pPr>
          <w:pStyle w:val="llb"/>
          <w:jc w:val="right"/>
          <w:rPr>
            <w:color w:val="43525A"/>
          </w:rPr>
        </w:pPr>
        <w:r>
          <w:rPr>
            <w:color w:val="43525A"/>
            <w:lang w:val="en-GB"/>
          </w:rPr>
          <w:fldChar w:fldCharType="begin"/>
        </w:r>
        <w:r>
          <w:rPr>
            <w:color w:val="43525A"/>
            <w:lang w:val="en-GB"/>
          </w:rPr>
          <w:instrText>PAGE   \* MERGEFORMAT</w:instrText>
        </w:r>
        <w:r>
          <w:rPr>
            <w:color w:val="43525A"/>
            <w:lang w:val="en-GB"/>
          </w:rPr>
          <w:fldChar w:fldCharType="separate"/>
        </w:r>
        <w:r>
          <w:rPr>
            <w:noProof/>
            <w:color w:val="43525A"/>
            <w:lang w:val="en-GB"/>
          </w:rPr>
          <w:t>19</w:t>
        </w:r>
        <w:r>
          <w:rPr>
            <w:color w:val="43525A"/>
            <w:lang w:val="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FD05E" w14:textId="77777777" w:rsidR="00215BFC" w:rsidRDefault="00215BFC" w:rsidP="00AB6891">
    <w:pPr>
      <w:pStyle w:val="llb"/>
      <w:jc w:val="left"/>
    </w:pPr>
    <w:r>
      <w:rPr>
        <w:noProof/>
        <w:lang w:eastAsia="hu-HU"/>
      </w:rPr>
      <mc:AlternateContent>
        <mc:Choice Requires="wps">
          <w:drawing>
            <wp:anchor distT="0" distB="0" distL="114300" distR="114300" simplePos="0" relativeHeight="251666944" behindDoc="0" locked="0" layoutInCell="1" allowOverlap="1" wp14:anchorId="7A171292" wp14:editId="62305908">
              <wp:simplePos x="0" y="0"/>
              <wp:positionH relativeFrom="column">
                <wp:posOffset>4997450</wp:posOffset>
              </wp:positionH>
              <wp:positionV relativeFrom="paragraph">
                <wp:posOffset>153035</wp:posOffset>
              </wp:positionV>
              <wp:extent cx="613410" cy="30226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43525A"/>
                            </w:rPr>
                            <w:id w:val="3488043"/>
                            <w:docPartObj>
                              <w:docPartGallery w:val="Page Numbers (Bottom of Page)"/>
                              <w:docPartUnique/>
                            </w:docPartObj>
                          </w:sdtPr>
                          <w:sdtContent>
                            <w:p w14:paraId="098D2B2E" w14:textId="60736C4A" w:rsidR="00215BFC" w:rsidRPr="00AB6891" w:rsidRDefault="00215BFC" w:rsidP="00AB6891">
                              <w:pPr>
                                <w:pStyle w:val="llb"/>
                                <w:rPr>
                                  <w:color w:val="43525A"/>
                                </w:rPr>
                              </w:pPr>
                              <w:r>
                                <w:rPr>
                                  <w:color w:val="43525A"/>
                                  <w:lang w:val="en-GB"/>
                                </w:rPr>
                                <w:fldChar w:fldCharType="begin"/>
                              </w:r>
                              <w:r>
                                <w:rPr>
                                  <w:color w:val="43525A"/>
                                  <w:lang w:val="en-GB"/>
                                </w:rPr>
                                <w:instrText xml:space="preserve"> PAGE   \* MERGEFORMAT </w:instrText>
                              </w:r>
                              <w:r>
                                <w:rPr>
                                  <w:color w:val="43525A"/>
                                  <w:lang w:val="en-GB"/>
                                </w:rPr>
                                <w:fldChar w:fldCharType="separate"/>
                              </w:r>
                              <w:r w:rsidR="00716287">
                                <w:rPr>
                                  <w:noProof/>
                                  <w:color w:val="43525A"/>
                                  <w:lang w:val="en-GB"/>
                                </w:rPr>
                                <w:t>17</w:t>
                              </w:r>
                              <w:r>
                                <w:rPr>
                                  <w:color w:val="43525A"/>
                                  <w:lang w:val="en-GB"/>
                                </w:rPr>
                                <w:fldChar w:fldCharType="end"/>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171292" id="_x0000_t202" coordsize="21600,21600" o:spt="202" path="m,l,21600r21600,l21600,xe">
              <v:stroke joinstyle="miter"/>
              <v:path gradientshapeok="t" o:connecttype="rect"/>
            </v:shapetype>
            <v:shape id="Text Box 2" o:spid="_x0000_s1026" type="#_x0000_t202" style="position:absolute;margin-left:393.5pt;margin-top:12.05pt;width:48.3pt;height:23.8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VVsw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" filled="f" stroked="f">
              <v:textbox style="mso-fit-shape-to-text:t">
                <w:txbxContent>
                  <w:sdt>
                    <w:sdtPr>
                      <w:rPr>
                        <w:color w:val="43525A"/>
                      </w:rPr>
                      <w:id w:val="3488043"/>
                      <w:docPartObj>
                        <w:docPartGallery w:val="Page Numbers (Bottom of Page)"/>
                        <w:docPartUnique/>
                      </w:docPartObj>
                    </w:sdtPr>
                    <w:sdtContent>
                      <w:p w14:paraId="098D2B2E" w14:textId="60736C4A" w:rsidR="00215BFC" w:rsidRPr="00AB6891" w:rsidRDefault="00215BFC" w:rsidP="00AB6891">
                        <w:pPr>
                          <w:pStyle w:val="llb"/>
                          <w:rPr>
                            <w:color w:val="43525A"/>
                          </w:rPr>
                        </w:pPr>
                        <w:r>
                          <w:rPr>
                            <w:color w:val="43525A"/>
                            <w:lang w:val="en-GB"/>
                          </w:rPr>
                          <w:fldChar w:fldCharType="begin"/>
                        </w:r>
                        <w:r>
                          <w:rPr>
                            <w:color w:val="43525A"/>
                            <w:lang w:val="en-GB"/>
                          </w:rPr>
                          <w:instrText xml:space="preserve"> PAGE   \* MERGEFORMAT </w:instrText>
                        </w:r>
                        <w:r>
                          <w:rPr>
                            <w:color w:val="43525A"/>
                            <w:lang w:val="en-GB"/>
                          </w:rPr>
                          <w:fldChar w:fldCharType="separate"/>
                        </w:r>
                        <w:r w:rsidR="00716287">
                          <w:rPr>
                            <w:noProof/>
                            <w:color w:val="43525A"/>
                            <w:lang w:val="en-GB"/>
                          </w:rPr>
                          <w:t>17</w:t>
                        </w:r>
                        <w:r>
                          <w:rPr>
                            <w:color w:val="43525A"/>
                            <w:lang w:val="en-GB"/>
                          </w:rPr>
                          <w:fldChar w:fldCharType="end"/>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D0E0" w14:textId="77777777" w:rsidR="009511C6" w:rsidRDefault="009511C6">
      <w:pPr>
        <w:spacing w:after="0" w:line="240" w:lineRule="auto"/>
      </w:pPr>
      <w:r>
        <w:separator/>
      </w:r>
    </w:p>
  </w:footnote>
  <w:footnote w:type="continuationSeparator" w:id="0">
    <w:p w14:paraId="656C61FF" w14:textId="77777777" w:rsidR="009511C6" w:rsidRDefault="009511C6">
      <w:pPr>
        <w:spacing w:after="0" w:line="240" w:lineRule="auto"/>
      </w:pPr>
      <w:r>
        <w:continuationSeparator/>
      </w:r>
    </w:p>
  </w:footnote>
  <w:footnote w:id="1">
    <w:p w14:paraId="3B699039" w14:textId="77777777" w:rsidR="00215BFC" w:rsidRDefault="00215BFC" w:rsidP="00D55153">
      <w:pPr>
        <w:pStyle w:val="Lbjegyzetszveg"/>
      </w:pPr>
      <w:r>
        <w:rPr>
          <w:rStyle w:val="Lbjegyzet-hivatkozs"/>
          <w:lang w:val="en-GB"/>
        </w:rPr>
        <w:footnoteRef/>
      </w:r>
      <w:r>
        <w:rPr>
          <w:lang w:val="en-GB"/>
        </w:rPr>
        <w:t xml:space="preserve"> </w:t>
      </w:r>
      <w:r>
        <w:rPr>
          <w:sz w:val="16"/>
          <w:szCs w:val="16"/>
          <w:lang w:val="en-GB"/>
        </w:rPr>
        <w:t>MFCN: Mobile/Fixed Communication Network</w:t>
      </w:r>
    </w:p>
  </w:footnote>
  <w:footnote w:id="2">
    <w:p w14:paraId="11039944" w14:textId="1743D466" w:rsidR="00215BFC" w:rsidRDefault="00215BFC">
      <w:pPr>
        <w:pStyle w:val="Lbjegyzetszveg"/>
      </w:pPr>
      <w:r>
        <w:rPr>
          <w:rStyle w:val="Lbjegyzet-hivatkozs"/>
          <w:lang w:val="en-GB"/>
        </w:rPr>
        <w:footnoteRef/>
      </w:r>
      <w:r>
        <w:rPr>
          <w:lang w:val="en-GB"/>
        </w:rPr>
        <w:t xml:space="preserve"> </w:t>
      </w:r>
      <w:r>
        <w:rPr>
          <w:sz w:val="16"/>
          <w:szCs w:val="16"/>
          <w:lang w:val="en-GB"/>
        </w:rPr>
        <w:t>World Radio Conference, WRC</w:t>
      </w:r>
    </w:p>
  </w:footnote>
  <w:footnote w:id="3">
    <w:p w14:paraId="08637AD6" w14:textId="63AC166F" w:rsidR="00215BFC" w:rsidRDefault="00215BFC">
      <w:pPr>
        <w:pStyle w:val="Lbjegyzetszveg"/>
      </w:pPr>
      <w:r>
        <w:rPr>
          <w:rStyle w:val="Lbjegyzet-hivatkozs"/>
          <w:lang w:val="en-GB"/>
        </w:rPr>
        <w:footnoteRef/>
      </w:r>
      <w:r>
        <w:rPr>
          <w:lang w:val="en-GB"/>
        </w:rPr>
        <w:t xml:space="preserve"> </w:t>
      </w:r>
      <w:r>
        <w:rPr>
          <w:sz w:val="16"/>
          <w:szCs w:val="16"/>
          <w:lang w:val="en-GB"/>
        </w:rPr>
        <w:t>International Mobile Telecommunication, IMT</w:t>
      </w:r>
      <w:r>
        <w:rPr>
          <w:lang w:val="en-GB"/>
        </w:rPr>
        <w:t xml:space="preserve"> </w:t>
      </w:r>
    </w:p>
  </w:footnote>
  <w:footnote w:id="4">
    <w:p w14:paraId="23292EC4" w14:textId="5A4AEB3E" w:rsidR="00215BFC" w:rsidRPr="00843FE5" w:rsidRDefault="00215BFC" w:rsidP="000F149D">
      <w:pPr>
        <w:pStyle w:val="Lbjegyzetszveg"/>
        <w:rPr>
          <w:sz w:val="16"/>
          <w:szCs w:val="16"/>
        </w:rPr>
      </w:pPr>
      <w:r>
        <w:rPr>
          <w:rStyle w:val="Lbjegyzet-hivatkozs"/>
          <w:sz w:val="16"/>
          <w:szCs w:val="16"/>
          <w:lang w:val="en-GB"/>
        </w:rPr>
        <w:footnoteRef/>
      </w:r>
      <w:r>
        <w:rPr>
          <w:sz w:val="16"/>
          <w:szCs w:val="16"/>
          <w:lang w:val="en-GB"/>
        </w:rPr>
        <w:t xml:space="preserve"> Radio Spectrum Policy Group (RSPG) – (Established by Commission Decision 2002/622/EC of 26 July 2002 establishing a Radio Spectrum Policy Group, it is an advisory group dealing with European strategic issues of the radio spectrum.)</w:t>
      </w:r>
    </w:p>
  </w:footnote>
  <w:footnote w:id="5">
    <w:p w14:paraId="09502F2E" w14:textId="29FC6082" w:rsidR="00215BFC" w:rsidRPr="00843FE5" w:rsidRDefault="00215BFC" w:rsidP="00E573D3">
      <w:pPr>
        <w:pStyle w:val="Lbjegyzetszveg"/>
        <w:rPr>
          <w:sz w:val="16"/>
          <w:szCs w:val="16"/>
        </w:rPr>
      </w:pPr>
      <w:r>
        <w:rPr>
          <w:rStyle w:val="Lbjegyzet-hivatkozs"/>
          <w:sz w:val="16"/>
          <w:szCs w:val="16"/>
          <w:lang w:val="en-GB"/>
        </w:rPr>
        <w:footnoteRef/>
      </w:r>
      <w:r w:rsidRPr="000272F2">
        <w:rPr>
          <w:sz w:val="16"/>
          <w:szCs w:val="16"/>
        </w:rPr>
        <w:t xml:space="preserve"> </w:t>
      </w:r>
      <w:hyperlink r:id="rId1" w:history="1">
        <w:r w:rsidRPr="000272F2">
          <w:rPr>
            <w:rStyle w:val="Hiperhivatkozs"/>
            <w:sz w:val="16"/>
            <w:szCs w:val="16"/>
          </w:rPr>
          <w:t>http://rspg-spectrum.eu/wp-content/uploads/2013/05/RPSG16-032-Opinion_5G.pdf</w:t>
        </w:r>
      </w:hyperlink>
    </w:p>
  </w:footnote>
  <w:footnote w:id="6">
    <w:p w14:paraId="45A35FDF" w14:textId="11E8EAF3" w:rsidR="00215BFC" w:rsidRDefault="00215BFC" w:rsidP="00E573D3">
      <w:pPr>
        <w:pStyle w:val="Lbjegyzetszveg"/>
        <w:rPr>
          <w:sz w:val="16"/>
          <w:szCs w:val="16"/>
        </w:rPr>
      </w:pPr>
      <w:r>
        <w:rPr>
          <w:rStyle w:val="Lbjegyzet-hivatkozs"/>
          <w:sz w:val="16"/>
          <w:szCs w:val="16"/>
          <w:lang w:val="en-GB"/>
        </w:rPr>
        <w:footnoteRef/>
      </w:r>
      <w:r w:rsidRPr="000272F2">
        <w:rPr>
          <w:sz w:val="16"/>
          <w:szCs w:val="16"/>
        </w:rPr>
        <w:t xml:space="preserve"> </w:t>
      </w:r>
      <w:hyperlink r:id="rId2" w:history="1">
        <w:r w:rsidRPr="000272F2">
          <w:rPr>
            <w:rStyle w:val="Hiperhivatkozs"/>
            <w:sz w:val="16"/>
            <w:szCs w:val="16"/>
          </w:rPr>
          <w:t>https://digital-strategy.ec.europa.eu/en/library/radio-spectrum-cept-mandates</w:t>
        </w:r>
      </w:hyperlink>
    </w:p>
    <w:p w14:paraId="6CAC8720" w14:textId="02CBE306" w:rsidR="00215BFC" w:rsidRPr="00843FE5" w:rsidRDefault="00215BFC" w:rsidP="00E573D3">
      <w:pPr>
        <w:pStyle w:val="Lbjegyzetszveg"/>
        <w:rPr>
          <w:sz w:val="16"/>
          <w:szCs w:val="16"/>
        </w:rPr>
      </w:pPr>
      <w:r>
        <w:rPr>
          <w:sz w:val="16"/>
          <w:szCs w:val="16"/>
          <w:lang w:val="en-GB"/>
        </w:rPr>
        <w:t>Mandate to CEPT to develop harmonised technical conditions for spectrum use in support of the introduction of next-generation (5G) terrestrial wireless systems in the Union</w:t>
      </w:r>
    </w:p>
  </w:footnote>
  <w:footnote w:id="7">
    <w:p w14:paraId="449A995B" w14:textId="06BC030B" w:rsidR="00215BFC" w:rsidRDefault="00215BFC">
      <w:pPr>
        <w:pStyle w:val="Lbjegyzetszveg"/>
      </w:pPr>
      <w:r>
        <w:rPr>
          <w:rStyle w:val="Lbjegyzet-hivatkozs"/>
          <w:lang w:val="en-GB"/>
        </w:rPr>
        <w:footnoteRef/>
      </w:r>
      <w:r w:rsidRPr="00931BFA">
        <w:rPr>
          <w:lang w:val="en-GB"/>
        </w:rPr>
        <w:t xml:space="preserve"> </w:t>
      </w:r>
      <w:r w:rsidRPr="00931BFA">
        <w:rPr>
          <w:sz w:val="16"/>
          <w:szCs w:val="16"/>
          <w:lang w:val="en-GB"/>
        </w:rPr>
        <w:t xml:space="preserve">Conférence européenne des Administrations des postes et des télécommunications - European Conference of Postal and Telecommunications Administrations (CEPT) </w:t>
      </w:r>
    </w:p>
  </w:footnote>
  <w:footnote w:id="8">
    <w:p w14:paraId="6F331229" w14:textId="77777777" w:rsidR="00215BFC" w:rsidRPr="00843FE5" w:rsidRDefault="00215BFC" w:rsidP="00041388">
      <w:pPr>
        <w:pStyle w:val="Lbjegyzetszveg"/>
        <w:rPr>
          <w:sz w:val="16"/>
          <w:szCs w:val="16"/>
        </w:rPr>
      </w:pPr>
      <w:r>
        <w:rPr>
          <w:rStyle w:val="Lbjegyzet-hivatkozs"/>
          <w:lang w:val="en-GB"/>
        </w:rPr>
        <w:footnoteRef/>
      </w:r>
      <w:r>
        <w:rPr>
          <w:lang w:val="en-GB"/>
        </w:rPr>
        <w:t xml:space="preserve"> </w:t>
      </w:r>
      <w:r>
        <w:rPr>
          <w:sz w:val="16"/>
          <w:szCs w:val="16"/>
          <w:lang w:val="en-GB"/>
        </w:rPr>
        <w:t>Radio Regulation</w:t>
      </w:r>
    </w:p>
  </w:footnote>
  <w:footnote w:id="9">
    <w:p w14:paraId="154CA98E" w14:textId="77777777" w:rsidR="00215BFC" w:rsidRPr="004B396C" w:rsidRDefault="00215BFC" w:rsidP="00041388">
      <w:pPr>
        <w:pStyle w:val="Lbjegyzetszveg"/>
        <w:rPr>
          <w:sz w:val="16"/>
          <w:szCs w:val="16"/>
        </w:rPr>
      </w:pPr>
      <w:r>
        <w:rPr>
          <w:rStyle w:val="Lbjegyzet-hivatkozs"/>
          <w:lang w:val="en-GB"/>
        </w:rPr>
        <w:footnoteRef/>
      </w:r>
      <w:r>
        <w:rPr>
          <w:lang w:val="en-GB"/>
        </w:rPr>
        <w:t xml:space="preserve"> </w:t>
      </w:r>
      <w:r>
        <w:rPr>
          <w:sz w:val="16"/>
          <w:szCs w:val="16"/>
          <w:lang w:val="en-GB"/>
        </w:rPr>
        <w:t xml:space="preserve">Preferred channel arrangements for fixed service systems operating in the frequency band 31.8 </w:t>
      </w:r>
      <w:r>
        <w:rPr>
          <w:sz w:val="16"/>
          <w:szCs w:val="16"/>
          <w:lang w:val="en-GB"/>
        </w:rPr>
        <w:sym w:font="Symbol" w:char="F02D"/>
      </w:r>
      <w:r>
        <w:rPr>
          <w:sz w:val="16"/>
          <w:szCs w:val="16"/>
          <w:lang w:val="en-GB"/>
        </w:rPr>
        <w:t xml:space="preserve"> 33.4 GHz</w:t>
      </w:r>
    </w:p>
  </w:footnote>
  <w:footnote w:id="10">
    <w:p w14:paraId="39116D66" w14:textId="77777777" w:rsidR="00215BFC" w:rsidRDefault="00215BFC" w:rsidP="00041388">
      <w:pPr>
        <w:pStyle w:val="Lbjegyzetszveg"/>
      </w:pPr>
      <w:r>
        <w:rPr>
          <w:rStyle w:val="Lbjegyzet-hivatkozs"/>
          <w:lang w:val="en-GB"/>
        </w:rPr>
        <w:footnoteRef/>
      </w:r>
      <w:r>
        <w:rPr>
          <w:lang w:val="en-GB"/>
        </w:rPr>
        <w:t xml:space="preserve"> </w:t>
      </w:r>
      <w:r>
        <w:rPr>
          <w:sz w:val="16"/>
          <w:szCs w:val="16"/>
          <w:lang w:val="en-GB"/>
        </w:rPr>
        <w:t>Guidelines for assignment of frequency blocks for fixed wireless systems in the bands 24.5-26.5 GHz, 27.5-29.5 GHz and 31.8-33.4 GHz</w:t>
      </w:r>
    </w:p>
  </w:footnote>
  <w:footnote w:id="11">
    <w:p w14:paraId="7FCC805B" w14:textId="59E8E931" w:rsidR="00215BFC" w:rsidRDefault="00215BFC" w:rsidP="00D96CED">
      <w:pPr>
        <w:pStyle w:val="Lbjegyzetszveg"/>
        <w:rPr>
          <w:sz w:val="16"/>
          <w:szCs w:val="16"/>
        </w:rPr>
      </w:pPr>
      <w:r>
        <w:rPr>
          <w:rStyle w:val="Lbjegyzet-hivatkozs"/>
          <w:lang w:val="en-GB"/>
        </w:rPr>
        <w:footnoteRef/>
      </w:r>
      <w:r w:rsidRPr="000272F2">
        <w:t xml:space="preserve"> </w:t>
      </w:r>
      <w:hyperlink r:id="rId3" w:history="1">
        <w:r w:rsidRPr="000272F2">
          <w:rPr>
            <w:rStyle w:val="Hiperhivatkozs"/>
            <w:sz w:val="16"/>
            <w:szCs w:val="16"/>
          </w:rPr>
          <w:t>https://digital-strategy.ec.europa.eu/en/library/radio-spectrum-cept-mandates</w:t>
        </w:r>
      </w:hyperlink>
    </w:p>
    <w:p w14:paraId="705082B2" w14:textId="19625958" w:rsidR="00215BFC" w:rsidRDefault="00215BFC" w:rsidP="00D96CED">
      <w:pPr>
        <w:pStyle w:val="Lbjegyzetszveg"/>
      </w:pPr>
      <w:r>
        <w:rPr>
          <w:sz w:val="16"/>
          <w:szCs w:val="16"/>
          <w:lang w:val="en-GB"/>
        </w:rPr>
        <w:t>Mandate to CEPT to develop harmonised technical conditions for spectrum use in support of the introduction of next-generation (5G) terrestrial wireless systems in the Union</w:t>
      </w:r>
    </w:p>
  </w:footnote>
  <w:footnote w:id="12">
    <w:p w14:paraId="6C9EC076" w14:textId="414D410B" w:rsidR="00215BFC" w:rsidRDefault="00215BFC">
      <w:pPr>
        <w:pStyle w:val="Lbjegyzetszveg"/>
      </w:pPr>
      <w:r>
        <w:rPr>
          <w:rStyle w:val="Lbjegyzet-hivatkozs"/>
          <w:lang w:val="en-GB"/>
        </w:rPr>
        <w:footnoteRef/>
      </w:r>
      <w:r>
        <w:rPr>
          <w:lang w:val="en-GB"/>
        </w:rPr>
        <w:t xml:space="preserve"> </w:t>
      </w:r>
      <w:r>
        <w:rPr>
          <w:color w:val="212529"/>
          <w:sz w:val="16"/>
          <w:szCs w:val="16"/>
          <w:shd w:val="clear" w:color="auto" w:fill="FFFFFF"/>
          <w:lang w:val="en-GB"/>
        </w:rPr>
        <w:t>In the case of allocation for joint use, the band may be used for both civil and non-civil purposes, but the harmonisation of civil and non-civil radio spectrum management aspects is mandatory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91FE" w14:textId="77777777" w:rsidR="00215BFC" w:rsidRDefault="00215BFC">
    <w:pPr>
      <w:pStyle w:val="lfej"/>
    </w:pPr>
    <w:r>
      <w:rPr>
        <w:noProof/>
        <w:lang w:eastAsia="hu-HU"/>
      </w:rPr>
      <w:drawing>
        <wp:anchor distT="0" distB="0" distL="114300" distR="114300" simplePos="0" relativeHeight="251664896" behindDoc="0" locked="0" layoutInCell="1" allowOverlap="1" wp14:anchorId="2123D7C0" wp14:editId="7718B57E">
          <wp:simplePos x="0" y="0"/>
          <wp:positionH relativeFrom="margin">
            <wp:posOffset>-883920</wp:posOffset>
          </wp:positionH>
          <wp:positionV relativeFrom="page">
            <wp:posOffset>0</wp:posOffset>
          </wp:positionV>
          <wp:extent cx="7529195" cy="1077595"/>
          <wp:effectExtent l="0" t="0" r="0" b="0"/>
          <wp:wrapTopAndBottom/>
          <wp:docPr id="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4D2" w14:textId="77777777" w:rsidR="00215BFC" w:rsidRDefault="00215BFC">
    <w:pPr>
      <w:pStyle w:val="lfej"/>
    </w:pPr>
    <w:r>
      <w:rPr>
        <w:noProof/>
        <w:lang w:eastAsia="hu-HU"/>
      </w:rPr>
      <w:drawing>
        <wp:anchor distT="0" distB="0" distL="114300" distR="114300" simplePos="0" relativeHeight="251662848" behindDoc="0" locked="0" layoutInCell="1" allowOverlap="1" wp14:anchorId="09F78D53" wp14:editId="78F56804">
          <wp:simplePos x="0" y="0"/>
          <wp:positionH relativeFrom="margin">
            <wp:posOffset>-883920</wp:posOffset>
          </wp:positionH>
          <wp:positionV relativeFrom="page">
            <wp:posOffset>0</wp:posOffset>
          </wp:positionV>
          <wp:extent cx="7529195" cy="1077595"/>
          <wp:effectExtent l="0" t="0" r="0" b="0"/>
          <wp:wrapTopAndBottom/>
          <wp:docPr id="1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8C8E" w14:textId="77777777" w:rsidR="00215BFC" w:rsidRDefault="00215BFC">
    <w:pPr>
      <w:pStyle w:val="lfej"/>
    </w:pPr>
    <w:r>
      <w:rPr>
        <w:noProof/>
        <w:lang w:eastAsia="hu-HU"/>
      </w:rPr>
      <w:drawing>
        <wp:anchor distT="0" distB="0" distL="114300" distR="114300" simplePos="0" relativeHeight="251661824" behindDoc="0" locked="0" layoutInCell="1" allowOverlap="1" wp14:anchorId="79A44A80" wp14:editId="2ECB03D1">
          <wp:simplePos x="0" y="0"/>
          <wp:positionH relativeFrom="margin">
            <wp:posOffset>-883920</wp:posOffset>
          </wp:positionH>
          <wp:positionV relativeFrom="page">
            <wp:posOffset>0</wp:posOffset>
          </wp:positionV>
          <wp:extent cx="7529195" cy="1077595"/>
          <wp:effectExtent l="0" t="0" r="0" b="0"/>
          <wp:wrapTopAndBottom/>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9361" w14:textId="4FD4E012" w:rsidR="00215BFC" w:rsidRDefault="00215BFC">
    <w:pPr>
      <w:pStyle w:val="lfej"/>
    </w:pPr>
    <w:r>
      <w:rPr>
        <w:noProof/>
        <w:lang w:eastAsia="hu-HU"/>
      </w:rPr>
      <w:drawing>
        <wp:anchor distT="0" distB="0" distL="114300" distR="114300" simplePos="0" relativeHeight="251671040" behindDoc="0" locked="0" layoutInCell="1" allowOverlap="1" wp14:anchorId="11709914" wp14:editId="19F300A4">
          <wp:simplePos x="0" y="0"/>
          <wp:positionH relativeFrom="margin">
            <wp:posOffset>-899769</wp:posOffset>
          </wp:positionH>
          <wp:positionV relativeFrom="page">
            <wp:posOffset>-17145</wp:posOffset>
          </wp:positionV>
          <wp:extent cx="7529195" cy="1077595"/>
          <wp:effectExtent l="0" t="0" r="0" b="0"/>
          <wp:wrapTopAndBottom/>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FDAD" w14:textId="606BFD49" w:rsidR="00215BFC" w:rsidRPr="00752166" w:rsidRDefault="00215BFC" w:rsidP="00D96CED">
    <w:pPr>
      <w:pStyle w:val="lfej"/>
    </w:pPr>
    <w:r>
      <w:rPr>
        <w:noProof/>
        <w:lang w:eastAsia="hu-HU"/>
      </w:rPr>
      <w:drawing>
        <wp:anchor distT="0" distB="0" distL="114300" distR="114300" simplePos="0" relativeHeight="251673088" behindDoc="0" locked="0" layoutInCell="1" allowOverlap="1" wp14:anchorId="29E0B8FB" wp14:editId="2D253865">
          <wp:simplePos x="0" y="0"/>
          <wp:positionH relativeFrom="margin">
            <wp:posOffset>-899795</wp:posOffset>
          </wp:positionH>
          <wp:positionV relativeFrom="page">
            <wp:posOffset>0</wp:posOffset>
          </wp:positionV>
          <wp:extent cx="7529195" cy="1077595"/>
          <wp:effectExtent l="0" t="0" r="0" b="0"/>
          <wp:wrapTopAndBottom/>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r>
      <w:rPr>
        <w:noProof/>
        <w:lang w:eastAsia="hu-HU"/>
      </w:rPr>
      <w:drawing>
        <wp:anchor distT="0" distB="0" distL="114300" distR="114300" simplePos="0" relativeHeight="251668992" behindDoc="1" locked="0" layoutInCell="1" allowOverlap="1" wp14:anchorId="73D47A9E" wp14:editId="39710320">
          <wp:simplePos x="0" y="0"/>
          <wp:positionH relativeFrom="page">
            <wp:posOffset>0</wp:posOffset>
          </wp:positionH>
          <wp:positionV relativeFrom="page">
            <wp:posOffset>0</wp:posOffset>
          </wp:positionV>
          <wp:extent cx="7554867" cy="1080655"/>
          <wp:effectExtent l="19050" t="0" r="7983" b="0"/>
          <wp:wrapNone/>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2">
                    <a:extLst>
                      <a:ext uri="{28A0092B-C50C-407E-A947-70E740481C1C}">
                        <a14:useLocalDpi xmlns:a14="http://schemas.microsoft.com/office/drawing/2010/main" val="0"/>
                      </a:ext>
                    </a:extLst>
                  </a:blip>
                  <a:stretch>
                    <a:fillRect/>
                  </a:stretch>
                </pic:blipFill>
                <pic:spPr>
                  <a:xfrm>
                    <a:off x="0" y="0"/>
                    <a:ext cx="7560000" cy="10776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624C4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C2EF9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42B0E"/>
    <w:multiLevelType w:val="hybridMultilevel"/>
    <w:tmpl w:val="DFF8C3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974B35"/>
    <w:multiLevelType w:val="hybridMultilevel"/>
    <w:tmpl w:val="D95C3E6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 w15:restartNumberingAfterBreak="0">
    <w:nsid w:val="04B968CA"/>
    <w:multiLevelType w:val="hybridMultilevel"/>
    <w:tmpl w:val="D9EE40D6"/>
    <w:lvl w:ilvl="0" w:tplc="41DE42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D0550D"/>
    <w:multiLevelType w:val="hybridMultilevel"/>
    <w:tmpl w:val="28D499A0"/>
    <w:lvl w:ilvl="0" w:tplc="C5D057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196225"/>
    <w:multiLevelType w:val="hybridMultilevel"/>
    <w:tmpl w:val="F552DE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66163C"/>
    <w:multiLevelType w:val="hybridMultilevel"/>
    <w:tmpl w:val="39C00968"/>
    <w:lvl w:ilvl="0" w:tplc="D870E7E8">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8" w15:restartNumberingAfterBreak="0">
    <w:nsid w:val="0B113445"/>
    <w:multiLevelType w:val="multilevel"/>
    <w:tmpl w:val="4A10D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8"/>
        </w:tabs>
        <w:ind w:left="1218" w:hanging="792"/>
      </w:pPr>
      <w:rPr>
        <w:rFonts w:hint="default"/>
        <w:b/>
        <w:sz w:val="22"/>
        <w:szCs w:val="22"/>
      </w:rPr>
    </w:lvl>
    <w:lvl w:ilvl="2">
      <w:start w:val="1"/>
      <w:numFmt w:val="decimal"/>
      <w:lvlText w:val="%1.%2.%3."/>
      <w:lvlJc w:val="left"/>
      <w:pPr>
        <w:tabs>
          <w:tab w:val="num" w:pos="2008"/>
        </w:tabs>
        <w:ind w:left="1792" w:hanging="1224"/>
      </w:pPr>
      <w:rPr>
        <w:rFonts w:hint="default"/>
        <w:sz w:val="22"/>
        <w:szCs w:val="22"/>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312D9F"/>
    <w:multiLevelType w:val="hybridMultilevel"/>
    <w:tmpl w:val="EBAE08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FD16996"/>
    <w:multiLevelType w:val="hybridMultilevel"/>
    <w:tmpl w:val="D09A21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D47634"/>
    <w:multiLevelType w:val="hybridMultilevel"/>
    <w:tmpl w:val="FE8CDFB6"/>
    <w:lvl w:ilvl="0" w:tplc="6F8607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03A2EF0"/>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3" w15:restartNumberingAfterBreak="0">
    <w:nsid w:val="11A10836"/>
    <w:multiLevelType w:val="hybridMultilevel"/>
    <w:tmpl w:val="9C7A7D0A"/>
    <w:lvl w:ilvl="0" w:tplc="667AD7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E2776C6"/>
    <w:multiLevelType w:val="hybridMultilevel"/>
    <w:tmpl w:val="E58E1A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FFF43DC"/>
    <w:multiLevelType w:val="hybridMultilevel"/>
    <w:tmpl w:val="7884FD18"/>
    <w:lvl w:ilvl="0" w:tplc="1D00EA04">
      <w:start w:val="1"/>
      <w:numFmt w:val="decimal"/>
      <w:lvlText w:val="%1"/>
      <w:lvlJc w:val="center"/>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0E52E65"/>
    <w:multiLevelType w:val="hybridMultilevel"/>
    <w:tmpl w:val="735E77BE"/>
    <w:lvl w:ilvl="0" w:tplc="1B88B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3064FBD"/>
    <w:multiLevelType w:val="hybridMultilevel"/>
    <w:tmpl w:val="3146AE02"/>
    <w:lvl w:ilvl="0" w:tplc="30F0B694">
      <w:start w:val="1"/>
      <w:numFmt w:val="upperLetter"/>
      <w:pStyle w:val="Felsorols1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396649C"/>
    <w:multiLevelType w:val="hybridMultilevel"/>
    <w:tmpl w:val="1F2C54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3E11CCB"/>
    <w:multiLevelType w:val="hybridMultilevel"/>
    <w:tmpl w:val="BB0E9C04"/>
    <w:lvl w:ilvl="0" w:tplc="65B8DE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53361F8"/>
    <w:multiLevelType w:val="hybridMultilevel"/>
    <w:tmpl w:val="6B44973C"/>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1" w15:restartNumberingAfterBreak="0">
    <w:nsid w:val="253B7929"/>
    <w:multiLevelType w:val="hybridMultilevel"/>
    <w:tmpl w:val="F0404D5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2" w15:restartNumberingAfterBreak="0">
    <w:nsid w:val="27645838"/>
    <w:multiLevelType w:val="hybridMultilevel"/>
    <w:tmpl w:val="43DA7E10"/>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23" w15:restartNumberingAfterBreak="0">
    <w:nsid w:val="29E02373"/>
    <w:multiLevelType w:val="hybridMultilevel"/>
    <w:tmpl w:val="7BB0A1E0"/>
    <w:lvl w:ilvl="0" w:tplc="040E000F">
      <w:start w:val="1"/>
      <w:numFmt w:val="decimal"/>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4" w15:restartNumberingAfterBreak="0">
    <w:nsid w:val="2A6B09C9"/>
    <w:multiLevelType w:val="hybridMultilevel"/>
    <w:tmpl w:val="43744A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A8A3C1C"/>
    <w:multiLevelType w:val="multilevel"/>
    <w:tmpl w:val="BA6C48F0"/>
    <w:lvl w:ilvl="0">
      <w:start w:val="1"/>
      <w:numFmt w:val="ordinal"/>
      <w:pStyle w:val="Cmsor1szmozottnmhh"/>
      <w:lvlText w:val="%1"/>
      <w:lvlJc w:val="left"/>
      <w:pPr>
        <w:ind w:left="432" w:hanging="432"/>
      </w:pPr>
      <w:rPr>
        <w:rFonts w:hint="default"/>
      </w:rPr>
    </w:lvl>
    <w:lvl w:ilvl="1">
      <w:start w:val="1"/>
      <w:numFmt w:val="ordinal"/>
      <w:pStyle w:val="Cmsor2szmozottnmhh"/>
      <w:lvlText w:val="%1%2"/>
      <w:lvlJc w:val="left"/>
      <w:pPr>
        <w:ind w:left="576" w:hanging="576"/>
      </w:pPr>
      <w:rPr>
        <w:rFonts w:hint="default"/>
      </w:rPr>
    </w:lvl>
    <w:lvl w:ilvl="2">
      <w:start w:val="1"/>
      <w:numFmt w:val="ordinal"/>
      <w:pStyle w:val="Cmsor3szmozottnmhh"/>
      <w:lvlText w:val="%1%2%3"/>
      <w:lvlJc w:val="left"/>
      <w:pPr>
        <w:ind w:left="720" w:hanging="720"/>
      </w:pPr>
      <w:rPr>
        <w:rFonts w:hint="default"/>
      </w:rPr>
    </w:lvl>
    <w:lvl w:ilvl="3">
      <w:start w:val="1"/>
      <w:numFmt w:val="ordinal"/>
      <w:pStyle w:val="Cmsor4szmozottnmhh"/>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26" w15:restartNumberingAfterBreak="0">
    <w:nsid w:val="2C8E01E2"/>
    <w:multiLevelType w:val="hybridMultilevel"/>
    <w:tmpl w:val="81D2C62C"/>
    <w:lvl w:ilvl="0" w:tplc="3A22BCC6">
      <w:start w:val="1"/>
      <w:numFmt w:val="lowerRoman"/>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7" w15:restartNumberingAfterBreak="0">
    <w:nsid w:val="2D861DA4"/>
    <w:multiLevelType w:val="hybridMultilevel"/>
    <w:tmpl w:val="1B96B4EE"/>
    <w:lvl w:ilvl="0" w:tplc="884AEC2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EAC2F99"/>
    <w:multiLevelType w:val="hybridMultilevel"/>
    <w:tmpl w:val="8A068A9C"/>
    <w:lvl w:ilvl="0" w:tplc="FFEA4358">
      <w:start w:val="1"/>
      <w:numFmt w:val="bullet"/>
      <w:lvlText w:val="•"/>
      <w:lvlJc w:val="left"/>
      <w:pPr>
        <w:tabs>
          <w:tab w:val="num" w:pos="720"/>
        </w:tabs>
        <w:ind w:left="720" w:hanging="360"/>
      </w:pPr>
      <w:rPr>
        <w:rFonts w:ascii="Arial" w:hAnsi="Arial" w:hint="default"/>
      </w:rPr>
    </w:lvl>
    <w:lvl w:ilvl="1" w:tplc="055860C4" w:tentative="1">
      <w:start w:val="1"/>
      <w:numFmt w:val="bullet"/>
      <w:lvlText w:val="•"/>
      <w:lvlJc w:val="left"/>
      <w:pPr>
        <w:tabs>
          <w:tab w:val="num" w:pos="1440"/>
        </w:tabs>
        <w:ind w:left="1440" w:hanging="360"/>
      </w:pPr>
      <w:rPr>
        <w:rFonts w:ascii="Arial" w:hAnsi="Arial" w:hint="default"/>
      </w:rPr>
    </w:lvl>
    <w:lvl w:ilvl="2" w:tplc="9B102490" w:tentative="1">
      <w:start w:val="1"/>
      <w:numFmt w:val="bullet"/>
      <w:lvlText w:val="•"/>
      <w:lvlJc w:val="left"/>
      <w:pPr>
        <w:tabs>
          <w:tab w:val="num" w:pos="2160"/>
        </w:tabs>
        <w:ind w:left="2160" w:hanging="360"/>
      </w:pPr>
      <w:rPr>
        <w:rFonts w:ascii="Arial" w:hAnsi="Arial" w:hint="default"/>
      </w:rPr>
    </w:lvl>
    <w:lvl w:ilvl="3" w:tplc="FEAA7D7A" w:tentative="1">
      <w:start w:val="1"/>
      <w:numFmt w:val="bullet"/>
      <w:lvlText w:val="•"/>
      <w:lvlJc w:val="left"/>
      <w:pPr>
        <w:tabs>
          <w:tab w:val="num" w:pos="2880"/>
        </w:tabs>
        <w:ind w:left="2880" w:hanging="360"/>
      </w:pPr>
      <w:rPr>
        <w:rFonts w:ascii="Arial" w:hAnsi="Arial" w:hint="default"/>
      </w:rPr>
    </w:lvl>
    <w:lvl w:ilvl="4" w:tplc="497ECB3A" w:tentative="1">
      <w:start w:val="1"/>
      <w:numFmt w:val="bullet"/>
      <w:lvlText w:val="•"/>
      <w:lvlJc w:val="left"/>
      <w:pPr>
        <w:tabs>
          <w:tab w:val="num" w:pos="3600"/>
        </w:tabs>
        <w:ind w:left="3600" w:hanging="360"/>
      </w:pPr>
      <w:rPr>
        <w:rFonts w:ascii="Arial" w:hAnsi="Arial" w:hint="default"/>
      </w:rPr>
    </w:lvl>
    <w:lvl w:ilvl="5" w:tplc="11A42F74" w:tentative="1">
      <w:start w:val="1"/>
      <w:numFmt w:val="bullet"/>
      <w:lvlText w:val="•"/>
      <w:lvlJc w:val="left"/>
      <w:pPr>
        <w:tabs>
          <w:tab w:val="num" w:pos="4320"/>
        </w:tabs>
        <w:ind w:left="4320" w:hanging="360"/>
      </w:pPr>
      <w:rPr>
        <w:rFonts w:ascii="Arial" w:hAnsi="Arial" w:hint="default"/>
      </w:rPr>
    </w:lvl>
    <w:lvl w:ilvl="6" w:tplc="D4FA234E" w:tentative="1">
      <w:start w:val="1"/>
      <w:numFmt w:val="bullet"/>
      <w:lvlText w:val="•"/>
      <w:lvlJc w:val="left"/>
      <w:pPr>
        <w:tabs>
          <w:tab w:val="num" w:pos="5040"/>
        </w:tabs>
        <w:ind w:left="5040" w:hanging="360"/>
      </w:pPr>
      <w:rPr>
        <w:rFonts w:ascii="Arial" w:hAnsi="Arial" w:hint="default"/>
      </w:rPr>
    </w:lvl>
    <w:lvl w:ilvl="7" w:tplc="C58AB1B4" w:tentative="1">
      <w:start w:val="1"/>
      <w:numFmt w:val="bullet"/>
      <w:lvlText w:val="•"/>
      <w:lvlJc w:val="left"/>
      <w:pPr>
        <w:tabs>
          <w:tab w:val="num" w:pos="5760"/>
        </w:tabs>
        <w:ind w:left="5760" w:hanging="360"/>
      </w:pPr>
      <w:rPr>
        <w:rFonts w:ascii="Arial" w:hAnsi="Arial" w:hint="default"/>
      </w:rPr>
    </w:lvl>
    <w:lvl w:ilvl="8" w:tplc="D9F8A2F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0C709A4"/>
    <w:multiLevelType w:val="hybridMultilevel"/>
    <w:tmpl w:val="E3D4C258"/>
    <w:lvl w:ilvl="0" w:tplc="38F2EE3C">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25113BE"/>
    <w:multiLevelType w:val="hybridMultilevel"/>
    <w:tmpl w:val="38DA4FC2"/>
    <w:lvl w:ilvl="0" w:tplc="2E90CB8A">
      <w:start w:val="1"/>
      <w:numFmt w:val="bullet"/>
      <w:pStyle w:val="Lista1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38E038C"/>
    <w:multiLevelType w:val="multilevel"/>
    <w:tmpl w:val="602E1908"/>
    <w:lvl w:ilvl="0">
      <w:start w:val="1"/>
      <w:numFmt w:val="decimal"/>
      <w:pStyle w:val="Felsorols2nmh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3EB6C4E"/>
    <w:multiLevelType w:val="hybridMultilevel"/>
    <w:tmpl w:val="CA04767E"/>
    <w:lvl w:ilvl="0" w:tplc="5F72173C">
      <w:start w:val="1"/>
      <w:numFmt w:val="bullet"/>
      <w:lvlText w:val=""/>
      <w:lvlJc w:val="left"/>
      <w:pPr>
        <w:ind w:left="720" w:hanging="360"/>
      </w:pPr>
      <w:rPr>
        <w:rFonts w:ascii="Symbol" w:hAnsi="Symbol" w:hint="default"/>
      </w:rPr>
    </w:lvl>
    <w:lvl w:ilvl="1" w:tplc="5A4CAF22">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5937FE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F33BF9"/>
    <w:multiLevelType w:val="hybridMultilevel"/>
    <w:tmpl w:val="2FCCF77C"/>
    <w:lvl w:ilvl="0" w:tplc="9000D7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A133498"/>
    <w:multiLevelType w:val="hybridMultilevel"/>
    <w:tmpl w:val="E0D85AC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6" w15:restartNumberingAfterBreak="0">
    <w:nsid w:val="3B4F7FB8"/>
    <w:multiLevelType w:val="hybridMultilevel"/>
    <w:tmpl w:val="23CA6B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D163F7A"/>
    <w:multiLevelType w:val="multilevel"/>
    <w:tmpl w:val="C51432D8"/>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E06202B"/>
    <w:multiLevelType w:val="hybridMultilevel"/>
    <w:tmpl w:val="B21ED882"/>
    <w:lvl w:ilvl="0" w:tplc="7FD0D24E">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E6733BA"/>
    <w:multiLevelType w:val="hybridMultilevel"/>
    <w:tmpl w:val="1DEC5400"/>
    <w:lvl w:ilvl="0" w:tplc="FBFEE8A4">
      <w:start w:val="1"/>
      <w:numFmt w:val="bullet"/>
      <w:pStyle w:val="Lista2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385067E"/>
    <w:multiLevelType w:val="hybridMultilevel"/>
    <w:tmpl w:val="A66272CC"/>
    <w:lvl w:ilvl="0" w:tplc="F28C776A">
      <w:start w:val="1"/>
      <w:numFmt w:val="decimal"/>
      <w:lvlText w:val="%1."/>
      <w:lvlJc w:val="left"/>
      <w:pPr>
        <w:ind w:left="717" w:hanging="360"/>
      </w:pPr>
      <w:rPr>
        <w:rFonts w:hint="default"/>
        <w:i w:val="0"/>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41" w15:restartNumberingAfterBreak="0">
    <w:nsid w:val="487F6167"/>
    <w:multiLevelType w:val="hybridMultilevel"/>
    <w:tmpl w:val="0A1EA2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8E77E54"/>
    <w:multiLevelType w:val="hybridMultilevel"/>
    <w:tmpl w:val="53C400D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15:restartNumberingAfterBreak="0">
    <w:nsid w:val="50187145"/>
    <w:multiLevelType w:val="hybridMultilevel"/>
    <w:tmpl w:val="AD4CE798"/>
    <w:lvl w:ilvl="0" w:tplc="06A440E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1D946E4"/>
    <w:multiLevelType w:val="hybridMultilevel"/>
    <w:tmpl w:val="8F309E66"/>
    <w:lvl w:ilvl="0" w:tplc="040E0001">
      <w:start w:val="1"/>
      <w:numFmt w:val="bullet"/>
      <w:lvlText w:val=""/>
      <w:lvlJc w:val="left"/>
      <w:pPr>
        <w:ind w:left="720" w:hanging="360"/>
      </w:pPr>
      <w:rPr>
        <w:rFonts w:ascii="Symbol" w:hAnsi="Symbol" w:hint="default"/>
      </w:rPr>
    </w:lvl>
    <w:lvl w:ilvl="1" w:tplc="4470E0BE">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5893257"/>
    <w:multiLevelType w:val="hybridMultilevel"/>
    <w:tmpl w:val="F232E72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6" w15:restartNumberingAfterBreak="0">
    <w:nsid w:val="55D803E6"/>
    <w:multiLevelType w:val="hybridMultilevel"/>
    <w:tmpl w:val="6214F0BC"/>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7" w15:restartNumberingAfterBreak="0">
    <w:nsid w:val="55E6323D"/>
    <w:multiLevelType w:val="hybridMultilevel"/>
    <w:tmpl w:val="D9FE70CC"/>
    <w:lvl w:ilvl="0" w:tplc="AAD42C32">
      <w:start w:val="1"/>
      <w:numFmt w:val="bullet"/>
      <w:lvlText w:val=""/>
      <w:lvlJc w:val="left"/>
      <w:pPr>
        <w:tabs>
          <w:tab w:val="num" w:pos="-31680"/>
        </w:tabs>
        <w:ind w:left="1418" w:hanging="567"/>
      </w:pPr>
      <w:rPr>
        <w:rFonts w:ascii="Wingdings" w:hAnsi="Wingding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8" w15:restartNumberingAfterBreak="0">
    <w:nsid w:val="57620584"/>
    <w:multiLevelType w:val="hybridMultilevel"/>
    <w:tmpl w:val="C2F236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7B50BAB"/>
    <w:multiLevelType w:val="hybridMultilevel"/>
    <w:tmpl w:val="9BEAF3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0" w15:restartNumberingAfterBreak="0">
    <w:nsid w:val="5AAB2E8F"/>
    <w:multiLevelType w:val="hybridMultilevel"/>
    <w:tmpl w:val="3E20B338"/>
    <w:lvl w:ilvl="0" w:tplc="DE82B7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0864F13"/>
    <w:multiLevelType w:val="hybridMultilevel"/>
    <w:tmpl w:val="6E2E6748"/>
    <w:lvl w:ilvl="0" w:tplc="8C6C752A">
      <w:start w:val="1"/>
      <w:numFmt w:val="decimal"/>
      <w:pStyle w:val="Felsorols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288364F"/>
    <w:multiLevelType w:val="hybridMultilevel"/>
    <w:tmpl w:val="3F4460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6A067A8"/>
    <w:multiLevelType w:val="hybridMultilevel"/>
    <w:tmpl w:val="C8F26298"/>
    <w:lvl w:ilvl="0" w:tplc="4C3636B2">
      <w:start w:val="1911"/>
      <w:numFmt w:val="decimal"/>
      <w:lvlText w:val="%1"/>
      <w:lvlJc w:val="center"/>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6AF1ACB"/>
    <w:multiLevelType w:val="hybridMultilevel"/>
    <w:tmpl w:val="359E5422"/>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55" w15:restartNumberingAfterBreak="0">
    <w:nsid w:val="69093E3B"/>
    <w:multiLevelType w:val="hybridMultilevel"/>
    <w:tmpl w:val="3F96BC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697A2862"/>
    <w:multiLevelType w:val="multilevel"/>
    <w:tmpl w:val="DC1CA888"/>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B794DD3"/>
    <w:multiLevelType w:val="multilevel"/>
    <w:tmpl w:val="D17401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C247FDC"/>
    <w:multiLevelType w:val="hybridMultilevel"/>
    <w:tmpl w:val="F97CA402"/>
    <w:lvl w:ilvl="0" w:tplc="66E82FD6">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DEF2CC3"/>
    <w:multiLevelType w:val="multilevel"/>
    <w:tmpl w:val="DA2661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ECF5A1D"/>
    <w:multiLevelType w:val="hybridMultilevel"/>
    <w:tmpl w:val="25A6965E"/>
    <w:lvl w:ilvl="0" w:tplc="5AFE57CE">
      <w:start w:val="1"/>
      <w:numFmt w:val="decimal"/>
      <w:lvlText w:val="%1"/>
      <w:lvlJc w:val="left"/>
      <w:pPr>
        <w:ind w:left="502" w:hanging="360"/>
      </w:pPr>
      <w:rPr>
        <w:rFonts w:hint="default"/>
      </w:rPr>
    </w:lvl>
    <w:lvl w:ilvl="1" w:tplc="040E0019" w:tentative="1">
      <w:start w:val="1"/>
      <w:numFmt w:val="lowerLetter"/>
      <w:lvlText w:val="%2."/>
      <w:lvlJc w:val="left"/>
      <w:pPr>
        <w:ind w:left="1294" w:hanging="360"/>
      </w:pPr>
    </w:lvl>
    <w:lvl w:ilvl="2" w:tplc="040E001B" w:tentative="1">
      <w:start w:val="1"/>
      <w:numFmt w:val="lowerRoman"/>
      <w:lvlText w:val="%3."/>
      <w:lvlJc w:val="right"/>
      <w:pPr>
        <w:ind w:left="2014" w:hanging="180"/>
      </w:pPr>
    </w:lvl>
    <w:lvl w:ilvl="3" w:tplc="32AA0C7A" w:tentative="1">
      <w:start w:val="1"/>
      <w:numFmt w:val="decimal"/>
      <w:lvlText w:val="%4."/>
      <w:lvlJc w:val="left"/>
      <w:pPr>
        <w:ind w:left="2734" w:hanging="360"/>
      </w:pPr>
    </w:lvl>
    <w:lvl w:ilvl="4" w:tplc="040E0019" w:tentative="1">
      <w:start w:val="1"/>
      <w:numFmt w:val="lowerLetter"/>
      <w:lvlText w:val="%5."/>
      <w:lvlJc w:val="left"/>
      <w:pPr>
        <w:ind w:left="3454" w:hanging="360"/>
      </w:pPr>
    </w:lvl>
    <w:lvl w:ilvl="5" w:tplc="040E001B" w:tentative="1">
      <w:start w:val="1"/>
      <w:numFmt w:val="lowerRoman"/>
      <w:lvlText w:val="%6."/>
      <w:lvlJc w:val="right"/>
      <w:pPr>
        <w:ind w:left="4174" w:hanging="180"/>
      </w:pPr>
    </w:lvl>
    <w:lvl w:ilvl="6" w:tplc="040E000F" w:tentative="1">
      <w:start w:val="1"/>
      <w:numFmt w:val="decimal"/>
      <w:lvlText w:val="%7."/>
      <w:lvlJc w:val="left"/>
      <w:pPr>
        <w:ind w:left="4894" w:hanging="360"/>
      </w:pPr>
    </w:lvl>
    <w:lvl w:ilvl="7" w:tplc="040E0019" w:tentative="1">
      <w:start w:val="1"/>
      <w:numFmt w:val="lowerLetter"/>
      <w:lvlText w:val="%8."/>
      <w:lvlJc w:val="left"/>
      <w:pPr>
        <w:ind w:left="5614" w:hanging="360"/>
      </w:pPr>
    </w:lvl>
    <w:lvl w:ilvl="8" w:tplc="040E001B" w:tentative="1">
      <w:start w:val="1"/>
      <w:numFmt w:val="lowerRoman"/>
      <w:lvlText w:val="%9."/>
      <w:lvlJc w:val="right"/>
      <w:pPr>
        <w:ind w:left="6334" w:hanging="180"/>
      </w:pPr>
    </w:lvl>
  </w:abstractNum>
  <w:abstractNum w:abstractNumId="61" w15:restartNumberingAfterBreak="0">
    <w:nsid w:val="707468E0"/>
    <w:multiLevelType w:val="hybridMultilevel"/>
    <w:tmpl w:val="38D6DF9E"/>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62" w15:restartNumberingAfterBreak="0">
    <w:nsid w:val="707E568A"/>
    <w:multiLevelType w:val="hybridMultilevel"/>
    <w:tmpl w:val="383807F4"/>
    <w:lvl w:ilvl="0" w:tplc="32AA15B6">
      <w:start w:val="1"/>
      <w:numFmt w:val="decimal"/>
      <w:pStyle w:val="Irodalomjegyzkfelsorolsnmhh"/>
      <w:lvlText w:val="[%1]"/>
      <w:lvlJc w:val="left"/>
      <w:pPr>
        <w:ind w:left="360"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63" w15:restartNumberingAfterBreak="0">
    <w:nsid w:val="756E5ADA"/>
    <w:multiLevelType w:val="hybridMultilevel"/>
    <w:tmpl w:val="C2EA3E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57"/>
  </w:num>
  <w:num w:numId="2">
    <w:abstractNumId w:val="57"/>
  </w:num>
  <w:num w:numId="3">
    <w:abstractNumId w:val="57"/>
  </w:num>
  <w:num w:numId="4">
    <w:abstractNumId w:val="57"/>
  </w:num>
  <w:num w:numId="5">
    <w:abstractNumId w:val="32"/>
  </w:num>
  <w:num w:numId="6">
    <w:abstractNumId w:val="32"/>
  </w:num>
  <w:num w:numId="7">
    <w:abstractNumId w:val="27"/>
  </w:num>
  <w:num w:numId="8">
    <w:abstractNumId w:val="58"/>
  </w:num>
  <w:num w:numId="9">
    <w:abstractNumId w:val="13"/>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50"/>
  </w:num>
  <w:num w:numId="19">
    <w:abstractNumId w:val="44"/>
  </w:num>
  <w:num w:numId="20">
    <w:abstractNumId w:val="29"/>
  </w:num>
  <w:num w:numId="21">
    <w:abstractNumId w:val="38"/>
  </w:num>
  <w:num w:numId="22">
    <w:abstractNumId w:val="16"/>
  </w:num>
  <w:num w:numId="23">
    <w:abstractNumId w:val="1"/>
  </w:num>
  <w:num w:numId="24">
    <w:abstractNumId w:val="0"/>
  </w:num>
  <w:num w:numId="25">
    <w:abstractNumId w:val="33"/>
  </w:num>
  <w:num w:numId="26">
    <w:abstractNumId w:val="51"/>
  </w:num>
  <w:num w:numId="27">
    <w:abstractNumId w:val="31"/>
  </w:num>
  <w:num w:numId="28">
    <w:abstractNumId w:val="17"/>
  </w:num>
  <w:num w:numId="29">
    <w:abstractNumId w:val="25"/>
  </w:num>
  <w:num w:numId="30">
    <w:abstractNumId w:val="30"/>
  </w:num>
  <w:num w:numId="31">
    <w:abstractNumId w:val="39"/>
  </w:num>
  <w:num w:numId="32">
    <w:abstractNumId w:val="62"/>
  </w:num>
  <w:num w:numId="33">
    <w:abstractNumId w:val="52"/>
  </w:num>
  <w:num w:numId="34">
    <w:abstractNumId w:val="35"/>
  </w:num>
  <w:num w:numId="35">
    <w:abstractNumId w:val="20"/>
  </w:num>
  <w:num w:numId="36">
    <w:abstractNumId w:val="10"/>
  </w:num>
  <w:num w:numId="37">
    <w:abstractNumId w:val="54"/>
  </w:num>
  <w:num w:numId="38">
    <w:abstractNumId w:val="3"/>
  </w:num>
  <w:num w:numId="39">
    <w:abstractNumId w:val="15"/>
  </w:num>
  <w:num w:numId="40">
    <w:abstractNumId w:val="53"/>
  </w:num>
  <w:num w:numId="41">
    <w:abstractNumId w:val="8"/>
  </w:num>
  <w:num w:numId="42">
    <w:abstractNumId w:val="11"/>
  </w:num>
  <w:num w:numId="43">
    <w:abstractNumId w:val="4"/>
  </w:num>
  <w:num w:numId="44">
    <w:abstractNumId w:val="34"/>
  </w:num>
  <w:num w:numId="45">
    <w:abstractNumId w:val="5"/>
  </w:num>
  <w:num w:numId="46">
    <w:abstractNumId w:val="19"/>
  </w:num>
  <w:num w:numId="47">
    <w:abstractNumId w:val="60"/>
  </w:num>
  <w:num w:numId="48">
    <w:abstractNumId w:val="47"/>
  </w:num>
  <w:num w:numId="49">
    <w:abstractNumId w:val="40"/>
  </w:num>
  <w:num w:numId="50">
    <w:abstractNumId w:val="63"/>
  </w:num>
  <w:num w:numId="51">
    <w:abstractNumId w:val="42"/>
  </w:num>
  <w:num w:numId="52">
    <w:abstractNumId w:val="36"/>
  </w:num>
  <w:num w:numId="53">
    <w:abstractNumId w:val="14"/>
  </w:num>
  <w:num w:numId="54">
    <w:abstractNumId w:val="43"/>
  </w:num>
  <w:num w:numId="55">
    <w:abstractNumId w:val="26"/>
  </w:num>
  <w:num w:numId="56">
    <w:abstractNumId w:val="23"/>
  </w:num>
  <w:num w:numId="57">
    <w:abstractNumId w:val="37"/>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46"/>
  </w:num>
  <w:num w:numId="61">
    <w:abstractNumId w:val="61"/>
  </w:num>
  <w:num w:numId="62">
    <w:abstractNumId w:val="22"/>
  </w:num>
  <w:num w:numId="63">
    <w:abstractNumId w:val="59"/>
  </w:num>
  <w:num w:numId="64">
    <w:abstractNumId w:val="21"/>
  </w:num>
  <w:num w:numId="65">
    <w:abstractNumId w:val="24"/>
  </w:num>
  <w:num w:numId="66">
    <w:abstractNumId w:val="6"/>
  </w:num>
  <w:num w:numId="67">
    <w:abstractNumId w:val="55"/>
  </w:num>
  <w:num w:numId="68">
    <w:abstractNumId w:val="48"/>
  </w:num>
  <w:num w:numId="69">
    <w:abstractNumId w:val="7"/>
  </w:num>
  <w:num w:numId="70">
    <w:abstractNumId w:val="18"/>
  </w:num>
  <w:num w:numId="71">
    <w:abstractNumId w:val="2"/>
  </w:num>
  <w:num w:numId="72">
    <w:abstractNumId w:val="9"/>
  </w:num>
  <w:num w:numId="73">
    <w:abstractNumId w:val="41"/>
  </w:num>
  <w:num w:numId="74">
    <w:abstractNumId w:val="49"/>
  </w:num>
  <w:num w:numId="75">
    <w:abstractNumId w:val="28"/>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num>
  <w:num w:numId="85">
    <w:abstractNumId w:val="25"/>
  </w:num>
  <w:num w:numId="86">
    <w:abstractNumId w:val="25"/>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num>
  <w:num w:numId="89">
    <w:abstractNumId w:val="25"/>
  </w:num>
  <w:num w:numId="90">
    <w:abstractNumId w:val="25"/>
  </w:num>
  <w:num w:numId="91">
    <w:abstractNumId w:val="56"/>
  </w:num>
  <w:num w:numId="92">
    <w:abstractNumId w:val="2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hu-HU" w:vendorID="64" w:dllVersion="0" w:nlCheck="1" w:checkStyle="0"/>
  <w:activeWritingStyle w:appName="MSWord" w:lang="en-GB" w:vendorID="64" w:dllVersion="131078" w:nlCheck="1" w:checkStyle="1"/>
  <w:activeWritingStyle w:appName="MSWord" w:lang="en-US" w:vendorID="64" w:dllVersion="131078" w:nlCheck="1" w:checkStyle="1"/>
  <w:attachedTemplate r:id="rId1"/>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79"/>
    <w:rsid w:val="00002432"/>
    <w:rsid w:val="000028E8"/>
    <w:rsid w:val="000030D2"/>
    <w:rsid w:val="00005917"/>
    <w:rsid w:val="0002366A"/>
    <w:rsid w:val="000272F2"/>
    <w:rsid w:val="00031851"/>
    <w:rsid w:val="00032AFE"/>
    <w:rsid w:val="0003625B"/>
    <w:rsid w:val="00041388"/>
    <w:rsid w:val="00051102"/>
    <w:rsid w:val="00052700"/>
    <w:rsid w:val="000547B1"/>
    <w:rsid w:val="00056659"/>
    <w:rsid w:val="00066373"/>
    <w:rsid w:val="000664FC"/>
    <w:rsid w:val="00071A14"/>
    <w:rsid w:val="00072109"/>
    <w:rsid w:val="00083057"/>
    <w:rsid w:val="00083FA8"/>
    <w:rsid w:val="00085A59"/>
    <w:rsid w:val="00090673"/>
    <w:rsid w:val="000933FF"/>
    <w:rsid w:val="00094082"/>
    <w:rsid w:val="00096F05"/>
    <w:rsid w:val="000A2DD9"/>
    <w:rsid w:val="000B2B5C"/>
    <w:rsid w:val="000B7FF7"/>
    <w:rsid w:val="000C188C"/>
    <w:rsid w:val="000D7367"/>
    <w:rsid w:val="000E16B8"/>
    <w:rsid w:val="000E5F59"/>
    <w:rsid w:val="000E7111"/>
    <w:rsid w:val="000F149D"/>
    <w:rsid w:val="000F5735"/>
    <w:rsid w:val="00110A13"/>
    <w:rsid w:val="00124CF7"/>
    <w:rsid w:val="00132FE8"/>
    <w:rsid w:val="001461FC"/>
    <w:rsid w:val="001479E7"/>
    <w:rsid w:val="001511D7"/>
    <w:rsid w:val="00167460"/>
    <w:rsid w:val="00174625"/>
    <w:rsid w:val="00176004"/>
    <w:rsid w:val="0019052D"/>
    <w:rsid w:val="001A3BDC"/>
    <w:rsid w:val="001B5B77"/>
    <w:rsid w:val="001C1A86"/>
    <w:rsid w:val="001C6218"/>
    <w:rsid w:val="001E0E77"/>
    <w:rsid w:val="001E1AD8"/>
    <w:rsid w:val="001E74AB"/>
    <w:rsid w:val="001F448D"/>
    <w:rsid w:val="00203E47"/>
    <w:rsid w:val="00204888"/>
    <w:rsid w:val="00206084"/>
    <w:rsid w:val="00206E63"/>
    <w:rsid w:val="002116E6"/>
    <w:rsid w:val="00215BFC"/>
    <w:rsid w:val="00217ADA"/>
    <w:rsid w:val="002223DA"/>
    <w:rsid w:val="00242E39"/>
    <w:rsid w:val="00247858"/>
    <w:rsid w:val="002528E0"/>
    <w:rsid w:val="00260CB3"/>
    <w:rsid w:val="00263B11"/>
    <w:rsid w:val="00271A51"/>
    <w:rsid w:val="002728C0"/>
    <w:rsid w:val="00274A4E"/>
    <w:rsid w:val="00274D87"/>
    <w:rsid w:val="00275DE1"/>
    <w:rsid w:val="002807F3"/>
    <w:rsid w:val="002837F7"/>
    <w:rsid w:val="0029092A"/>
    <w:rsid w:val="002923FC"/>
    <w:rsid w:val="00296849"/>
    <w:rsid w:val="00296FF9"/>
    <w:rsid w:val="002A0D60"/>
    <w:rsid w:val="002B401D"/>
    <w:rsid w:val="002C20D1"/>
    <w:rsid w:val="002C2259"/>
    <w:rsid w:val="002C4B97"/>
    <w:rsid w:val="002D2D74"/>
    <w:rsid w:val="002D3933"/>
    <w:rsid w:val="002E1C08"/>
    <w:rsid w:val="002F757C"/>
    <w:rsid w:val="00343F9F"/>
    <w:rsid w:val="00345EC7"/>
    <w:rsid w:val="0034621E"/>
    <w:rsid w:val="0036119E"/>
    <w:rsid w:val="00372240"/>
    <w:rsid w:val="0037475E"/>
    <w:rsid w:val="00374CA0"/>
    <w:rsid w:val="00387B15"/>
    <w:rsid w:val="00390C7E"/>
    <w:rsid w:val="00392091"/>
    <w:rsid w:val="003A033D"/>
    <w:rsid w:val="003A2CBC"/>
    <w:rsid w:val="003A4DD8"/>
    <w:rsid w:val="003B10BE"/>
    <w:rsid w:val="003B3D99"/>
    <w:rsid w:val="003C7C94"/>
    <w:rsid w:val="003D1EED"/>
    <w:rsid w:val="003E00F5"/>
    <w:rsid w:val="003E0C77"/>
    <w:rsid w:val="003E75CB"/>
    <w:rsid w:val="003F13C8"/>
    <w:rsid w:val="003F581A"/>
    <w:rsid w:val="003F78F5"/>
    <w:rsid w:val="004045E3"/>
    <w:rsid w:val="00407C7D"/>
    <w:rsid w:val="00410B91"/>
    <w:rsid w:val="0041327C"/>
    <w:rsid w:val="004136A4"/>
    <w:rsid w:val="0042070E"/>
    <w:rsid w:val="00422524"/>
    <w:rsid w:val="00423827"/>
    <w:rsid w:val="004275D0"/>
    <w:rsid w:val="00427DE8"/>
    <w:rsid w:val="00430AFA"/>
    <w:rsid w:val="00430B47"/>
    <w:rsid w:val="00433E85"/>
    <w:rsid w:val="00434D92"/>
    <w:rsid w:val="00436BDB"/>
    <w:rsid w:val="004564F1"/>
    <w:rsid w:val="00460F43"/>
    <w:rsid w:val="00475626"/>
    <w:rsid w:val="00487022"/>
    <w:rsid w:val="00491185"/>
    <w:rsid w:val="004941AC"/>
    <w:rsid w:val="004A0EE5"/>
    <w:rsid w:val="004A487F"/>
    <w:rsid w:val="004E0043"/>
    <w:rsid w:val="004E0238"/>
    <w:rsid w:val="004E167B"/>
    <w:rsid w:val="004E1789"/>
    <w:rsid w:val="004E27BC"/>
    <w:rsid w:val="004E4798"/>
    <w:rsid w:val="005111BF"/>
    <w:rsid w:val="00517579"/>
    <w:rsid w:val="00523BDE"/>
    <w:rsid w:val="00524A6D"/>
    <w:rsid w:val="00524AA6"/>
    <w:rsid w:val="005266EC"/>
    <w:rsid w:val="00531AF5"/>
    <w:rsid w:val="00537B19"/>
    <w:rsid w:val="00537E6B"/>
    <w:rsid w:val="00542BB8"/>
    <w:rsid w:val="00543C8C"/>
    <w:rsid w:val="00543DA4"/>
    <w:rsid w:val="0055235F"/>
    <w:rsid w:val="0055573E"/>
    <w:rsid w:val="00561EAB"/>
    <w:rsid w:val="0056442F"/>
    <w:rsid w:val="00570353"/>
    <w:rsid w:val="00581FC8"/>
    <w:rsid w:val="00585614"/>
    <w:rsid w:val="00586921"/>
    <w:rsid w:val="0059387E"/>
    <w:rsid w:val="005A350C"/>
    <w:rsid w:val="005A4080"/>
    <w:rsid w:val="005C099E"/>
    <w:rsid w:val="005C6925"/>
    <w:rsid w:val="005D653E"/>
    <w:rsid w:val="005D78E1"/>
    <w:rsid w:val="005E39C2"/>
    <w:rsid w:val="005E762F"/>
    <w:rsid w:val="005F5BB1"/>
    <w:rsid w:val="00607E0B"/>
    <w:rsid w:val="00611A1A"/>
    <w:rsid w:val="00616E2A"/>
    <w:rsid w:val="00622119"/>
    <w:rsid w:val="00625FA4"/>
    <w:rsid w:val="00640317"/>
    <w:rsid w:val="0064156A"/>
    <w:rsid w:val="006671B1"/>
    <w:rsid w:val="00672A4F"/>
    <w:rsid w:val="006944D0"/>
    <w:rsid w:val="00696DFC"/>
    <w:rsid w:val="006A2CB3"/>
    <w:rsid w:val="006B4322"/>
    <w:rsid w:val="006B6D19"/>
    <w:rsid w:val="006C2AF4"/>
    <w:rsid w:val="006D055B"/>
    <w:rsid w:val="006D5933"/>
    <w:rsid w:val="006E1625"/>
    <w:rsid w:val="00716287"/>
    <w:rsid w:val="00716E69"/>
    <w:rsid w:val="00731308"/>
    <w:rsid w:val="0073287D"/>
    <w:rsid w:val="0073434B"/>
    <w:rsid w:val="00750150"/>
    <w:rsid w:val="00754132"/>
    <w:rsid w:val="007555CE"/>
    <w:rsid w:val="00767705"/>
    <w:rsid w:val="00786E98"/>
    <w:rsid w:val="00793636"/>
    <w:rsid w:val="007979F2"/>
    <w:rsid w:val="007A2E3B"/>
    <w:rsid w:val="007A3305"/>
    <w:rsid w:val="007A4AD6"/>
    <w:rsid w:val="007A68F1"/>
    <w:rsid w:val="007B2341"/>
    <w:rsid w:val="007B48F2"/>
    <w:rsid w:val="007B55E4"/>
    <w:rsid w:val="007C4712"/>
    <w:rsid w:val="007D3E72"/>
    <w:rsid w:val="007E0713"/>
    <w:rsid w:val="007E4F22"/>
    <w:rsid w:val="007E6E32"/>
    <w:rsid w:val="007F0E8A"/>
    <w:rsid w:val="007F2D12"/>
    <w:rsid w:val="007F3AF1"/>
    <w:rsid w:val="007F48EE"/>
    <w:rsid w:val="00804FD7"/>
    <w:rsid w:val="00807C5F"/>
    <w:rsid w:val="008168DE"/>
    <w:rsid w:val="00817BD6"/>
    <w:rsid w:val="00831D9A"/>
    <w:rsid w:val="00837E2D"/>
    <w:rsid w:val="00837EBA"/>
    <w:rsid w:val="00837F4B"/>
    <w:rsid w:val="00846E9E"/>
    <w:rsid w:val="00847983"/>
    <w:rsid w:val="008613B5"/>
    <w:rsid w:val="008627B8"/>
    <w:rsid w:val="008767E1"/>
    <w:rsid w:val="008776E6"/>
    <w:rsid w:val="008872E4"/>
    <w:rsid w:val="00892B89"/>
    <w:rsid w:val="00897A88"/>
    <w:rsid w:val="008B2D98"/>
    <w:rsid w:val="008B494B"/>
    <w:rsid w:val="008C3C16"/>
    <w:rsid w:val="008D5F59"/>
    <w:rsid w:val="009074D9"/>
    <w:rsid w:val="009108A6"/>
    <w:rsid w:val="00927519"/>
    <w:rsid w:val="00930A7D"/>
    <w:rsid w:val="00931BFA"/>
    <w:rsid w:val="00932363"/>
    <w:rsid w:val="00936EE2"/>
    <w:rsid w:val="009423A1"/>
    <w:rsid w:val="0094468A"/>
    <w:rsid w:val="00945F96"/>
    <w:rsid w:val="00947D16"/>
    <w:rsid w:val="009511C6"/>
    <w:rsid w:val="00952147"/>
    <w:rsid w:val="00954DC4"/>
    <w:rsid w:val="0096464F"/>
    <w:rsid w:val="009678E7"/>
    <w:rsid w:val="00967E7A"/>
    <w:rsid w:val="00970BA4"/>
    <w:rsid w:val="0097342C"/>
    <w:rsid w:val="00983E9F"/>
    <w:rsid w:val="00992927"/>
    <w:rsid w:val="009A4C1B"/>
    <w:rsid w:val="009A5CDE"/>
    <w:rsid w:val="009D2343"/>
    <w:rsid w:val="009E7EB3"/>
    <w:rsid w:val="009F433D"/>
    <w:rsid w:val="009F4409"/>
    <w:rsid w:val="00A02BF3"/>
    <w:rsid w:val="00A03DF1"/>
    <w:rsid w:val="00A126A6"/>
    <w:rsid w:val="00A16A7B"/>
    <w:rsid w:val="00A22925"/>
    <w:rsid w:val="00A2728D"/>
    <w:rsid w:val="00A34B62"/>
    <w:rsid w:val="00A36DDD"/>
    <w:rsid w:val="00A464AC"/>
    <w:rsid w:val="00A561B3"/>
    <w:rsid w:val="00A63D8C"/>
    <w:rsid w:val="00A70C6D"/>
    <w:rsid w:val="00A759B4"/>
    <w:rsid w:val="00A76701"/>
    <w:rsid w:val="00A96019"/>
    <w:rsid w:val="00AA393A"/>
    <w:rsid w:val="00AB093E"/>
    <w:rsid w:val="00AB2EE5"/>
    <w:rsid w:val="00AB3578"/>
    <w:rsid w:val="00AB6891"/>
    <w:rsid w:val="00AE63CA"/>
    <w:rsid w:val="00AF268C"/>
    <w:rsid w:val="00AF2C02"/>
    <w:rsid w:val="00AF67E4"/>
    <w:rsid w:val="00B00DE2"/>
    <w:rsid w:val="00B05124"/>
    <w:rsid w:val="00B107DC"/>
    <w:rsid w:val="00B216E8"/>
    <w:rsid w:val="00B3090D"/>
    <w:rsid w:val="00B32074"/>
    <w:rsid w:val="00B5106F"/>
    <w:rsid w:val="00B528FE"/>
    <w:rsid w:val="00B54DA3"/>
    <w:rsid w:val="00B55DEA"/>
    <w:rsid w:val="00B6079D"/>
    <w:rsid w:val="00B60D60"/>
    <w:rsid w:val="00B615DF"/>
    <w:rsid w:val="00B765BF"/>
    <w:rsid w:val="00B819E8"/>
    <w:rsid w:val="00BA1AFB"/>
    <w:rsid w:val="00BB67EE"/>
    <w:rsid w:val="00BC316E"/>
    <w:rsid w:val="00BC3CC1"/>
    <w:rsid w:val="00BD1A83"/>
    <w:rsid w:val="00BD44EF"/>
    <w:rsid w:val="00BD5A55"/>
    <w:rsid w:val="00BD729F"/>
    <w:rsid w:val="00C12B7B"/>
    <w:rsid w:val="00C160A4"/>
    <w:rsid w:val="00C20E17"/>
    <w:rsid w:val="00C53DF9"/>
    <w:rsid w:val="00C56362"/>
    <w:rsid w:val="00C65497"/>
    <w:rsid w:val="00C664AE"/>
    <w:rsid w:val="00C66DAE"/>
    <w:rsid w:val="00C673FF"/>
    <w:rsid w:val="00C71530"/>
    <w:rsid w:val="00C71B70"/>
    <w:rsid w:val="00C74094"/>
    <w:rsid w:val="00C83A20"/>
    <w:rsid w:val="00C83AF1"/>
    <w:rsid w:val="00C86D6D"/>
    <w:rsid w:val="00C9528C"/>
    <w:rsid w:val="00C95B1A"/>
    <w:rsid w:val="00CA366D"/>
    <w:rsid w:val="00CA3B28"/>
    <w:rsid w:val="00CB64C7"/>
    <w:rsid w:val="00CB7A92"/>
    <w:rsid w:val="00CD3CCB"/>
    <w:rsid w:val="00CE2002"/>
    <w:rsid w:val="00CE5B7D"/>
    <w:rsid w:val="00CF03A4"/>
    <w:rsid w:val="00CF05FE"/>
    <w:rsid w:val="00CF1591"/>
    <w:rsid w:val="00CF389E"/>
    <w:rsid w:val="00D1041B"/>
    <w:rsid w:val="00D165AF"/>
    <w:rsid w:val="00D16B88"/>
    <w:rsid w:val="00D41053"/>
    <w:rsid w:val="00D45E62"/>
    <w:rsid w:val="00D471AC"/>
    <w:rsid w:val="00D47CBE"/>
    <w:rsid w:val="00D51062"/>
    <w:rsid w:val="00D55153"/>
    <w:rsid w:val="00D56225"/>
    <w:rsid w:val="00D77525"/>
    <w:rsid w:val="00D82DD2"/>
    <w:rsid w:val="00D850E2"/>
    <w:rsid w:val="00D911C2"/>
    <w:rsid w:val="00D96770"/>
    <w:rsid w:val="00D96CED"/>
    <w:rsid w:val="00DA416E"/>
    <w:rsid w:val="00DA53A4"/>
    <w:rsid w:val="00DA5D72"/>
    <w:rsid w:val="00DB14C0"/>
    <w:rsid w:val="00DB62BB"/>
    <w:rsid w:val="00DC0327"/>
    <w:rsid w:val="00DD5334"/>
    <w:rsid w:val="00DE34C2"/>
    <w:rsid w:val="00DF06F9"/>
    <w:rsid w:val="00E018A8"/>
    <w:rsid w:val="00E2152A"/>
    <w:rsid w:val="00E22872"/>
    <w:rsid w:val="00E22C54"/>
    <w:rsid w:val="00E31630"/>
    <w:rsid w:val="00E3177D"/>
    <w:rsid w:val="00E31A1A"/>
    <w:rsid w:val="00E33650"/>
    <w:rsid w:val="00E521DF"/>
    <w:rsid w:val="00E53AF5"/>
    <w:rsid w:val="00E55B37"/>
    <w:rsid w:val="00E573D3"/>
    <w:rsid w:val="00E577E1"/>
    <w:rsid w:val="00E60560"/>
    <w:rsid w:val="00E6287D"/>
    <w:rsid w:val="00E67378"/>
    <w:rsid w:val="00E70452"/>
    <w:rsid w:val="00E70A7C"/>
    <w:rsid w:val="00E71F7F"/>
    <w:rsid w:val="00E726CF"/>
    <w:rsid w:val="00E779E6"/>
    <w:rsid w:val="00E922D9"/>
    <w:rsid w:val="00E956AA"/>
    <w:rsid w:val="00EA1A18"/>
    <w:rsid w:val="00EB3EF4"/>
    <w:rsid w:val="00ED0F55"/>
    <w:rsid w:val="00ED569D"/>
    <w:rsid w:val="00ED61BE"/>
    <w:rsid w:val="00EE7651"/>
    <w:rsid w:val="00EE7682"/>
    <w:rsid w:val="00EF036F"/>
    <w:rsid w:val="00F0102E"/>
    <w:rsid w:val="00F104C0"/>
    <w:rsid w:val="00F1197D"/>
    <w:rsid w:val="00F1626B"/>
    <w:rsid w:val="00F334CF"/>
    <w:rsid w:val="00F4174A"/>
    <w:rsid w:val="00F54787"/>
    <w:rsid w:val="00F711B1"/>
    <w:rsid w:val="00F7211D"/>
    <w:rsid w:val="00F7688F"/>
    <w:rsid w:val="00F81E67"/>
    <w:rsid w:val="00F82364"/>
    <w:rsid w:val="00F95EA1"/>
    <w:rsid w:val="00FA6ABC"/>
    <w:rsid w:val="00FB1938"/>
    <w:rsid w:val="00FB52F6"/>
    <w:rsid w:val="00FD44A7"/>
    <w:rsid w:val="00FE165F"/>
    <w:rsid w:val="00FE2637"/>
    <w:rsid w:val="00FE2890"/>
    <w:rsid w:val="00FF5C04"/>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24DE"/>
  <w15:docId w15:val="{DD9FBF89-D1A8-42B5-BEA3-BF5768ED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Bekezdés"/>
    <w:pPr>
      <w:spacing w:after="120"/>
      <w:jc w:val="both"/>
    </w:pPr>
  </w:style>
  <w:style w:type="paragraph" w:styleId="Cmsor1">
    <w:name w:val="heading 1"/>
    <w:aliases w:val="ECC Heading 1"/>
    <w:basedOn w:val="Norml"/>
    <w:next w:val="Norml"/>
    <w:link w:val="Cmsor1Char"/>
    <w:qFormat/>
    <w:pPr>
      <w:keepNext/>
      <w:keepLines/>
      <w:numPr>
        <w:numId w:val="17"/>
      </w:numPr>
      <w:spacing w:after="240"/>
      <w:outlineLvl w:val="0"/>
    </w:pPr>
    <w:rPr>
      <w:rFonts w:asciiTheme="majorHAnsi" w:eastAsiaTheme="majorEastAsia" w:hAnsiTheme="majorHAnsi" w:cstheme="majorBidi"/>
      <w:b/>
      <w:bCs/>
      <w:color w:val="000000" w:themeColor="text2" w:themeShade="BF"/>
      <w:sz w:val="32"/>
      <w:szCs w:val="28"/>
    </w:rPr>
  </w:style>
  <w:style w:type="paragraph" w:styleId="Cmsor2">
    <w:name w:val="heading 2"/>
    <w:aliases w:val="ECC Heading 2"/>
    <w:basedOn w:val="Norml"/>
    <w:next w:val="Norml"/>
    <w:link w:val="Cmsor2Char"/>
    <w:unhideWhenUsed/>
    <w:qFormat/>
    <w:pPr>
      <w:keepNext/>
      <w:keepLines/>
      <w:numPr>
        <w:ilvl w:val="1"/>
        <w:numId w:val="17"/>
      </w:numPr>
      <w:spacing w:after="240"/>
      <w:outlineLvl w:val="1"/>
    </w:pPr>
    <w:rPr>
      <w:rFonts w:asciiTheme="majorHAnsi" w:eastAsiaTheme="majorEastAsia" w:hAnsiTheme="majorHAnsi" w:cstheme="majorBidi"/>
      <w:b/>
      <w:bCs/>
      <w:color w:val="666666" w:themeColor="text2" w:themeTint="99"/>
      <w:sz w:val="28"/>
      <w:szCs w:val="26"/>
    </w:rPr>
  </w:style>
  <w:style w:type="paragraph" w:styleId="Cmsor3">
    <w:name w:val="heading 3"/>
    <w:aliases w:val="ECC Heading 3"/>
    <w:basedOn w:val="Norml"/>
    <w:next w:val="Norml"/>
    <w:link w:val="Cmsor3Char"/>
    <w:unhideWhenUsed/>
    <w:qFormat/>
    <w:pPr>
      <w:keepNext/>
      <w:keepLines/>
      <w:numPr>
        <w:ilvl w:val="2"/>
        <w:numId w:val="17"/>
      </w:numPr>
      <w:spacing w:after="240"/>
      <w:outlineLvl w:val="2"/>
    </w:pPr>
    <w:rPr>
      <w:rFonts w:asciiTheme="majorHAnsi" w:eastAsiaTheme="majorEastAsia" w:hAnsiTheme="majorHAnsi" w:cstheme="majorBidi"/>
      <w:b/>
      <w:bCs/>
      <w:color w:val="999999" w:themeColor="text2" w:themeTint="66"/>
      <w:sz w:val="24"/>
    </w:rPr>
  </w:style>
  <w:style w:type="paragraph" w:styleId="Cmsor4">
    <w:name w:val="heading 4"/>
    <w:aliases w:val="ECC Heading 4"/>
    <w:basedOn w:val="Norml"/>
    <w:next w:val="Norml"/>
    <w:link w:val="Cmsor4Char"/>
    <w:unhideWhenUsed/>
    <w:qFormat/>
    <w:pPr>
      <w:keepNext/>
      <w:keepLines/>
      <w:numPr>
        <w:ilvl w:val="3"/>
        <w:numId w:val="17"/>
      </w:numPr>
      <w:outlineLvl w:val="3"/>
    </w:pPr>
    <w:rPr>
      <w:rFonts w:asciiTheme="majorHAnsi" w:eastAsiaTheme="majorEastAsia" w:hAnsiTheme="majorHAnsi" w:cstheme="majorBidi"/>
      <w:b/>
      <w:bCs/>
      <w:iCs/>
      <w:color w:val="CCCCCC" w:themeColor="text2" w:themeTint="33"/>
    </w:rPr>
  </w:style>
  <w:style w:type="paragraph" w:styleId="Cmsor5">
    <w:name w:val="heading 5"/>
    <w:basedOn w:val="Norml"/>
    <w:next w:val="Norml"/>
    <w:link w:val="Cmsor5Char"/>
    <w:unhideWhenUsed/>
    <w:qFormat/>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nhideWhenUsed/>
    <w:qFormat/>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nhideWhenUsed/>
    <w:qFormat/>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nhideWhenUsed/>
    <w:qFormat/>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CC Heading 1 Char"/>
    <w:basedOn w:val="Bekezdsalapbettpusa"/>
    <w:link w:val="Cmsor1"/>
    <w:uiPriority w:val="9"/>
    <w:rPr>
      <w:rFonts w:asciiTheme="majorHAnsi" w:eastAsiaTheme="majorEastAsia" w:hAnsiTheme="majorHAnsi" w:cstheme="majorBidi"/>
      <w:b/>
      <w:bCs/>
      <w:color w:val="000000" w:themeColor="text2" w:themeShade="BF"/>
      <w:sz w:val="32"/>
      <w:szCs w:val="28"/>
    </w:rPr>
  </w:style>
  <w:style w:type="paragraph" w:styleId="Tartalomjegyzkcmsora">
    <w:name w:val="TOC Heading"/>
    <w:basedOn w:val="Cmsor1"/>
    <w:next w:val="Norml"/>
    <w:link w:val="TartalomjegyzkcmsoraChar"/>
    <w:uiPriority w:val="39"/>
    <w:unhideWhenUsed/>
    <w:pPr>
      <w:numPr>
        <w:numId w:val="0"/>
      </w:numPr>
      <w:outlineLvl w:val="9"/>
    </w:pPr>
  </w:style>
  <w:style w:type="paragraph" w:styleId="lfej">
    <w:name w:val="header"/>
    <w:aliases w:val="encabezado,he,header odd,header odd1,header odd2,header"/>
    <w:basedOn w:val="Norml"/>
    <w:link w:val="lfejChar"/>
    <w:unhideWhenUsed/>
    <w:pPr>
      <w:tabs>
        <w:tab w:val="center" w:pos="4536"/>
        <w:tab w:val="right" w:pos="9072"/>
      </w:tabs>
      <w:spacing w:after="0" w:line="240" w:lineRule="auto"/>
    </w:pPr>
  </w:style>
  <w:style w:type="paragraph" w:styleId="Listaszerbekezds">
    <w:name w:val="List Paragraph"/>
    <w:basedOn w:val="Norml"/>
    <w:link w:val="ListaszerbekezdsChar"/>
    <w:uiPriority w:val="34"/>
    <w:qFormat/>
    <w:pPr>
      <w:ind w:left="720"/>
      <w:contextualSpacing/>
    </w:pPr>
  </w:style>
  <w:style w:type="character" w:customStyle="1" w:styleId="lfejChar">
    <w:name w:val="Élőfej Char"/>
    <w:aliases w:val="encabezado Char,he Char,header odd Char,header odd1 Char,header odd2 Char,header Char"/>
    <w:basedOn w:val="Bekezdsalapbettpusa"/>
    <w:link w:val="lfej"/>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customStyle="1" w:styleId="Cmnmhh">
    <w:name w:val="Cím_nmhh"/>
    <w:basedOn w:val="Cm"/>
    <w:qFormat/>
    <w:pPr>
      <w:pBdr>
        <w:bottom w:val="none" w:sz="0" w:space="0" w:color="auto"/>
      </w:pBdr>
      <w:spacing w:after="480" w:line="720" w:lineRule="exact"/>
      <w:ind w:left="890"/>
      <w:contextualSpacing w:val="0"/>
      <w:jc w:val="left"/>
    </w:pPr>
    <w:rPr>
      <w:b/>
      <w:color w:val="0556A5"/>
      <w:sz w:val="60"/>
    </w:rPr>
  </w:style>
  <w:style w:type="paragraph" w:customStyle="1" w:styleId="Osztlynmhh">
    <w:name w:val="Osztály_nmhh"/>
    <w:basedOn w:val="Norml"/>
    <w:next w:val="Norml"/>
    <w:qFormat/>
    <w:pPr>
      <w:spacing w:after="0"/>
      <w:ind w:left="890"/>
      <w:jc w:val="left"/>
    </w:pPr>
    <w:rPr>
      <w:caps/>
      <w:color w:val="43525A"/>
      <w:sz w:val="36"/>
    </w:rPr>
  </w:style>
  <w:style w:type="paragraph" w:styleId="Cm">
    <w:name w:val="Title"/>
    <w:basedOn w:val="Norml"/>
    <w:next w:val="Norml"/>
    <w:link w:val="Cm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mChar">
    <w:name w:val="Cím Char"/>
    <w:basedOn w:val="Bekezdsalapbettpusa"/>
    <w:link w:val="Cm"/>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Bortlapegybnmhh">
    <w:name w:val="Borítólap egyéb_nmhh"/>
    <w:basedOn w:val="Norml"/>
    <w:link w:val="BortlapegybnmhhChar"/>
    <w:qFormat/>
    <w:pPr>
      <w:spacing w:after="0"/>
      <w:ind w:left="890"/>
      <w:jc w:val="left"/>
    </w:pPr>
    <w:rPr>
      <w:color w:val="43525A"/>
      <w:sz w:val="30"/>
    </w:rPr>
  </w:style>
  <w:style w:type="paragraph" w:customStyle="1" w:styleId="Tartalomjegyzkcmsoranmhh">
    <w:name w:val="Tartalomjegyzék_címsora_nmhh"/>
    <w:basedOn w:val="Tartalomjegyzkcmsora"/>
    <w:link w:val="TartalomjegyzkcmsoranmhhChar"/>
    <w:qFormat/>
    <w:rPr>
      <w:color w:val="43525A"/>
      <w:sz w:val="36"/>
    </w:rPr>
  </w:style>
  <w:style w:type="character" w:customStyle="1" w:styleId="BortlapegybnmhhChar">
    <w:name w:val="Borítólap egyéb_nmhh Char"/>
    <w:basedOn w:val="Bekezdsalapbettpusa"/>
    <w:link w:val="Bortlapegybnmhh"/>
    <w:rPr>
      <w:color w:val="43525A"/>
      <w:sz w:val="30"/>
    </w:rPr>
  </w:style>
  <w:style w:type="paragraph" w:customStyle="1" w:styleId="Bekezdsnmhh">
    <w:name w:val="Bekezdés_nmhh"/>
    <w:basedOn w:val="Norml"/>
    <w:link w:val="BekezdsnmhhChar"/>
    <w:qFormat/>
    <w:rPr>
      <w:sz w:val="20"/>
      <w:szCs w:val="20"/>
    </w:rPr>
  </w:style>
  <w:style w:type="character" w:customStyle="1" w:styleId="TartalomjegyzkcmsoraChar">
    <w:name w:val="Tartalomjegyzék címsora Char"/>
    <w:basedOn w:val="Cmsor1Char"/>
    <w:link w:val="Tartalomjegyzkcmsora"/>
    <w:uiPriority w:val="39"/>
    <w:rPr>
      <w:rFonts w:asciiTheme="majorHAnsi" w:eastAsiaTheme="majorEastAsia" w:hAnsiTheme="majorHAnsi" w:cstheme="majorBidi"/>
      <w:b/>
      <w:bCs/>
      <w:color w:val="000000" w:themeColor="text2" w:themeShade="BF"/>
      <w:sz w:val="32"/>
      <w:szCs w:val="28"/>
    </w:rPr>
  </w:style>
  <w:style w:type="character" w:customStyle="1" w:styleId="TartalomjegyzkcmsoranmhhChar">
    <w:name w:val="Tartalomjegyzék_címsora_nmhh Char"/>
    <w:basedOn w:val="TartalomjegyzkcmsoraChar"/>
    <w:link w:val="Tartalomjegyzkcmsoranmhh"/>
    <w:rPr>
      <w:rFonts w:asciiTheme="majorHAnsi" w:eastAsiaTheme="majorEastAsia" w:hAnsiTheme="majorHAnsi" w:cstheme="majorBidi"/>
      <w:b/>
      <w:bCs/>
      <w:color w:val="43525A"/>
      <w:sz w:val="36"/>
      <w:szCs w:val="28"/>
    </w:rPr>
  </w:style>
  <w:style w:type="paragraph" w:customStyle="1" w:styleId="Behzottbekezdsnmhh">
    <w:name w:val="Behúzott_bekezdés_nmhh"/>
    <w:basedOn w:val="Norml"/>
    <w:link w:val="BehzottbekezdsnmhhChar"/>
    <w:qFormat/>
    <w:pPr>
      <w:ind w:firstLine="357"/>
    </w:pPr>
    <w:rPr>
      <w:sz w:val="20"/>
      <w:szCs w:val="20"/>
    </w:rPr>
  </w:style>
  <w:style w:type="character" w:customStyle="1" w:styleId="BekezdsnmhhChar">
    <w:name w:val="Bekezdés_nmhh Char"/>
    <w:basedOn w:val="Bekezdsalapbettpusa"/>
    <w:link w:val="Bekezdsnmhh"/>
    <w:rPr>
      <w:sz w:val="20"/>
      <w:szCs w:val="20"/>
    </w:rPr>
  </w:style>
  <w:style w:type="paragraph" w:customStyle="1" w:styleId="Felsorolsbekezdsnmhh">
    <w:name w:val="Felsorolás_bekezdés_nmhh"/>
    <w:basedOn w:val="Norml"/>
    <w:qFormat/>
    <w:pPr>
      <w:ind w:left="709"/>
    </w:pPr>
    <w:rPr>
      <w:color w:val="43525A"/>
      <w:sz w:val="20"/>
      <w:szCs w:val="20"/>
    </w:rPr>
  </w:style>
  <w:style w:type="character" w:customStyle="1" w:styleId="BehzottbekezdsnmhhChar">
    <w:name w:val="Behúzott_bekezdés_nmhh Char"/>
    <w:basedOn w:val="Bekezdsalapbettpusa"/>
    <w:link w:val="Behzottbekezdsnmhh"/>
    <w:rPr>
      <w:sz w:val="20"/>
      <w:szCs w:val="20"/>
    </w:rPr>
  </w:style>
  <w:style w:type="paragraph" w:customStyle="1" w:styleId="Felsorolsnmhh">
    <w:name w:val="Felsorolás_nmhh"/>
    <w:basedOn w:val="Listaszerbekezds"/>
    <w:link w:val="FelsorolsnmhhChar"/>
    <w:qFormat/>
    <w:pPr>
      <w:numPr>
        <w:numId w:val="26"/>
      </w:numPr>
      <w:ind w:left="714" w:hanging="357"/>
    </w:pPr>
    <w:rPr>
      <w:b/>
      <w:color w:val="43525A"/>
      <w:sz w:val="20"/>
      <w:szCs w:val="20"/>
    </w:rPr>
  </w:style>
  <w:style w:type="paragraph" w:customStyle="1" w:styleId="Felsorols1nmhh">
    <w:name w:val="Felsorolás1_nmhh"/>
    <w:basedOn w:val="Listaszerbekezds"/>
    <w:link w:val="Felsorols1nmhhChar"/>
    <w:qFormat/>
    <w:pPr>
      <w:numPr>
        <w:numId w:val="28"/>
      </w:numPr>
      <w:ind w:left="357" w:hanging="357"/>
      <w:contextualSpacing w:val="0"/>
    </w:pPr>
    <w:rPr>
      <w:b/>
      <w:color w:val="43525A"/>
      <w:sz w:val="20"/>
      <w:szCs w:val="20"/>
    </w:rPr>
  </w:style>
  <w:style w:type="character" w:customStyle="1" w:styleId="ListaszerbekezdsChar">
    <w:name w:val="Listaszerű bekezdés Char"/>
    <w:basedOn w:val="Bekezdsalapbettpusa"/>
    <w:link w:val="Listaszerbekezds"/>
    <w:uiPriority w:val="34"/>
  </w:style>
  <w:style w:type="character" w:customStyle="1" w:styleId="FelsorolsnmhhChar">
    <w:name w:val="Felsorolás_nmhh Char"/>
    <w:basedOn w:val="ListaszerbekezdsChar"/>
    <w:link w:val="Felsorolsnmhh"/>
    <w:rPr>
      <w:b/>
      <w:color w:val="43525A"/>
      <w:sz w:val="20"/>
      <w:szCs w:val="20"/>
    </w:rPr>
  </w:style>
  <w:style w:type="character" w:customStyle="1" w:styleId="Cmsor5Char">
    <w:name w:val="Címsor 5 Char"/>
    <w:basedOn w:val="Bekezdsalapbettpusa"/>
    <w:link w:val="Cmsor5"/>
    <w:uiPriority w:val="9"/>
    <w:semiHidden/>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unhideWhenUsed/>
    <w:qFormat/>
    <w:pPr>
      <w:spacing w:line="240" w:lineRule="auto"/>
    </w:pPr>
    <w:rPr>
      <w:b/>
      <w:bCs/>
      <w:color w:val="4F81BD" w:themeColor="accent1"/>
      <w:sz w:val="18"/>
      <w:szCs w:val="18"/>
    </w:rPr>
  </w:style>
  <w:style w:type="paragraph" w:customStyle="1" w:styleId="Felsorols2nmhh">
    <w:name w:val="Felsorolás2_nmhh"/>
    <w:basedOn w:val="Listaszerbekezds"/>
    <w:link w:val="Felsorols2nmhhChar"/>
    <w:qFormat/>
    <w:pPr>
      <w:numPr>
        <w:numId w:val="27"/>
      </w:numPr>
      <w:ind w:left="357" w:hanging="357"/>
    </w:pPr>
    <w:rPr>
      <w:b/>
      <w:color w:val="43525A"/>
      <w:sz w:val="20"/>
      <w:szCs w:val="20"/>
    </w:rPr>
  </w:style>
  <w:style w:type="character" w:customStyle="1" w:styleId="Felsorols1nmhhChar">
    <w:name w:val="Felsorolás1_nmhh Char"/>
    <w:basedOn w:val="ListaszerbekezdsChar"/>
    <w:link w:val="Felsorols1nmhh"/>
    <w:rPr>
      <w:b/>
      <w:color w:val="43525A"/>
      <w:sz w:val="20"/>
      <w:szCs w:val="20"/>
    </w:rPr>
  </w:style>
  <w:style w:type="paragraph" w:customStyle="1" w:styleId="Lista1nmhh">
    <w:name w:val="Lista1_nmhh"/>
    <w:basedOn w:val="Listaszerbekezds"/>
    <w:link w:val="Lista1nmhhChar"/>
    <w:qFormat/>
    <w:pPr>
      <w:numPr>
        <w:numId w:val="30"/>
      </w:numPr>
      <w:spacing w:after="0"/>
      <w:ind w:left="714" w:hanging="357"/>
    </w:pPr>
    <w:rPr>
      <w:color w:val="43525A"/>
      <w:sz w:val="20"/>
      <w:szCs w:val="20"/>
    </w:rPr>
  </w:style>
  <w:style w:type="character" w:customStyle="1" w:styleId="Felsorols2nmhhChar">
    <w:name w:val="Felsorolás2_nmhh Char"/>
    <w:basedOn w:val="ListaszerbekezdsChar"/>
    <w:link w:val="Felsorols2nmhh"/>
    <w:rPr>
      <w:b/>
      <w:color w:val="43525A"/>
      <w:sz w:val="20"/>
      <w:szCs w:val="20"/>
    </w:rPr>
  </w:style>
  <w:style w:type="paragraph" w:customStyle="1" w:styleId="Lista2nmhh">
    <w:name w:val="Lista2_nmhh"/>
    <w:basedOn w:val="Listaszerbekezds"/>
    <w:link w:val="Lista2nmhhChar"/>
    <w:qFormat/>
    <w:pPr>
      <w:numPr>
        <w:numId w:val="31"/>
      </w:numPr>
      <w:spacing w:after="0"/>
    </w:pPr>
    <w:rPr>
      <w:color w:val="43525A"/>
      <w:sz w:val="20"/>
      <w:szCs w:val="20"/>
    </w:rPr>
  </w:style>
  <w:style w:type="character" w:customStyle="1" w:styleId="Lista1nmhhChar">
    <w:name w:val="Lista1_nmhh Char"/>
    <w:basedOn w:val="ListaszerbekezdsChar"/>
    <w:link w:val="Lista1nmhh"/>
    <w:rPr>
      <w:color w:val="43525A"/>
      <w:sz w:val="20"/>
      <w:szCs w:val="20"/>
    </w:rPr>
  </w:style>
  <w:style w:type="paragraph" w:customStyle="1" w:styleId="Cmsorszmozatlannmhh">
    <w:name w:val="Címsor_számozatlan_nmhh"/>
    <w:basedOn w:val="Norml"/>
    <w:next w:val="Behzottbekezdsnmhh"/>
    <w:link w:val="CmsorszmozatlannmhhChar"/>
    <w:qFormat/>
    <w:pPr>
      <w:pageBreakBefore/>
      <w:tabs>
        <w:tab w:val="left" w:pos="6564"/>
      </w:tabs>
      <w:spacing w:after="240"/>
      <w:jc w:val="left"/>
    </w:pPr>
    <w:rPr>
      <w:rFonts w:asciiTheme="majorHAnsi" w:hAnsiTheme="majorHAnsi" w:cstheme="majorHAnsi"/>
      <w:b/>
      <w:color w:val="43525A"/>
      <w:sz w:val="36"/>
      <w:szCs w:val="36"/>
    </w:rPr>
  </w:style>
  <w:style w:type="character" w:customStyle="1" w:styleId="Lista2nmhhChar">
    <w:name w:val="Lista2_nmhh Char"/>
    <w:basedOn w:val="ListaszerbekezdsChar"/>
    <w:link w:val="Lista2nmhh"/>
    <w:rPr>
      <w:color w:val="43525A"/>
      <w:sz w:val="20"/>
      <w:szCs w:val="20"/>
    </w:rPr>
  </w:style>
  <w:style w:type="paragraph" w:customStyle="1" w:styleId="Cmsor1szmozottnmhh">
    <w:name w:val="Címsor1_számozott_nmhh"/>
    <w:basedOn w:val="Listaszerbekezds"/>
    <w:next w:val="Behzottbekezdsnmhh"/>
    <w:link w:val="Cmsor1szmozottnmhhChar"/>
    <w:qFormat/>
    <w:pPr>
      <w:pageBreakBefore/>
      <w:numPr>
        <w:numId w:val="29"/>
      </w:numPr>
      <w:spacing w:after="240"/>
      <w:contextualSpacing w:val="0"/>
      <w:jc w:val="left"/>
      <w:outlineLvl w:val="0"/>
    </w:pPr>
    <w:rPr>
      <w:rFonts w:asciiTheme="majorHAnsi" w:hAnsiTheme="majorHAnsi" w:cstheme="majorHAnsi"/>
      <w:b/>
      <w:color w:val="43525A"/>
      <w:sz w:val="36"/>
      <w:szCs w:val="36"/>
    </w:rPr>
  </w:style>
  <w:style w:type="character" w:customStyle="1" w:styleId="CmsorszmozatlannmhhChar">
    <w:name w:val="Címsor_számozatlan_nmhh Char"/>
    <w:basedOn w:val="Bekezdsalapbettpusa"/>
    <w:link w:val="Cmsorszmozatlannmhh"/>
    <w:rPr>
      <w:rFonts w:asciiTheme="majorHAnsi" w:hAnsiTheme="majorHAnsi" w:cstheme="majorHAnsi"/>
      <w:b/>
      <w:color w:val="43525A"/>
      <w:sz w:val="36"/>
      <w:szCs w:val="36"/>
    </w:rPr>
  </w:style>
  <w:style w:type="paragraph" w:customStyle="1" w:styleId="Cmsor2szmozottnmhh">
    <w:name w:val="Címsor2_számozott_nmhh"/>
    <w:basedOn w:val="Listaszerbekezds"/>
    <w:next w:val="Behzottbekezdsnmhh"/>
    <w:link w:val="Cmsor2szmozottnmhhChar"/>
    <w:qFormat/>
    <w:pPr>
      <w:numPr>
        <w:ilvl w:val="1"/>
        <w:numId w:val="29"/>
      </w:numPr>
      <w:spacing w:after="240"/>
      <w:contextualSpacing w:val="0"/>
      <w:jc w:val="left"/>
      <w:outlineLvl w:val="1"/>
    </w:pPr>
    <w:rPr>
      <w:rFonts w:asciiTheme="majorHAnsi" w:hAnsiTheme="majorHAnsi" w:cstheme="majorHAnsi"/>
      <w:b/>
      <w:color w:val="43525A"/>
      <w:sz w:val="32"/>
      <w:szCs w:val="32"/>
    </w:rPr>
  </w:style>
  <w:style w:type="character" w:customStyle="1" w:styleId="Cmsor1szmozottnmhhChar">
    <w:name w:val="Címsor1_számozott_nmhh Char"/>
    <w:basedOn w:val="ListaszerbekezdsChar"/>
    <w:link w:val="Cmsor1szmozottnmhh"/>
    <w:rPr>
      <w:rFonts w:asciiTheme="majorHAnsi" w:hAnsiTheme="majorHAnsi" w:cstheme="majorHAnsi"/>
      <w:b/>
      <w:color w:val="43525A"/>
      <w:sz w:val="36"/>
      <w:szCs w:val="36"/>
    </w:rPr>
  </w:style>
  <w:style w:type="paragraph" w:customStyle="1" w:styleId="Cmsor3szmozottnmhh">
    <w:name w:val="Címsor3_számozott_nmhh"/>
    <w:basedOn w:val="Listaszerbekezds"/>
    <w:next w:val="Behzottbekezdsnmhh"/>
    <w:link w:val="Cmsor3szmozottnmhhChar"/>
    <w:qFormat/>
    <w:pPr>
      <w:numPr>
        <w:ilvl w:val="2"/>
        <w:numId w:val="29"/>
      </w:numPr>
      <w:spacing w:after="240"/>
      <w:contextualSpacing w:val="0"/>
      <w:jc w:val="left"/>
      <w:outlineLvl w:val="2"/>
    </w:pPr>
    <w:rPr>
      <w:rFonts w:asciiTheme="majorHAnsi" w:hAnsiTheme="majorHAnsi" w:cstheme="majorHAnsi"/>
      <w:b/>
      <w:color w:val="43525A"/>
      <w:sz w:val="28"/>
      <w:szCs w:val="28"/>
    </w:rPr>
  </w:style>
  <w:style w:type="character" w:customStyle="1" w:styleId="Cmsor2szmozottnmhhChar">
    <w:name w:val="Címsor2_számozott_nmhh Char"/>
    <w:basedOn w:val="ListaszerbekezdsChar"/>
    <w:link w:val="Cmsor2szmozottnmhh"/>
    <w:rPr>
      <w:rFonts w:asciiTheme="majorHAnsi" w:hAnsiTheme="majorHAnsi" w:cstheme="majorHAnsi"/>
      <w:b/>
      <w:color w:val="43525A"/>
      <w:sz w:val="32"/>
      <w:szCs w:val="32"/>
    </w:rPr>
  </w:style>
  <w:style w:type="paragraph" w:customStyle="1" w:styleId="Cmsor4szmozottnmhh">
    <w:name w:val="Címsor4_számozott_nmhh"/>
    <w:basedOn w:val="Listaszerbekezds"/>
    <w:next w:val="Behzottbekezdsnmhh"/>
    <w:link w:val="Cmsor4szmozottnmhhChar"/>
    <w:qFormat/>
    <w:pPr>
      <w:numPr>
        <w:ilvl w:val="3"/>
        <w:numId w:val="29"/>
      </w:numPr>
      <w:spacing w:after="240"/>
      <w:contextualSpacing w:val="0"/>
      <w:jc w:val="left"/>
      <w:outlineLvl w:val="3"/>
    </w:pPr>
    <w:rPr>
      <w:rFonts w:asciiTheme="majorHAnsi" w:hAnsiTheme="majorHAnsi" w:cstheme="majorHAnsi"/>
      <w:b/>
      <w:color w:val="43525A"/>
      <w:sz w:val="24"/>
      <w:szCs w:val="24"/>
    </w:rPr>
  </w:style>
  <w:style w:type="character" w:customStyle="1" w:styleId="Cmsor3szmozottnmhhChar">
    <w:name w:val="Címsor3_számozott_nmhh Char"/>
    <w:basedOn w:val="ListaszerbekezdsChar"/>
    <w:link w:val="Cmsor3szmozottnmhh"/>
    <w:rPr>
      <w:rFonts w:asciiTheme="majorHAnsi" w:hAnsiTheme="majorHAnsi" w:cstheme="majorHAnsi"/>
      <w:b/>
      <w:color w:val="43525A"/>
      <w:sz w:val="28"/>
      <w:szCs w:val="28"/>
    </w:rPr>
  </w:style>
  <w:style w:type="paragraph" w:customStyle="1" w:styleId="Irodalomjegyzkfelsorolsnmhh">
    <w:name w:val="Irodalomjegyzék_felsorolás_nmhh"/>
    <w:basedOn w:val="Bekezdsnmhh"/>
    <w:link w:val="IrodalomjegyzkfelsorolsnmhhChar"/>
    <w:qFormat/>
    <w:pPr>
      <w:numPr>
        <w:numId w:val="32"/>
      </w:numPr>
      <w:jc w:val="left"/>
    </w:pPr>
    <w:rPr>
      <w:color w:val="43525A"/>
    </w:rPr>
  </w:style>
  <w:style w:type="character" w:customStyle="1" w:styleId="Cmsor4szmozottnmhhChar">
    <w:name w:val="Címsor4_számozott_nmhh Char"/>
    <w:basedOn w:val="ListaszerbekezdsChar"/>
    <w:link w:val="Cmsor4szmozottnmhh"/>
    <w:rPr>
      <w:rFonts w:asciiTheme="majorHAnsi" w:hAnsiTheme="majorHAnsi" w:cstheme="majorHAnsi"/>
      <w:b/>
      <w:color w:val="43525A"/>
      <w:sz w:val="24"/>
      <w:szCs w:val="24"/>
    </w:rPr>
  </w:style>
  <w:style w:type="paragraph" w:styleId="TJ1">
    <w:name w:val="toc 1"/>
    <w:basedOn w:val="Norml"/>
    <w:next w:val="Norml"/>
    <w:autoRedefine/>
    <w:uiPriority w:val="39"/>
    <w:unhideWhenUsed/>
    <w:pPr>
      <w:spacing w:after="100"/>
    </w:pPr>
  </w:style>
  <w:style w:type="character" w:customStyle="1" w:styleId="IrodalomjegyzkfelsorolsnmhhChar">
    <w:name w:val="Irodalomjegyzék_felsorolás_nmhh Char"/>
    <w:basedOn w:val="BekezdsnmhhChar"/>
    <w:link w:val="Irodalomjegyzkfelsorolsnmhh"/>
    <w:rPr>
      <w:color w:val="43525A"/>
      <w:sz w:val="20"/>
      <w:szCs w:val="20"/>
    </w:rPr>
  </w:style>
  <w:style w:type="character" w:customStyle="1" w:styleId="Cmsor2Char">
    <w:name w:val="Címsor 2 Char"/>
    <w:aliases w:val="ECC Heading 2 Char"/>
    <w:basedOn w:val="Bekezdsalapbettpusa"/>
    <w:link w:val="Cmsor2"/>
    <w:uiPriority w:val="9"/>
    <w:semiHidden/>
    <w:rPr>
      <w:rFonts w:asciiTheme="majorHAnsi" w:eastAsiaTheme="majorEastAsia" w:hAnsiTheme="majorHAnsi" w:cstheme="majorBidi"/>
      <w:b/>
      <w:bCs/>
      <w:color w:val="666666" w:themeColor="text2" w:themeTint="99"/>
      <w:sz w:val="28"/>
      <w:szCs w:val="26"/>
    </w:rPr>
  </w:style>
  <w:style w:type="character" w:customStyle="1" w:styleId="Cmsor3Char">
    <w:name w:val="Címsor 3 Char"/>
    <w:aliases w:val="ECC Heading 3 Char"/>
    <w:basedOn w:val="Bekezdsalapbettpusa"/>
    <w:link w:val="Cmsor3"/>
    <w:uiPriority w:val="9"/>
    <w:semiHidden/>
    <w:rPr>
      <w:rFonts w:asciiTheme="majorHAnsi" w:eastAsiaTheme="majorEastAsia" w:hAnsiTheme="majorHAnsi" w:cstheme="majorBidi"/>
      <w:b/>
      <w:bCs/>
      <w:color w:val="999999" w:themeColor="text2" w:themeTint="66"/>
      <w:sz w:val="24"/>
    </w:rPr>
  </w:style>
  <w:style w:type="character" w:customStyle="1" w:styleId="Cmsor4Char">
    <w:name w:val="Címsor 4 Char"/>
    <w:aliases w:val="ECC Heading 4 Char"/>
    <w:basedOn w:val="Bekezdsalapbettpusa"/>
    <w:link w:val="Cmsor4"/>
    <w:uiPriority w:val="9"/>
    <w:semiHidden/>
    <w:rPr>
      <w:rFonts w:asciiTheme="majorHAnsi" w:eastAsiaTheme="majorEastAsia" w:hAnsiTheme="majorHAnsi" w:cstheme="majorBidi"/>
      <w:b/>
      <w:bCs/>
      <w:iCs/>
      <w:color w:val="CCCCCC" w:themeColor="text2" w:themeTint="33"/>
    </w:rPr>
  </w:style>
  <w:style w:type="paragraph" w:styleId="TJ2">
    <w:name w:val="toc 2"/>
    <w:basedOn w:val="Norml"/>
    <w:next w:val="Norml"/>
    <w:autoRedefine/>
    <w:uiPriority w:val="39"/>
    <w:unhideWhenUsed/>
    <w:pPr>
      <w:spacing w:after="100"/>
      <w:ind w:left="220"/>
    </w:pPr>
  </w:style>
  <w:style w:type="paragraph" w:styleId="TJ3">
    <w:name w:val="toc 3"/>
    <w:basedOn w:val="Norml"/>
    <w:next w:val="Norml"/>
    <w:autoRedefine/>
    <w:uiPriority w:val="39"/>
    <w:unhideWhenUsed/>
    <w:pPr>
      <w:spacing w:after="100"/>
      <w:ind w:left="440"/>
    </w:pPr>
  </w:style>
  <w:style w:type="paragraph" w:customStyle="1" w:styleId="BasicParagraph">
    <w:name w:val="[Basic Paragraph]"/>
    <w:basedOn w:val="Norml"/>
    <w:uiPriority w:val="99"/>
    <w:pPr>
      <w:autoSpaceDE w:val="0"/>
      <w:autoSpaceDN w:val="0"/>
      <w:adjustRightInd w:val="0"/>
      <w:spacing w:after="0" w:line="288" w:lineRule="auto"/>
      <w:jc w:val="left"/>
      <w:textAlignment w:val="center"/>
    </w:pPr>
    <w:rPr>
      <w:rFonts w:ascii="Minion Pro" w:hAnsi="Minion Pro" w:cs="Minion Pro"/>
      <w:color w:val="000000"/>
      <w:sz w:val="24"/>
      <w:szCs w:val="24"/>
      <w:lang w:val="en-GB"/>
    </w:rPr>
  </w:style>
  <w:style w:type="paragraph" w:customStyle="1" w:styleId="Style2">
    <w:name w:val="Style2"/>
    <w:basedOn w:val="Norml"/>
    <w:pPr>
      <w:spacing w:after="240" w:line="720" w:lineRule="exact"/>
      <w:jc w:val="left"/>
    </w:pPr>
    <w:rPr>
      <w:rFonts w:ascii="Arial" w:hAnsi="Arial" w:cstheme="minorBidi"/>
      <w:b/>
      <w:color w:val="911E6C"/>
      <w:sz w:val="60"/>
      <w:szCs w:val="60"/>
    </w:rPr>
  </w:style>
  <w:style w:type="paragraph" w:customStyle="1" w:styleId="Style3">
    <w:name w:val="Style3"/>
    <w:basedOn w:val="Norml"/>
    <w:pPr>
      <w:spacing w:after="160" w:line="440" w:lineRule="exact"/>
      <w:jc w:val="left"/>
    </w:pPr>
    <w:rPr>
      <w:rFonts w:ascii="Arial" w:hAnsi="Arial" w:cstheme="minorBidi"/>
      <w:color w:val="465155"/>
      <w:sz w:val="36"/>
      <w:szCs w:val="36"/>
    </w:rPr>
  </w:style>
  <w:style w:type="table" w:styleId="Rcsostblzat">
    <w:name w:val="Table Grid"/>
    <w:basedOn w:val="Norml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Pr>
      <w:color w:val="808080"/>
    </w:rPr>
  </w:style>
  <w:style w:type="character" w:styleId="Hiperhivatkozs">
    <w:name w:val="Hyperlink"/>
    <w:basedOn w:val="Bekezdsalapbettpusa"/>
    <w:uiPriority w:val="99"/>
    <w:unhideWhenUsed/>
    <w:rPr>
      <w:color w:val="0000FF" w:themeColor="hyperlink"/>
      <w:u w:val="single"/>
    </w:r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table" w:styleId="Tblzatrcsosvilgos">
    <w:name w:val="Grid Table Light"/>
    <w:basedOn w:val="Normltblza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bjegyzetszveg">
    <w:name w:val="footnote text"/>
    <w:aliases w:val="Char,Footnote text,Footnote Text Char Char Char Char,Footnote Text Char Char,Footnote Text Char Char Char Char Char,Footnote Text Char Char Char Char Char Char Char Char,Footnote Text Char Char Char,Footnote Text Char1,Char1 Char, Char"/>
    <w:basedOn w:val="Norml"/>
    <w:link w:val="LbjegyzetszvegChar"/>
    <w:unhideWhenUsed/>
    <w:qFormat/>
    <w:rsid w:val="007B2341"/>
    <w:pPr>
      <w:spacing w:after="0" w:line="240" w:lineRule="auto"/>
    </w:pPr>
    <w:rPr>
      <w:rFonts w:ascii="Arial" w:eastAsia="Times New Roman" w:hAnsi="Arial" w:cs="Times New Roman"/>
      <w:sz w:val="20"/>
      <w:szCs w:val="20"/>
    </w:rPr>
  </w:style>
  <w:style w:type="character" w:customStyle="1" w:styleId="LbjegyzetszvegChar">
    <w:name w:val="Lábjegyzetszöveg Char"/>
    <w:aliases w:val="Char Char,Footnote text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7B2341"/>
    <w:rPr>
      <w:rFonts w:ascii="Arial" w:eastAsia="Times New Roman" w:hAnsi="Arial" w:cs="Times New Roman"/>
      <w:sz w:val="20"/>
      <w:szCs w:val="20"/>
    </w:rPr>
  </w:style>
  <w:style w:type="character" w:styleId="Lbjegyzet-hivatkozs">
    <w:name w:val="footnote reference"/>
    <w:aliases w:val="Footnote symbol,Footnote,Nota"/>
    <w:basedOn w:val="Bekezdsalapbettpusa"/>
    <w:uiPriority w:val="99"/>
    <w:unhideWhenUsed/>
    <w:rsid w:val="007B2341"/>
    <w:rPr>
      <w:vertAlign w:val="superscript"/>
    </w:rPr>
  </w:style>
  <w:style w:type="table" w:customStyle="1" w:styleId="NormalTablePHPDOCX">
    <w:name w:val="Normal Table PHPDOCX"/>
    <w:uiPriority w:val="99"/>
    <w:semiHidden/>
    <w:unhideWhenUsed/>
    <w:qFormat/>
    <w:rsid w:val="00041388"/>
    <w:rPr>
      <w:rFonts w:cstheme="minorBidi"/>
      <w:lang w:val="en-US"/>
    </w:rPr>
    <w:tblPr>
      <w:tblInd w:w="0" w:type="dxa"/>
      <w:tblCellMar>
        <w:top w:w="0" w:type="dxa"/>
        <w:left w:w="108" w:type="dxa"/>
        <w:bottom w:w="0" w:type="dxa"/>
        <w:right w:w="108" w:type="dxa"/>
      </w:tblCellMar>
    </w:tblPr>
  </w:style>
  <w:style w:type="paragraph" w:customStyle="1" w:styleId="fnot1">
    <w:name w:val="fnot1"/>
    <w:basedOn w:val="Norml"/>
    <w:qFormat/>
    <w:rsid w:val="00F54787"/>
    <w:pPr>
      <w:spacing w:after="0" w:line="180" w:lineRule="atLeast"/>
      <w:jc w:val="left"/>
    </w:pPr>
    <w:rPr>
      <w:rFonts w:ascii="Arial" w:eastAsia="Times New Roman" w:hAnsi="Arial" w:cs="Times New Roman"/>
      <w:sz w:val="14"/>
      <w:szCs w:val="20"/>
    </w:rPr>
  </w:style>
  <w:style w:type="paragraph" w:customStyle="1" w:styleId="Hanging035">
    <w:name w:val="Hanging0_35"/>
    <w:basedOn w:val="Norml"/>
    <w:rsid w:val="00F54787"/>
    <w:pPr>
      <w:spacing w:after="0" w:line="240" w:lineRule="auto"/>
      <w:ind w:left="198" w:hanging="198"/>
      <w:jc w:val="left"/>
    </w:pPr>
    <w:rPr>
      <w:rFonts w:ascii="Arial" w:eastAsia="Times New Roman" w:hAnsi="Arial" w:cs="Times New Roman"/>
      <w:sz w:val="14"/>
      <w:szCs w:val="20"/>
      <w:lang w:eastAsia="hu-HU"/>
    </w:rPr>
  </w:style>
  <w:style w:type="character" w:styleId="Jegyzethivatkozs">
    <w:name w:val="annotation reference"/>
    <w:basedOn w:val="Bekezdsalapbettpusa"/>
    <w:uiPriority w:val="99"/>
    <w:unhideWhenUsed/>
    <w:rsid w:val="00F54787"/>
    <w:rPr>
      <w:sz w:val="16"/>
      <w:szCs w:val="16"/>
    </w:rPr>
  </w:style>
  <w:style w:type="paragraph" w:styleId="Jegyzetszveg">
    <w:name w:val="annotation text"/>
    <w:basedOn w:val="Norml"/>
    <w:link w:val="JegyzetszvegChar"/>
    <w:unhideWhenUsed/>
    <w:rsid w:val="00F54787"/>
    <w:pPr>
      <w:spacing w:line="240" w:lineRule="auto"/>
    </w:pPr>
    <w:rPr>
      <w:sz w:val="20"/>
      <w:szCs w:val="20"/>
    </w:rPr>
  </w:style>
  <w:style w:type="character" w:customStyle="1" w:styleId="JegyzetszvegChar">
    <w:name w:val="Jegyzetszöveg Char"/>
    <w:basedOn w:val="Bekezdsalapbettpusa"/>
    <w:link w:val="Jegyzetszveg"/>
    <w:rsid w:val="00F54787"/>
    <w:rPr>
      <w:sz w:val="20"/>
      <w:szCs w:val="20"/>
    </w:rPr>
  </w:style>
  <w:style w:type="paragraph" w:styleId="Megjegyzstrgya">
    <w:name w:val="annotation subject"/>
    <w:basedOn w:val="Jegyzetszveg"/>
    <w:next w:val="Jegyzetszveg"/>
    <w:link w:val="MegjegyzstrgyaChar"/>
    <w:uiPriority w:val="99"/>
    <w:semiHidden/>
    <w:unhideWhenUsed/>
    <w:rsid w:val="00C56362"/>
    <w:rPr>
      <w:b/>
      <w:bCs/>
    </w:rPr>
  </w:style>
  <w:style w:type="character" w:customStyle="1" w:styleId="MegjegyzstrgyaChar">
    <w:name w:val="Megjegyzés tárgya Char"/>
    <w:basedOn w:val="JegyzetszvegChar"/>
    <w:link w:val="Megjegyzstrgya"/>
    <w:uiPriority w:val="99"/>
    <w:semiHidden/>
    <w:rsid w:val="00C56362"/>
    <w:rPr>
      <w:b/>
      <w:bCs/>
      <w:sz w:val="20"/>
      <w:szCs w:val="20"/>
    </w:rPr>
  </w:style>
  <w:style w:type="paragraph" w:customStyle="1" w:styleId="fnot3">
    <w:name w:val="fnot3"/>
    <w:basedOn w:val="fnot1"/>
    <w:rsid w:val="007B55E4"/>
    <w:pPr>
      <w:ind w:left="2007"/>
    </w:pPr>
  </w:style>
  <w:style w:type="character" w:customStyle="1" w:styleId="fr">
    <w:name w:val="fr"/>
    <w:basedOn w:val="Bekezdsalapbettpusa"/>
    <w:rsid w:val="007B55E4"/>
    <w:rPr>
      <w:b/>
    </w:rPr>
  </w:style>
  <w:style w:type="paragraph" w:customStyle="1" w:styleId="fr1or2">
    <w:name w:val="fr1or2"/>
    <w:basedOn w:val="serv1"/>
    <w:rsid w:val="007B55E4"/>
    <w:rPr>
      <w:b/>
    </w:rPr>
  </w:style>
  <w:style w:type="paragraph" w:customStyle="1" w:styleId="frserv3">
    <w:name w:val="frserv3"/>
    <w:basedOn w:val="fnot1"/>
    <w:rsid w:val="007B55E4"/>
    <w:pPr>
      <w:tabs>
        <w:tab w:val="left" w:pos="2007"/>
      </w:tabs>
      <w:ind w:left="2121" w:hanging="2121"/>
    </w:pPr>
  </w:style>
  <w:style w:type="paragraph" w:customStyle="1" w:styleId="serv1">
    <w:name w:val="serv1"/>
    <w:basedOn w:val="fnot1"/>
    <w:rsid w:val="007B55E4"/>
    <w:pPr>
      <w:ind w:left="113" w:hanging="113"/>
    </w:pPr>
  </w:style>
  <w:style w:type="paragraph" w:customStyle="1" w:styleId="serv2">
    <w:name w:val="serv2"/>
    <w:basedOn w:val="Norml"/>
    <w:rsid w:val="007B55E4"/>
    <w:pPr>
      <w:spacing w:after="0" w:line="180" w:lineRule="atLeast"/>
      <w:ind w:left="567" w:hanging="113"/>
      <w:jc w:val="left"/>
    </w:pPr>
    <w:rPr>
      <w:rFonts w:ascii="Arial" w:eastAsia="Times New Roman" w:hAnsi="Arial" w:cs="Times New Roman"/>
      <w:sz w:val="14"/>
      <w:szCs w:val="20"/>
    </w:rPr>
  </w:style>
  <w:style w:type="paragraph" w:customStyle="1" w:styleId="serv3">
    <w:name w:val="serv3"/>
    <w:basedOn w:val="fnot3"/>
    <w:rsid w:val="007B55E4"/>
    <w:pPr>
      <w:ind w:left="2120" w:hanging="113"/>
    </w:pPr>
  </w:style>
  <w:style w:type="paragraph" w:customStyle="1" w:styleId="frthead">
    <w:name w:val="frthead"/>
    <w:basedOn w:val="fnot1"/>
    <w:rsid w:val="007B55E4"/>
    <w:pPr>
      <w:jc w:val="center"/>
    </w:pPr>
  </w:style>
  <w:style w:type="paragraph" w:styleId="Szvegtrzs">
    <w:name w:val="Body Text"/>
    <w:basedOn w:val="Norml"/>
    <w:link w:val="SzvegtrzsChar"/>
    <w:uiPriority w:val="99"/>
    <w:rsid w:val="007B55E4"/>
    <w:pPr>
      <w:spacing w:after="0" w:line="240" w:lineRule="auto"/>
    </w:pPr>
    <w:rPr>
      <w:rFonts w:ascii="Arial" w:eastAsia="Times New Roman" w:hAnsi="Arial" w:cs="Times New Roman"/>
      <w:sz w:val="24"/>
      <w:szCs w:val="20"/>
    </w:rPr>
  </w:style>
  <w:style w:type="character" w:customStyle="1" w:styleId="SzvegtrzsChar">
    <w:name w:val="Szövegtörzs Char"/>
    <w:basedOn w:val="Bekezdsalapbettpusa"/>
    <w:link w:val="Szvegtrzs"/>
    <w:uiPriority w:val="99"/>
    <w:rsid w:val="007B55E4"/>
    <w:rPr>
      <w:rFonts w:ascii="Arial" w:eastAsia="Times New Roman" w:hAnsi="Arial" w:cs="Times New Roman"/>
      <w:sz w:val="24"/>
      <w:szCs w:val="20"/>
    </w:rPr>
  </w:style>
  <w:style w:type="paragraph" w:customStyle="1" w:styleId="cf0">
    <w:name w:val="cf0"/>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Szvegtrzsbehzssal">
    <w:name w:val="Body Text Indent"/>
    <w:basedOn w:val="Norml"/>
    <w:link w:val="SzvegtrzsbehzssalChar"/>
    <w:rsid w:val="007B55E4"/>
    <w:pPr>
      <w:spacing w:line="240" w:lineRule="auto"/>
      <w:ind w:left="283"/>
      <w:jc w:val="left"/>
    </w:pPr>
    <w:rPr>
      <w:rFonts w:ascii="Times New Roman" w:eastAsia="Times New Roman" w:hAnsi="Times New Roman" w:cs="Times New Roman"/>
      <w:sz w:val="24"/>
      <w:szCs w:val="24"/>
      <w:lang w:val="en-US"/>
    </w:rPr>
  </w:style>
  <w:style w:type="character" w:customStyle="1" w:styleId="SzvegtrzsbehzssalChar">
    <w:name w:val="Szövegtörzs behúzással Char"/>
    <w:basedOn w:val="Bekezdsalapbettpusa"/>
    <w:link w:val="Szvegtrzsbehzssal"/>
    <w:rsid w:val="007B55E4"/>
    <w:rPr>
      <w:rFonts w:ascii="Times New Roman" w:eastAsia="Times New Roman" w:hAnsi="Times New Roman" w:cs="Times New Roman"/>
      <w:sz w:val="24"/>
      <w:szCs w:val="24"/>
      <w:lang w:val="en-US"/>
    </w:rPr>
  </w:style>
  <w:style w:type="character" w:styleId="Kiemels2">
    <w:name w:val="Strong"/>
    <w:basedOn w:val="Bekezdsalapbettpusa"/>
    <w:uiPriority w:val="22"/>
    <w:qFormat/>
    <w:rsid w:val="007B55E4"/>
    <w:rPr>
      <w:b/>
      <w:bCs/>
    </w:rPr>
  </w:style>
  <w:style w:type="character" w:customStyle="1" w:styleId="apple-converted-space">
    <w:name w:val="apple-converted-space"/>
    <w:basedOn w:val="Bekezdsalapbettpusa"/>
    <w:rsid w:val="007B55E4"/>
  </w:style>
  <w:style w:type="character" w:styleId="Mrltotthiperhivatkozs">
    <w:name w:val="FollowedHyperlink"/>
    <w:basedOn w:val="Bekezdsalapbettpusa"/>
    <w:uiPriority w:val="99"/>
    <w:semiHidden/>
    <w:unhideWhenUsed/>
    <w:rsid w:val="007B55E4"/>
    <w:rPr>
      <w:color w:val="800080" w:themeColor="followedHyperlink"/>
      <w:u w:val="single"/>
    </w:rPr>
  </w:style>
  <w:style w:type="paragraph" w:customStyle="1" w:styleId="doc-ti">
    <w:name w:val="doc-ti"/>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Norml1">
    <w:name w:val="Normál1"/>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semiHidden/>
    <w:unhideWhenUsed/>
    <w:rsid w:val="007B55E4"/>
    <w:pPr>
      <w:spacing w:line="480" w:lineRule="auto"/>
    </w:pPr>
  </w:style>
  <w:style w:type="character" w:customStyle="1" w:styleId="Szvegtrzs2Char">
    <w:name w:val="Szövegtörzs 2 Char"/>
    <w:basedOn w:val="Bekezdsalapbettpusa"/>
    <w:link w:val="Szvegtrzs2"/>
    <w:uiPriority w:val="99"/>
    <w:semiHidden/>
    <w:rsid w:val="007B55E4"/>
  </w:style>
  <w:style w:type="paragraph" w:styleId="Vltozat">
    <w:name w:val="Revision"/>
    <w:hidden/>
    <w:uiPriority w:val="99"/>
    <w:semiHidden/>
    <w:rsid w:val="007B5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3110">
      <w:bodyDiv w:val="1"/>
      <w:marLeft w:val="0"/>
      <w:marRight w:val="0"/>
      <w:marTop w:val="0"/>
      <w:marBottom w:val="0"/>
      <w:divBdr>
        <w:top w:val="none" w:sz="0" w:space="0" w:color="auto"/>
        <w:left w:val="none" w:sz="0" w:space="0" w:color="auto"/>
        <w:bottom w:val="none" w:sz="0" w:space="0" w:color="auto"/>
        <w:right w:val="none" w:sz="0" w:space="0" w:color="auto"/>
      </w:divBdr>
    </w:div>
    <w:div w:id="168714103">
      <w:bodyDiv w:val="1"/>
      <w:marLeft w:val="0"/>
      <w:marRight w:val="0"/>
      <w:marTop w:val="0"/>
      <w:marBottom w:val="0"/>
      <w:divBdr>
        <w:top w:val="none" w:sz="0" w:space="0" w:color="auto"/>
        <w:left w:val="none" w:sz="0" w:space="0" w:color="auto"/>
        <w:bottom w:val="none" w:sz="0" w:space="0" w:color="auto"/>
        <w:right w:val="none" w:sz="0" w:space="0" w:color="auto"/>
      </w:divBdr>
    </w:div>
    <w:div w:id="507644432">
      <w:bodyDiv w:val="1"/>
      <w:marLeft w:val="0"/>
      <w:marRight w:val="0"/>
      <w:marTop w:val="0"/>
      <w:marBottom w:val="0"/>
      <w:divBdr>
        <w:top w:val="none" w:sz="0" w:space="0" w:color="auto"/>
        <w:left w:val="none" w:sz="0" w:space="0" w:color="auto"/>
        <w:bottom w:val="none" w:sz="0" w:space="0" w:color="auto"/>
        <w:right w:val="none" w:sz="0" w:space="0" w:color="auto"/>
      </w:divBdr>
    </w:div>
    <w:div w:id="932275150">
      <w:bodyDiv w:val="1"/>
      <w:marLeft w:val="0"/>
      <w:marRight w:val="0"/>
      <w:marTop w:val="0"/>
      <w:marBottom w:val="0"/>
      <w:divBdr>
        <w:top w:val="none" w:sz="0" w:space="0" w:color="auto"/>
        <w:left w:val="none" w:sz="0" w:space="0" w:color="auto"/>
        <w:bottom w:val="none" w:sz="0" w:space="0" w:color="auto"/>
        <w:right w:val="none" w:sz="0" w:space="0" w:color="auto"/>
      </w:divBdr>
    </w:div>
    <w:div w:id="18654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package" Target="embeddings/Microsoft_Visio_2003_2010_rajz.vsdx"/><Relationship Id="rId23" Type="http://schemas.openxmlformats.org/officeDocument/2006/relationships/image" Target="media/image9.emf"/><Relationship Id="rId10" Type="http://schemas.openxmlformats.org/officeDocument/2006/relationships/header" Target="header2.xml"/><Relationship Id="rId19" Type="http://schemas.openxmlformats.org/officeDocument/2006/relationships/header" Target="header4.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8.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strategy.ec.europa.eu/en/library/radio-spectrum-cept-mandates" TargetMode="External"/><Relationship Id="rId2" Type="http://schemas.openxmlformats.org/officeDocument/2006/relationships/hyperlink" Target="https://digital-strategy.ec.europa.eu/en/library/radio-spectrum-cept-mandates" TargetMode="External"/><Relationship Id="rId1" Type="http://schemas.openxmlformats.org/officeDocument/2006/relationships/hyperlink" Target="http://rspg-spectrum.eu/wp-content/uploads/2013/05/RPSG16-032-Opinion_5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unka\Documents\toth_laszlo\Adminisztracio\Sablonok\SGO_sablon\new_2016\NEW_SGO_sablon_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E85A2A3E904405895CBFB5452ECE0A"/>
        <w:category>
          <w:name w:val="Általános"/>
          <w:gallery w:val="placeholder"/>
        </w:category>
        <w:types>
          <w:type w:val="bbPlcHdr"/>
        </w:types>
        <w:behaviors>
          <w:behavior w:val="content"/>
        </w:behaviors>
        <w:guid w:val="{2BD52FEA-9441-461A-932D-D1FF9081592D}"/>
      </w:docPartPr>
      <w:docPartBody>
        <w:p w:rsidR="00094F06" w:rsidRDefault="004F4D83">
          <w:pPr>
            <w:pStyle w:val="A7E85A2A3E904405895CBFB5452ECE0A"/>
          </w:pPr>
          <w:r>
            <w:t>A dokumentum címének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06"/>
    <w:rsid w:val="00094F06"/>
    <w:rsid w:val="00182D69"/>
    <w:rsid w:val="00252BEA"/>
    <w:rsid w:val="00313FB4"/>
    <w:rsid w:val="003224F2"/>
    <w:rsid w:val="00336D3C"/>
    <w:rsid w:val="003D00AE"/>
    <w:rsid w:val="004B5192"/>
    <w:rsid w:val="004F4D83"/>
    <w:rsid w:val="00561292"/>
    <w:rsid w:val="00677443"/>
    <w:rsid w:val="007678A6"/>
    <w:rsid w:val="007F6F0F"/>
    <w:rsid w:val="00895F00"/>
    <w:rsid w:val="008F1181"/>
    <w:rsid w:val="008F4985"/>
    <w:rsid w:val="00956742"/>
    <w:rsid w:val="00A3703D"/>
    <w:rsid w:val="00A52DB6"/>
    <w:rsid w:val="00C00136"/>
    <w:rsid w:val="00D46749"/>
    <w:rsid w:val="00DA1BB0"/>
    <w:rsid w:val="00DB05AC"/>
    <w:rsid w:val="00E02AFC"/>
    <w:rsid w:val="00E5687B"/>
    <w:rsid w:val="00ED111A"/>
    <w:rsid w:val="00F616AA"/>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7E85A2A3E904405895CBFB5452ECE0A">
    <w:name w:val="A7E85A2A3E904405895CBFB5452ECE0A"/>
  </w:style>
  <w:style w:type="character" w:styleId="Helyrzszveg">
    <w:name w:val="Placeholder Text"/>
    <w:basedOn w:val="Bekezdsalapbettpusa"/>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Egyéni 1. séma">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M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5FDEF-5CB5-44E8-96CF-94E18BCE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NEW_SGO_sablon_2017</Template>
  <TotalTime>12</TotalTime>
  <Pages>18</Pages>
  <Words>4743</Words>
  <Characters>32728</Characters>
  <Application>Microsoft Office Word</Application>
  <DocSecurity>0</DocSecurity>
  <Lines>272</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dc:creator>
  <cp:keywords/>
  <dc:description/>
  <cp:lastModifiedBy>Ulelay Emília dr.</cp:lastModifiedBy>
  <cp:revision>3</cp:revision>
  <dcterms:created xsi:type="dcterms:W3CDTF">2022-05-11T13:22:00Z</dcterms:created>
  <dcterms:modified xsi:type="dcterms:W3CDTF">2022-05-11T13:33:00Z</dcterms:modified>
</cp:coreProperties>
</file>