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HAnsi"/>
          <w:b w:val="0"/>
          <w:color w:val="0556A5"/>
          <w:spacing w:val="0"/>
          <w:kern w:val="0"/>
          <w:sz w:val="22"/>
          <w:szCs w:val="22"/>
        </w:rPr>
        <w:id w:val="7557074"/>
        <w:docPartObj>
          <w:docPartGallery w:val="Cover Pages"/>
          <w:docPartUnique/>
        </w:docPartObj>
      </w:sdtPr>
      <w:sdtEndPr>
        <w:rPr>
          <w:bCs/>
          <w:color w:val="auto"/>
        </w:rPr>
      </w:sdtEndPr>
      <w:sdtContent>
        <w:p w14:paraId="030D5133" w14:textId="767E8855" w:rsidR="003A0206" w:rsidRPr="00681FE6" w:rsidRDefault="00657D6C" w:rsidP="001E50C0">
          <w:pPr>
            <w:pStyle w:val="Cmnmhh"/>
            <w:jc w:val="center"/>
            <w:rPr>
              <w:color w:val="0556A5"/>
            </w:rPr>
          </w:pPr>
          <w:sdt>
            <w:sdtPr>
              <w:rPr>
                <w:color w:val="0556A5"/>
              </w:rPr>
              <w:alias w:val="Cím"/>
              <w:tag w:val="Cím"/>
              <w:id w:val="11965258"/>
            </w:sdtPr>
            <w:sdtEndPr/>
            <w:sdtContent>
              <w:sdt>
                <w:sdtPr>
                  <w:rPr>
                    <w:color w:val="0556A5"/>
                  </w:rPr>
                  <w:alias w:val="Cím"/>
                  <w:tag w:val="Cím"/>
                  <w:id w:val="27217761"/>
                </w:sdtPr>
                <w:sdtEndPr/>
                <w:sdtContent>
                  <w:bookmarkStart w:id="0" w:name="_GoBack"/>
                  <w:bookmarkEnd w:id="0"/>
                  <w:r w:rsidR="00AB1959">
                    <w:rPr>
                      <w:bCs/>
                      <w:color w:val="0556A5"/>
                      <w:lang w:val="en-GB"/>
                    </w:rPr>
                    <w:t xml:space="preserve">Band overview </w:t>
                  </w:r>
                  <w:r w:rsidR="00AB1959">
                    <w:rPr>
                      <w:b w:val="0"/>
                      <w:color w:val="0556A5"/>
                      <w:lang w:val="en-GB"/>
                    </w:rPr>
                    <w:br/>
                  </w:r>
                  <w:r w:rsidR="00AB1959">
                    <w:rPr>
                      <w:bCs/>
                      <w:color w:val="0556A5"/>
                      <w:lang w:val="en-GB"/>
                    </w:rPr>
                    <w:t>1500 MHz frequency band</w:t>
                  </w:r>
                </w:sdtContent>
              </w:sdt>
            </w:sdtContent>
          </w:sdt>
        </w:p>
        <w:p w14:paraId="30F0BD96" w14:textId="77777777" w:rsidR="003A0206" w:rsidRPr="00184A51" w:rsidRDefault="003A0206" w:rsidP="00184A51">
          <w:pPr>
            <w:pStyle w:val="Bortlapegybnmhh"/>
            <w:spacing w:before="3480"/>
            <w:rPr>
              <w:rStyle w:val="Helyrzszveg"/>
              <w:color w:val="4C5256"/>
            </w:rPr>
          </w:pPr>
          <w:r>
            <w:rPr>
              <w:rStyle w:val="Helyrzszveg"/>
              <w:noProof/>
              <w:color w:val="4C5256"/>
              <w:lang w:eastAsia="hu-HU"/>
            </w:rPr>
            <w:drawing>
              <wp:anchor distT="0" distB="0" distL="114300" distR="114300" simplePos="0" relativeHeight="251660288" behindDoc="1" locked="0" layoutInCell="1" allowOverlap="1" wp14:anchorId="435D35FC" wp14:editId="69ECD8B0">
                <wp:simplePos x="0" y="0"/>
                <wp:positionH relativeFrom="page">
                  <wp:posOffset>7175</wp:posOffset>
                </wp:positionH>
                <wp:positionV relativeFrom="page">
                  <wp:posOffset>10082151</wp:posOffset>
                </wp:positionV>
                <wp:extent cx="7545531" cy="534389"/>
                <wp:effectExtent l="19050" t="0" r="0"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levelpapir_foo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9515" cy="534670"/>
                        </a:xfrm>
                        <a:prstGeom prst="rect">
                          <a:avLst/>
                        </a:prstGeom>
                      </pic:spPr>
                    </pic:pic>
                  </a:graphicData>
                </a:graphic>
              </wp:anchor>
            </w:drawing>
          </w:r>
        </w:p>
        <w:p w14:paraId="1EA5F5D8" w14:textId="2446D4D1" w:rsidR="003A0206" w:rsidRPr="00184A51" w:rsidRDefault="00657D6C" w:rsidP="00900279">
          <w:pPr>
            <w:pStyle w:val="Bortlapegybnmhh"/>
            <w:spacing w:before="240"/>
            <w:jc w:val="center"/>
          </w:pPr>
          <w:sdt>
            <w:sdtPr>
              <w:rPr>
                <w:rStyle w:val="BortlapegybnmhhChar"/>
              </w:rPr>
              <w:alias w:val="Dátum"/>
              <w:tag w:val="Dátum"/>
              <w:id w:val="11965270"/>
              <w:date w:fullDate="2022-02-07T00:00:00Z">
                <w:dateFormat w:val="yyyy. MMMM d."/>
                <w:lid w:val="hu-HU"/>
                <w:storeMappedDataAs w:val="dateTime"/>
                <w:calendar w:val="gregorian"/>
              </w:date>
            </w:sdtPr>
            <w:sdtEndPr>
              <w:rPr>
                <w:rStyle w:val="Bekezdsalapbettpusa"/>
              </w:rPr>
            </w:sdtEndPr>
            <w:sdtContent>
              <w:r w:rsidR="00AB1959">
                <w:rPr>
                  <w:rStyle w:val="BortlapegybnmhhChar"/>
                  <w:lang w:val="en-GB"/>
                </w:rPr>
                <w:t>7 February 2022</w:t>
              </w:r>
            </w:sdtContent>
          </w:sdt>
        </w:p>
        <w:p w14:paraId="5FD51B7C" w14:textId="77777777" w:rsidR="003A0206" w:rsidRDefault="003A0206">
          <w:pPr>
            <w:spacing w:after="200"/>
            <w:jc w:val="left"/>
          </w:pPr>
          <w:r>
            <w:rPr>
              <w:b/>
              <w:bCs/>
              <w:lang w:val="en-GB"/>
            </w:rPr>
            <w:br w:type="page"/>
          </w:r>
        </w:p>
      </w:sdtContent>
    </w:sdt>
    <w:sdt>
      <w:sdtPr>
        <w:rPr>
          <w:rFonts w:asciiTheme="minorHAnsi" w:eastAsiaTheme="minorHAnsi" w:hAnsiTheme="minorHAnsi" w:cstheme="minorHAnsi"/>
          <w:b w:val="0"/>
          <w:bCs w:val="0"/>
          <w:color w:val="auto"/>
          <w:sz w:val="22"/>
          <w:szCs w:val="22"/>
        </w:rPr>
        <w:id w:val="28749728"/>
        <w:docPartObj>
          <w:docPartGallery w:val="Table of Contents"/>
          <w:docPartUnique/>
        </w:docPartObj>
      </w:sdtPr>
      <w:sdtEndPr/>
      <w:sdtContent>
        <w:p w14:paraId="0D8C50D9" w14:textId="77777777" w:rsidR="00DA31F6" w:rsidRDefault="00DA31F6" w:rsidP="00DA31F6">
          <w:pPr>
            <w:pStyle w:val="Tartalomjegyzkcmsoranmhh"/>
          </w:pPr>
          <w:r>
            <w:rPr>
              <w:lang w:val="en-GB"/>
            </w:rPr>
            <w:t>Table of contents</w:t>
          </w:r>
        </w:p>
        <w:p w14:paraId="327B2AFE" w14:textId="0F0B1A39" w:rsidR="00942147" w:rsidRDefault="00DB678B">
          <w:pPr>
            <w:pStyle w:val="TJ1"/>
            <w:tabs>
              <w:tab w:val="left" w:pos="440"/>
              <w:tab w:val="right" w:leader="dot" w:pos="9062"/>
            </w:tabs>
            <w:rPr>
              <w:rFonts w:eastAsiaTheme="minorEastAsia" w:cstheme="minorBidi"/>
              <w:noProof/>
              <w:lang w:val="en-US" w:bidi="he-IL"/>
            </w:rPr>
          </w:pPr>
          <w:r>
            <w:rPr>
              <w:lang w:val="en-GB"/>
            </w:rPr>
            <w:fldChar w:fldCharType="begin"/>
          </w:r>
          <w:r>
            <w:instrText xml:space="preserve"> TOC \o "1-3" \h \z \u </w:instrText>
          </w:r>
          <w:r>
            <w:fldChar w:fldCharType="separate"/>
          </w:r>
          <w:hyperlink w:anchor="_Toc98750567" w:history="1">
            <w:r w:rsidR="00942147" w:rsidRPr="000A06B5">
              <w:rPr>
                <w:rStyle w:val="Hiperhivatkozs"/>
                <w:noProof/>
              </w:rPr>
              <w:t>1.</w:t>
            </w:r>
            <w:r w:rsidR="00942147">
              <w:rPr>
                <w:rFonts w:eastAsiaTheme="minorEastAsia" w:cstheme="minorBidi"/>
                <w:noProof/>
                <w:lang w:val="en-US" w:bidi="he-IL"/>
              </w:rPr>
              <w:tab/>
            </w:r>
            <w:r w:rsidR="00942147" w:rsidRPr="000A06B5">
              <w:rPr>
                <w:rStyle w:val="Hiperhivatkozs"/>
                <w:bCs/>
                <w:noProof/>
                <w:lang w:val="en-GB"/>
              </w:rPr>
              <w:t>Summary</w:t>
            </w:r>
            <w:r w:rsidR="00942147">
              <w:rPr>
                <w:noProof/>
                <w:webHidden/>
              </w:rPr>
              <w:tab/>
            </w:r>
            <w:r w:rsidR="00942147">
              <w:rPr>
                <w:noProof/>
                <w:webHidden/>
              </w:rPr>
              <w:fldChar w:fldCharType="begin"/>
            </w:r>
            <w:r w:rsidR="00942147">
              <w:rPr>
                <w:noProof/>
                <w:webHidden/>
              </w:rPr>
              <w:instrText xml:space="preserve"> PAGEREF _Toc98750567 \h </w:instrText>
            </w:r>
            <w:r w:rsidR="00942147">
              <w:rPr>
                <w:noProof/>
                <w:webHidden/>
              </w:rPr>
            </w:r>
            <w:r w:rsidR="00942147">
              <w:rPr>
                <w:noProof/>
                <w:webHidden/>
              </w:rPr>
              <w:fldChar w:fldCharType="separate"/>
            </w:r>
            <w:r w:rsidR="00942147">
              <w:rPr>
                <w:noProof/>
                <w:webHidden/>
              </w:rPr>
              <w:t>3</w:t>
            </w:r>
            <w:r w:rsidR="00942147">
              <w:rPr>
                <w:noProof/>
                <w:webHidden/>
              </w:rPr>
              <w:fldChar w:fldCharType="end"/>
            </w:r>
          </w:hyperlink>
        </w:p>
        <w:p w14:paraId="3A2D31BC" w14:textId="08787ECD" w:rsidR="00942147" w:rsidRDefault="00657D6C">
          <w:pPr>
            <w:pStyle w:val="TJ1"/>
            <w:tabs>
              <w:tab w:val="left" w:pos="440"/>
              <w:tab w:val="right" w:leader="dot" w:pos="9062"/>
            </w:tabs>
            <w:rPr>
              <w:rFonts w:eastAsiaTheme="minorEastAsia" w:cstheme="minorBidi"/>
              <w:noProof/>
              <w:lang w:val="en-US" w:bidi="he-IL"/>
            </w:rPr>
          </w:pPr>
          <w:hyperlink w:anchor="_Toc98750568" w:history="1">
            <w:r w:rsidR="00942147" w:rsidRPr="000A06B5">
              <w:rPr>
                <w:rStyle w:val="Hiperhivatkozs"/>
                <w:noProof/>
              </w:rPr>
              <w:t>2.</w:t>
            </w:r>
            <w:r w:rsidR="00942147">
              <w:rPr>
                <w:rFonts w:eastAsiaTheme="minorEastAsia" w:cstheme="minorBidi"/>
                <w:noProof/>
                <w:lang w:val="en-US" w:bidi="he-IL"/>
              </w:rPr>
              <w:tab/>
            </w:r>
            <w:r w:rsidR="00942147" w:rsidRPr="000A06B5">
              <w:rPr>
                <w:rStyle w:val="Hiperhivatkozs"/>
                <w:bCs/>
                <w:noProof/>
                <w:lang w:val="en-GB"/>
              </w:rPr>
              <w:t>Introduction</w:t>
            </w:r>
            <w:r w:rsidR="00942147">
              <w:rPr>
                <w:noProof/>
                <w:webHidden/>
              </w:rPr>
              <w:tab/>
            </w:r>
            <w:r w:rsidR="00942147">
              <w:rPr>
                <w:noProof/>
                <w:webHidden/>
              </w:rPr>
              <w:fldChar w:fldCharType="begin"/>
            </w:r>
            <w:r w:rsidR="00942147">
              <w:rPr>
                <w:noProof/>
                <w:webHidden/>
              </w:rPr>
              <w:instrText xml:space="preserve"> PAGEREF _Toc98750568 \h </w:instrText>
            </w:r>
            <w:r w:rsidR="00942147">
              <w:rPr>
                <w:noProof/>
                <w:webHidden/>
              </w:rPr>
            </w:r>
            <w:r w:rsidR="00942147">
              <w:rPr>
                <w:noProof/>
                <w:webHidden/>
              </w:rPr>
              <w:fldChar w:fldCharType="separate"/>
            </w:r>
            <w:r w:rsidR="00942147">
              <w:rPr>
                <w:noProof/>
                <w:webHidden/>
              </w:rPr>
              <w:t>4</w:t>
            </w:r>
            <w:r w:rsidR="00942147">
              <w:rPr>
                <w:noProof/>
                <w:webHidden/>
              </w:rPr>
              <w:fldChar w:fldCharType="end"/>
            </w:r>
          </w:hyperlink>
        </w:p>
        <w:p w14:paraId="72D9BC81" w14:textId="331F35B3" w:rsidR="00942147" w:rsidRDefault="00657D6C">
          <w:pPr>
            <w:pStyle w:val="TJ1"/>
            <w:tabs>
              <w:tab w:val="left" w:pos="440"/>
              <w:tab w:val="right" w:leader="dot" w:pos="9062"/>
            </w:tabs>
            <w:rPr>
              <w:rFonts w:eastAsiaTheme="minorEastAsia" w:cstheme="minorBidi"/>
              <w:noProof/>
              <w:lang w:val="en-US" w:bidi="he-IL"/>
            </w:rPr>
          </w:pPr>
          <w:hyperlink w:anchor="_Toc98750569" w:history="1">
            <w:r w:rsidR="00942147" w:rsidRPr="000A06B5">
              <w:rPr>
                <w:rStyle w:val="Hiperhivatkozs"/>
                <w:noProof/>
              </w:rPr>
              <w:t>3.</w:t>
            </w:r>
            <w:r w:rsidR="00942147">
              <w:rPr>
                <w:rFonts w:eastAsiaTheme="minorEastAsia" w:cstheme="minorBidi"/>
                <w:noProof/>
                <w:lang w:val="en-US" w:bidi="he-IL"/>
              </w:rPr>
              <w:tab/>
            </w:r>
            <w:r w:rsidR="00942147" w:rsidRPr="000A06B5">
              <w:rPr>
                <w:rStyle w:val="Hiperhivatkozs"/>
                <w:bCs/>
                <w:noProof/>
                <w:lang w:val="en-GB"/>
              </w:rPr>
              <w:t>Rules for the use of the 1500 MHz frequency band</w:t>
            </w:r>
            <w:r w:rsidR="00942147">
              <w:rPr>
                <w:noProof/>
                <w:webHidden/>
              </w:rPr>
              <w:tab/>
            </w:r>
            <w:r w:rsidR="00942147">
              <w:rPr>
                <w:noProof/>
                <w:webHidden/>
              </w:rPr>
              <w:fldChar w:fldCharType="begin"/>
            </w:r>
            <w:r w:rsidR="00942147">
              <w:rPr>
                <w:noProof/>
                <w:webHidden/>
              </w:rPr>
              <w:instrText xml:space="preserve"> PAGEREF _Toc98750569 \h </w:instrText>
            </w:r>
            <w:r w:rsidR="00942147">
              <w:rPr>
                <w:noProof/>
                <w:webHidden/>
              </w:rPr>
            </w:r>
            <w:r w:rsidR="00942147">
              <w:rPr>
                <w:noProof/>
                <w:webHidden/>
              </w:rPr>
              <w:fldChar w:fldCharType="separate"/>
            </w:r>
            <w:r w:rsidR="00942147">
              <w:rPr>
                <w:noProof/>
                <w:webHidden/>
              </w:rPr>
              <w:t>6</w:t>
            </w:r>
            <w:r w:rsidR="00942147">
              <w:rPr>
                <w:noProof/>
                <w:webHidden/>
              </w:rPr>
              <w:fldChar w:fldCharType="end"/>
            </w:r>
          </w:hyperlink>
        </w:p>
        <w:p w14:paraId="26219E72" w14:textId="12212282" w:rsidR="00942147" w:rsidRDefault="00657D6C">
          <w:pPr>
            <w:pStyle w:val="TJ2"/>
            <w:tabs>
              <w:tab w:val="left" w:pos="880"/>
              <w:tab w:val="right" w:leader="dot" w:pos="9062"/>
            </w:tabs>
            <w:rPr>
              <w:rFonts w:eastAsiaTheme="minorEastAsia" w:cstheme="minorBidi"/>
              <w:noProof/>
              <w:lang w:val="en-US" w:bidi="he-IL"/>
            </w:rPr>
          </w:pPr>
          <w:hyperlink w:anchor="_Toc98750570" w:history="1">
            <w:r w:rsidR="00942147" w:rsidRPr="000A06B5">
              <w:rPr>
                <w:rStyle w:val="Hiperhivatkozs"/>
                <w:noProof/>
              </w:rPr>
              <w:t>3.1.</w:t>
            </w:r>
            <w:r w:rsidR="00942147">
              <w:rPr>
                <w:rFonts w:eastAsiaTheme="minorEastAsia" w:cstheme="minorBidi"/>
                <w:noProof/>
                <w:lang w:val="en-US" w:bidi="he-IL"/>
              </w:rPr>
              <w:tab/>
            </w:r>
            <w:r w:rsidR="00942147" w:rsidRPr="000A06B5">
              <w:rPr>
                <w:rStyle w:val="Hiperhivatkozs"/>
                <w:bCs/>
                <w:noProof/>
                <w:lang w:val="en-GB"/>
              </w:rPr>
              <w:t>International regulation</w:t>
            </w:r>
            <w:r w:rsidR="00942147">
              <w:rPr>
                <w:noProof/>
                <w:webHidden/>
              </w:rPr>
              <w:tab/>
            </w:r>
            <w:r w:rsidR="00942147">
              <w:rPr>
                <w:noProof/>
                <w:webHidden/>
              </w:rPr>
              <w:fldChar w:fldCharType="begin"/>
            </w:r>
            <w:r w:rsidR="00942147">
              <w:rPr>
                <w:noProof/>
                <w:webHidden/>
              </w:rPr>
              <w:instrText xml:space="preserve"> PAGEREF _Toc98750570 \h </w:instrText>
            </w:r>
            <w:r w:rsidR="00942147">
              <w:rPr>
                <w:noProof/>
                <w:webHidden/>
              </w:rPr>
            </w:r>
            <w:r w:rsidR="00942147">
              <w:rPr>
                <w:noProof/>
                <w:webHidden/>
              </w:rPr>
              <w:fldChar w:fldCharType="separate"/>
            </w:r>
            <w:r w:rsidR="00942147">
              <w:rPr>
                <w:noProof/>
                <w:webHidden/>
              </w:rPr>
              <w:t>6</w:t>
            </w:r>
            <w:r w:rsidR="00942147">
              <w:rPr>
                <w:noProof/>
                <w:webHidden/>
              </w:rPr>
              <w:fldChar w:fldCharType="end"/>
            </w:r>
          </w:hyperlink>
        </w:p>
        <w:p w14:paraId="72C83F5F" w14:textId="4F45C84F" w:rsidR="00942147" w:rsidRDefault="00657D6C">
          <w:pPr>
            <w:pStyle w:val="TJ3"/>
            <w:tabs>
              <w:tab w:val="left" w:pos="1320"/>
              <w:tab w:val="right" w:leader="dot" w:pos="9062"/>
            </w:tabs>
            <w:rPr>
              <w:rFonts w:eastAsiaTheme="minorEastAsia" w:cstheme="minorBidi"/>
              <w:noProof/>
              <w:lang w:val="en-US" w:bidi="he-IL"/>
            </w:rPr>
          </w:pPr>
          <w:hyperlink w:anchor="_Toc98750571" w:history="1">
            <w:r w:rsidR="00942147" w:rsidRPr="000A06B5">
              <w:rPr>
                <w:rStyle w:val="Hiperhivatkozs"/>
                <w:noProof/>
              </w:rPr>
              <w:t>3.1.1.</w:t>
            </w:r>
            <w:r w:rsidR="00942147">
              <w:rPr>
                <w:rFonts w:eastAsiaTheme="minorEastAsia" w:cstheme="minorBidi"/>
                <w:noProof/>
                <w:lang w:val="en-US" w:bidi="he-IL"/>
              </w:rPr>
              <w:tab/>
            </w:r>
            <w:r w:rsidR="00942147" w:rsidRPr="000A06B5">
              <w:rPr>
                <w:rStyle w:val="Hiperhivatkozs"/>
                <w:bCs/>
                <w:noProof/>
                <w:lang w:val="en-GB"/>
              </w:rPr>
              <w:t>ITU</w:t>
            </w:r>
            <w:r w:rsidR="00942147">
              <w:rPr>
                <w:noProof/>
                <w:webHidden/>
              </w:rPr>
              <w:tab/>
            </w:r>
            <w:r w:rsidR="00942147">
              <w:rPr>
                <w:noProof/>
                <w:webHidden/>
              </w:rPr>
              <w:fldChar w:fldCharType="begin"/>
            </w:r>
            <w:r w:rsidR="00942147">
              <w:rPr>
                <w:noProof/>
                <w:webHidden/>
              </w:rPr>
              <w:instrText xml:space="preserve"> PAGEREF _Toc98750571 \h </w:instrText>
            </w:r>
            <w:r w:rsidR="00942147">
              <w:rPr>
                <w:noProof/>
                <w:webHidden/>
              </w:rPr>
            </w:r>
            <w:r w:rsidR="00942147">
              <w:rPr>
                <w:noProof/>
                <w:webHidden/>
              </w:rPr>
              <w:fldChar w:fldCharType="separate"/>
            </w:r>
            <w:r w:rsidR="00942147">
              <w:rPr>
                <w:noProof/>
                <w:webHidden/>
              </w:rPr>
              <w:t>6</w:t>
            </w:r>
            <w:r w:rsidR="00942147">
              <w:rPr>
                <w:noProof/>
                <w:webHidden/>
              </w:rPr>
              <w:fldChar w:fldCharType="end"/>
            </w:r>
          </w:hyperlink>
        </w:p>
        <w:p w14:paraId="0734160D" w14:textId="0B5E2558" w:rsidR="00942147" w:rsidRDefault="00657D6C">
          <w:pPr>
            <w:pStyle w:val="TJ3"/>
            <w:tabs>
              <w:tab w:val="left" w:pos="1320"/>
              <w:tab w:val="right" w:leader="dot" w:pos="9062"/>
            </w:tabs>
            <w:rPr>
              <w:rFonts w:eastAsiaTheme="minorEastAsia" w:cstheme="minorBidi"/>
              <w:noProof/>
              <w:lang w:val="en-US" w:bidi="he-IL"/>
            </w:rPr>
          </w:pPr>
          <w:hyperlink w:anchor="_Toc98750572" w:history="1">
            <w:r w:rsidR="00942147" w:rsidRPr="000A06B5">
              <w:rPr>
                <w:rStyle w:val="Hiperhivatkozs"/>
                <w:noProof/>
              </w:rPr>
              <w:t>3.1.2.</w:t>
            </w:r>
            <w:r w:rsidR="00942147">
              <w:rPr>
                <w:rFonts w:eastAsiaTheme="minorEastAsia" w:cstheme="minorBidi"/>
                <w:noProof/>
                <w:lang w:val="en-US" w:bidi="he-IL"/>
              </w:rPr>
              <w:tab/>
            </w:r>
            <w:r w:rsidR="00942147" w:rsidRPr="000A06B5">
              <w:rPr>
                <w:rStyle w:val="Hiperhivatkozs"/>
                <w:bCs/>
                <w:noProof/>
                <w:lang w:val="en-GB"/>
              </w:rPr>
              <w:t>CEPT</w:t>
            </w:r>
            <w:r w:rsidR="00942147">
              <w:rPr>
                <w:noProof/>
                <w:webHidden/>
              </w:rPr>
              <w:tab/>
            </w:r>
            <w:r w:rsidR="00942147">
              <w:rPr>
                <w:noProof/>
                <w:webHidden/>
              </w:rPr>
              <w:fldChar w:fldCharType="begin"/>
            </w:r>
            <w:r w:rsidR="00942147">
              <w:rPr>
                <w:noProof/>
                <w:webHidden/>
              </w:rPr>
              <w:instrText xml:space="preserve"> PAGEREF _Toc98750572 \h </w:instrText>
            </w:r>
            <w:r w:rsidR="00942147">
              <w:rPr>
                <w:noProof/>
                <w:webHidden/>
              </w:rPr>
            </w:r>
            <w:r w:rsidR="00942147">
              <w:rPr>
                <w:noProof/>
                <w:webHidden/>
              </w:rPr>
              <w:fldChar w:fldCharType="separate"/>
            </w:r>
            <w:r w:rsidR="00942147">
              <w:rPr>
                <w:noProof/>
                <w:webHidden/>
              </w:rPr>
              <w:t>7</w:t>
            </w:r>
            <w:r w:rsidR="00942147">
              <w:rPr>
                <w:noProof/>
                <w:webHidden/>
              </w:rPr>
              <w:fldChar w:fldCharType="end"/>
            </w:r>
          </w:hyperlink>
        </w:p>
        <w:p w14:paraId="743EB1FB" w14:textId="7DE3FD5C" w:rsidR="00942147" w:rsidRDefault="00657D6C">
          <w:pPr>
            <w:pStyle w:val="TJ3"/>
            <w:tabs>
              <w:tab w:val="left" w:pos="1320"/>
              <w:tab w:val="right" w:leader="dot" w:pos="9062"/>
            </w:tabs>
            <w:rPr>
              <w:rFonts w:eastAsiaTheme="minorEastAsia" w:cstheme="minorBidi"/>
              <w:noProof/>
              <w:lang w:val="en-US" w:bidi="he-IL"/>
            </w:rPr>
          </w:pPr>
          <w:hyperlink w:anchor="_Toc98750573" w:history="1">
            <w:r w:rsidR="00942147" w:rsidRPr="000A06B5">
              <w:rPr>
                <w:rStyle w:val="Hiperhivatkozs"/>
                <w:noProof/>
              </w:rPr>
              <w:t>3.1.3.</w:t>
            </w:r>
            <w:r w:rsidR="00942147">
              <w:rPr>
                <w:rFonts w:eastAsiaTheme="minorEastAsia" w:cstheme="minorBidi"/>
                <w:noProof/>
                <w:lang w:val="en-US" w:bidi="he-IL"/>
              </w:rPr>
              <w:tab/>
            </w:r>
            <w:r w:rsidR="00942147" w:rsidRPr="000A06B5">
              <w:rPr>
                <w:rStyle w:val="Hiperhivatkozs"/>
                <w:bCs/>
                <w:noProof/>
                <w:lang w:val="en-GB"/>
              </w:rPr>
              <w:t>EU</w:t>
            </w:r>
            <w:r w:rsidR="00942147">
              <w:rPr>
                <w:noProof/>
                <w:webHidden/>
              </w:rPr>
              <w:tab/>
            </w:r>
            <w:r w:rsidR="00942147">
              <w:rPr>
                <w:noProof/>
                <w:webHidden/>
              </w:rPr>
              <w:fldChar w:fldCharType="begin"/>
            </w:r>
            <w:r w:rsidR="00942147">
              <w:rPr>
                <w:noProof/>
                <w:webHidden/>
              </w:rPr>
              <w:instrText xml:space="preserve"> PAGEREF _Toc98750573 \h </w:instrText>
            </w:r>
            <w:r w:rsidR="00942147">
              <w:rPr>
                <w:noProof/>
                <w:webHidden/>
              </w:rPr>
            </w:r>
            <w:r w:rsidR="00942147">
              <w:rPr>
                <w:noProof/>
                <w:webHidden/>
              </w:rPr>
              <w:fldChar w:fldCharType="separate"/>
            </w:r>
            <w:r w:rsidR="00942147">
              <w:rPr>
                <w:noProof/>
                <w:webHidden/>
              </w:rPr>
              <w:t>8</w:t>
            </w:r>
            <w:r w:rsidR="00942147">
              <w:rPr>
                <w:noProof/>
                <w:webHidden/>
              </w:rPr>
              <w:fldChar w:fldCharType="end"/>
            </w:r>
          </w:hyperlink>
        </w:p>
        <w:p w14:paraId="243EF268" w14:textId="294304B4" w:rsidR="00942147" w:rsidRDefault="00657D6C">
          <w:pPr>
            <w:pStyle w:val="TJ2"/>
            <w:tabs>
              <w:tab w:val="left" w:pos="880"/>
              <w:tab w:val="right" w:leader="dot" w:pos="9062"/>
            </w:tabs>
            <w:rPr>
              <w:rFonts w:eastAsiaTheme="minorEastAsia" w:cstheme="minorBidi"/>
              <w:noProof/>
              <w:lang w:val="en-US" w:bidi="he-IL"/>
            </w:rPr>
          </w:pPr>
          <w:hyperlink w:anchor="_Toc98750574" w:history="1">
            <w:r w:rsidR="00942147" w:rsidRPr="000A06B5">
              <w:rPr>
                <w:rStyle w:val="Hiperhivatkozs"/>
                <w:noProof/>
              </w:rPr>
              <w:t>3.2.</w:t>
            </w:r>
            <w:r w:rsidR="00942147">
              <w:rPr>
                <w:rFonts w:eastAsiaTheme="minorEastAsia" w:cstheme="minorBidi"/>
                <w:noProof/>
                <w:lang w:val="en-US" w:bidi="he-IL"/>
              </w:rPr>
              <w:tab/>
            </w:r>
            <w:r w:rsidR="00942147" w:rsidRPr="000A06B5">
              <w:rPr>
                <w:rStyle w:val="Hiperhivatkozs"/>
                <w:bCs/>
                <w:noProof/>
                <w:lang w:val="en-GB"/>
              </w:rPr>
              <w:t>National regulation</w:t>
            </w:r>
            <w:r w:rsidR="00942147">
              <w:rPr>
                <w:noProof/>
                <w:webHidden/>
              </w:rPr>
              <w:tab/>
            </w:r>
            <w:r w:rsidR="00942147">
              <w:rPr>
                <w:noProof/>
                <w:webHidden/>
              </w:rPr>
              <w:fldChar w:fldCharType="begin"/>
            </w:r>
            <w:r w:rsidR="00942147">
              <w:rPr>
                <w:noProof/>
                <w:webHidden/>
              </w:rPr>
              <w:instrText xml:space="preserve"> PAGEREF _Toc98750574 \h </w:instrText>
            </w:r>
            <w:r w:rsidR="00942147">
              <w:rPr>
                <w:noProof/>
                <w:webHidden/>
              </w:rPr>
            </w:r>
            <w:r w:rsidR="00942147">
              <w:rPr>
                <w:noProof/>
                <w:webHidden/>
              </w:rPr>
              <w:fldChar w:fldCharType="separate"/>
            </w:r>
            <w:r w:rsidR="00942147">
              <w:rPr>
                <w:noProof/>
                <w:webHidden/>
              </w:rPr>
              <w:t>9</w:t>
            </w:r>
            <w:r w:rsidR="00942147">
              <w:rPr>
                <w:noProof/>
                <w:webHidden/>
              </w:rPr>
              <w:fldChar w:fldCharType="end"/>
            </w:r>
          </w:hyperlink>
        </w:p>
        <w:p w14:paraId="1DE63BF3" w14:textId="15101DDF" w:rsidR="00942147" w:rsidRDefault="0095076A">
          <w:pPr>
            <w:pStyle w:val="TJ1"/>
            <w:tabs>
              <w:tab w:val="left" w:pos="440"/>
              <w:tab w:val="right" w:leader="dot" w:pos="9062"/>
            </w:tabs>
            <w:rPr>
              <w:rFonts w:eastAsiaTheme="minorEastAsia" w:cstheme="minorBidi"/>
              <w:noProof/>
              <w:lang w:val="en-US" w:bidi="he-IL"/>
            </w:rPr>
          </w:pPr>
          <w:hyperlink w:anchor="_Toc98750575" w:history="1">
            <w:r w:rsidR="00942147" w:rsidRPr="00304D0B">
              <w:rPr>
                <w:rStyle w:val="Hiperhivatkozs"/>
                <w:noProof/>
              </w:rPr>
              <w:t>4.</w:t>
            </w:r>
            <w:r w:rsidR="00942147" w:rsidRPr="00304D0B">
              <w:rPr>
                <w:rStyle w:val="Hiperhivatkozs"/>
                <w:rFonts w:eastAsiaTheme="minorEastAsia" w:cstheme="minorBidi"/>
                <w:noProof/>
                <w:lang w:val="en-US" w:bidi="he-IL"/>
              </w:rPr>
              <w:tab/>
            </w:r>
            <w:r w:rsidR="00942147" w:rsidRPr="00304D0B">
              <w:rPr>
                <w:rStyle w:val="Hiperhivatkozs"/>
                <w:bCs/>
                <w:noProof/>
                <w:lang w:val="en-GB"/>
              </w:rPr>
              <w:t xml:space="preserve">Actual </w:t>
            </w:r>
            <w:r w:rsidR="00304D0B" w:rsidRPr="00304D0B">
              <w:rPr>
                <w:rStyle w:val="Hiperhivatkozs"/>
                <w:bCs/>
                <w:noProof/>
                <w:lang w:val="en-GB"/>
              </w:rPr>
              <w:t xml:space="preserve">national </w:t>
            </w:r>
            <w:r w:rsidR="00942147" w:rsidRPr="00304D0B">
              <w:rPr>
                <w:rStyle w:val="Hiperhivatkozs"/>
                <w:bCs/>
                <w:noProof/>
                <w:lang w:val="en-GB"/>
              </w:rPr>
              <w:t>use</w:t>
            </w:r>
            <w:r w:rsidR="00942147" w:rsidRPr="00304D0B">
              <w:rPr>
                <w:rStyle w:val="Hiperhivatkozs"/>
                <w:noProof/>
                <w:webHidden/>
              </w:rPr>
              <w:tab/>
            </w:r>
            <w:r w:rsidR="00942147" w:rsidRPr="00304D0B">
              <w:rPr>
                <w:rStyle w:val="Hiperhivatkozs"/>
                <w:noProof/>
                <w:webHidden/>
              </w:rPr>
              <w:fldChar w:fldCharType="begin"/>
            </w:r>
            <w:r w:rsidR="00942147" w:rsidRPr="00304D0B">
              <w:rPr>
                <w:rStyle w:val="Hiperhivatkozs"/>
                <w:noProof/>
                <w:webHidden/>
              </w:rPr>
              <w:instrText xml:space="preserve"> PAGEREF _Toc98750575 \h </w:instrText>
            </w:r>
            <w:r w:rsidR="00942147" w:rsidRPr="00304D0B">
              <w:rPr>
                <w:rStyle w:val="Hiperhivatkozs"/>
                <w:noProof/>
                <w:webHidden/>
              </w:rPr>
            </w:r>
            <w:r w:rsidR="00942147" w:rsidRPr="00304D0B">
              <w:rPr>
                <w:rStyle w:val="Hiperhivatkozs"/>
                <w:noProof/>
                <w:webHidden/>
              </w:rPr>
              <w:fldChar w:fldCharType="separate"/>
            </w:r>
            <w:r w:rsidR="00942147" w:rsidRPr="00304D0B">
              <w:rPr>
                <w:rStyle w:val="Hiperhivatkozs"/>
                <w:noProof/>
                <w:webHidden/>
              </w:rPr>
              <w:t>11</w:t>
            </w:r>
            <w:r w:rsidR="00942147" w:rsidRPr="00304D0B">
              <w:rPr>
                <w:rStyle w:val="Hiperhivatkozs"/>
                <w:noProof/>
                <w:webHidden/>
              </w:rPr>
              <w:fldChar w:fldCharType="end"/>
            </w:r>
          </w:hyperlink>
        </w:p>
        <w:p w14:paraId="2496ADA6" w14:textId="022192D9" w:rsidR="00942147" w:rsidRDefault="00657D6C">
          <w:pPr>
            <w:pStyle w:val="TJ1"/>
            <w:tabs>
              <w:tab w:val="left" w:pos="440"/>
              <w:tab w:val="right" w:leader="dot" w:pos="9062"/>
            </w:tabs>
            <w:rPr>
              <w:rFonts w:eastAsiaTheme="minorEastAsia" w:cstheme="minorBidi"/>
              <w:noProof/>
              <w:lang w:val="en-US" w:bidi="he-IL"/>
            </w:rPr>
          </w:pPr>
          <w:hyperlink w:anchor="_Toc98750576" w:history="1">
            <w:r w:rsidR="00942147" w:rsidRPr="000A06B5">
              <w:rPr>
                <w:rStyle w:val="Hiperhivatkozs"/>
                <w:noProof/>
              </w:rPr>
              <w:t>5.</w:t>
            </w:r>
            <w:r w:rsidR="00942147">
              <w:rPr>
                <w:rFonts w:eastAsiaTheme="minorEastAsia" w:cstheme="minorBidi"/>
                <w:noProof/>
                <w:lang w:val="en-US" w:bidi="he-IL"/>
              </w:rPr>
              <w:tab/>
            </w:r>
            <w:r w:rsidR="00942147" w:rsidRPr="000A06B5">
              <w:rPr>
                <w:rStyle w:val="Hiperhivatkozs"/>
                <w:bCs/>
                <w:noProof/>
                <w:lang w:val="en-GB"/>
              </w:rPr>
              <w:t>National regulatory plans</w:t>
            </w:r>
            <w:r w:rsidR="00942147">
              <w:rPr>
                <w:noProof/>
                <w:webHidden/>
              </w:rPr>
              <w:tab/>
            </w:r>
            <w:r w:rsidR="00942147">
              <w:rPr>
                <w:noProof/>
                <w:webHidden/>
              </w:rPr>
              <w:fldChar w:fldCharType="begin"/>
            </w:r>
            <w:r w:rsidR="00942147">
              <w:rPr>
                <w:noProof/>
                <w:webHidden/>
              </w:rPr>
              <w:instrText xml:space="preserve"> PAGEREF _Toc98750576 \h </w:instrText>
            </w:r>
            <w:r w:rsidR="00942147">
              <w:rPr>
                <w:noProof/>
                <w:webHidden/>
              </w:rPr>
            </w:r>
            <w:r w:rsidR="00942147">
              <w:rPr>
                <w:noProof/>
                <w:webHidden/>
              </w:rPr>
              <w:fldChar w:fldCharType="separate"/>
            </w:r>
            <w:r w:rsidR="00942147">
              <w:rPr>
                <w:noProof/>
                <w:webHidden/>
              </w:rPr>
              <w:t>12</w:t>
            </w:r>
            <w:r w:rsidR="00942147">
              <w:rPr>
                <w:noProof/>
                <w:webHidden/>
              </w:rPr>
              <w:fldChar w:fldCharType="end"/>
            </w:r>
          </w:hyperlink>
        </w:p>
        <w:p w14:paraId="43908103" w14:textId="71D0547F" w:rsidR="00942147" w:rsidRDefault="0095076A">
          <w:pPr>
            <w:pStyle w:val="TJ1"/>
            <w:tabs>
              <w:tab w:val="left" w:pos="440"/>
              <w:tab w:val="right" w:leader="dot" w:pos="9062"/>
            </w:tabs>
            <w:rPr>
              <w:rFonts w:eastAsiaTheme="minorEastAsia" w:cstheme="minorBidi"/>
              <w:noProof/>
              <w:lang w:val="en-US" w:bidi="he-IL"/>
            </w:rPr>
          </w:pPr>
          <w:hyperlink w:anchor="_Toc98750577" w:history="1">
            <w:r w:rsidR="00942147" w:rsidRPr="008E1884">
              <w:rPr>
                <w:rStyle w:val="Hiperhivatkozs"/>
                <w:noProof/>
              </w:rPr>
              <w:t>6.</w:t>
            </w:r>
            <w:r w:rsidR="00942147" w:rsidRPr="008E1884">
              <w:rPr>
                <w:rStyle w:val="Hiperhivatkozs"/>
                <w:rFonts w:eastAsiaTheme="minorEastAsia" w:cstheme="minorBidi"/>
                <w:noProof/>
                <w:lang w:val="en-US" w:bidi="he-IL"/>
              </w:rPr>
              <w:tab/>
            </w:r>
            <w:r w:rsidR="008E1884">
              <w:rPr>
                <w:rStyle w:val="Hiperhivatkozs"/>
                <w:bCs/>
                <w:noProof/>
                <w:lang w:val="en-GB"/>
              </w:rPr>
              <w:t>F</w:t>
            </w:r>
            <w:r w:rsidR="00942147" w:rsidRPr="008E1884">
              <w:rPr>
                <w:rStyle w:val="Hiperhivatkozs"/>
                <w:bCs/>
                <w:noProof/>
                <w:lang w:val="en-GB"/>
              </w:rPr>
              <w:t xml:space="preserve">requency use </w:t>
            </w:r>
            <w:r w:rsidR="008E1884" w:rsidRPr="008E1884">
              <w:rPr>
                <w:rStyle w:val="Hiperhivatkozs"/>
                <w:bCs/>
                <w:noProof/>
                <w:lang w:val="en-GB"/>
              </w:rPr>
              <w:t xml:space="preserve">in border areas </w:t>
            </w:r>
            <w:r w:rsidR="00942147" w:rsidRPr="008E1884">
              <w:rPr>
                <w:rStyle w:val="Hiperhivatkozs"/>
                <w:bCs/>
                <w:noProof/>
                <w:lang w:val="en-GB"/>
              </w:rPr>
              <w:t>and international coordination</w:t>
            </w:r>
            <w:r w:rsidR="00942147" w:rsidRPr="008E1884">
              <w:rPr>
                <w:rStyle w:val="Hiperhivatkozs"/>
                <w:noProof/>
                <w:webHidden/>
              </w:rPr>
              <w:tab/>
            </w:r>
            <w:r w:rsidR="00942147" w:rsidRPr="008E1884">
              <w:rPr>
                <w:rStyle w:val="Hiperhivatkozs"/>
                <w:noProof/>
                <w:webHidden/>
              </w:rPr>
              <w:fldChar w:fldCharType="begin"/>
            </w:r>
            <w:r w:rsidR="00942147" w:rsidRPr="008E1884">
              <w:rPr>
                <w:rStyle w:val="Hiperhivatkozs"/>
                <w:noProof/>
                <w:webHidden/>
              </w:rPr>
              <w:instrText xml:space="preserve"> PAGEREF _Toc98750577 \h </w:instrText>
            </w:r>
            <w:r w:rsidR="00942147" w:rsidRPr="008E1884">
              <w:rPr>
                <w:rStyle w:val="Hiperhivatkozs"/>
                <w:noProof/>
                <w:webHidden/>
              </w:rPr>
            </w:r>
            <w:r w:rsidR="00942147" w:rsidRPr="008E1884">
              <w:rPr>
                <w:rStyle w:val="Hiperhivatkozs"/>
                <w:noProof/>
                <w:webHidden/>
              </w:rPr>
              <w:fldChar w:fldCharType="separate"/>
            </w:r>
            <w:r w:rsidR="00942147" w:rsidRPr="008E1884">
              <w:rPr>
                <w:rStyle w:val="Hiperhivatkozs"/>
                <w:noProof/>
                <w:webHidden/>
              </w:rPr>
              <w:t>12</w:t>
            </w:r>
            <w:r w:rsidR="00942147" w:rsidRPr="008E1884">
              <w:rPr>
                <w:rStyle w:val="Hiperhivatkozs"/>
                <w:noProof/>
                <w:webHidden/>
              </w:rPr>
              <w:fldChar w:fldCharType="end"/>
            </w:r>
          </w:hyperlink>
        </w:p>
        <w:p w14:paraId="19B2236A" w14:textId="2A5D514E" w:rsidR="00942147" w:rsidRDefault="00657D6C">
          <w:pPr>
            <w:pStyle w:val="TJ1"/>
            <w:tabs>
              <w:tab w:val="left" w:pos="440"/>
              <w:tab w:val="right" w:leader="dot" w:pos="9062"/>
            </w:tabs>
            <w:rPr>
              <w:rFonts w:eastAsiaTheme="minorEastAsia" w:cstheme="minorBidi"/>
              <w:noProof/>
              <w:lang w:val="en-US" w:bidi="he-IL"/>
            </w:rPr>
          </w:pPr>
          <w:hyperlink w:anchor="_Toc98750578" w:history="1">
            <w:r w:rsidR="00942147" w:rsidRPr="000A06B5">
              <w:rPr>
                <w:rStyle w:val="Hiperhivatkozs"/>
                <w:noProof/>
              </w:rPr>
              <w:t>7.</w:t>
            </w:r>
            <w:r w:rsidR="00942147">
              <w:rPr>
                <w:rFonts w:eastAsiaTheme="minorEastAsia" w:cstheme="minorBidi"/>
                <w:noProof/>
                <w:lang w:val="en-US" w:bidi="he-IL"/>
              </w:rPr>
              <w:tab/>
            </w:r>
            <w:r w:rsidR="00942147" w:rsidRPr="000A06B5">
              <w:rPr>
                <w:rStyle w:val="Hiperhivatkozs"/>
                <w:bCs/>
                <w:noProof/>
                <w:lang w:val="en-GB"/>
              </w:rPr>
              <w:t>Radio spectrum fees</w:t>
            </w:r>
            <w:r w:rsidR="00942147">
              <w:rPr>
                <w:noProof/>
                <w:webHidden/>
              </w:rPr>
              <w:tab/>
            </w:r>
            <w:r w:rsidR="00942147">
              <w:rPr>
                <w:noProof/>
                <w:webHidden/>
              </w:rPr>
              <w:fldChar w:fldCharType="begin"/>
            </w:r>
            <w:r w:rsidR="00942147">
              <w:rPr>
                <w:noProof/>
                <w:webHidden/>
              </w:rPr>
              <w:instrText xml:space="preserve"> PAGEREF _Toc98750578 \h </w:instrText>
            </w:r>
            <w:r w:rsidR="00942147">
              <w:rPr>
                <w:noProof/>
                <w:webHidden/>
              </w:rPr>
            </w:r>
            <w:r w:rsidR="00942147">
              <w:rPr>
                <w:noProof/>
                <w:webHidden/>
              </w:rPr>
              <w:fldChar w:fldCharType="separate"/>
            </w:r>
            <w:r w:rsidR="00942147">
              <w:rPr>
                <w:noProof/>
                <w:webHidden/>
              </w:rPr>
              <w:t>12</w:t>
            </w:r>
            <w:r w:rsidR="00942147">
              <w:rPr>
                <w:noProof/>
                <w:webHidden/>
              </w:rPr>
              <w:fldChar w:fldCharType="end"/>
            </w:r>
          </w:hyperlink>
        </w:p>
        <w:p w14:paraId="14E507E2" w14:textId="62054C62" w:rsidR="00657919" w:rsidRDefault="00DB678B">
          <w:r>
            <w:fldChar w:fldCharType="end"/>
          </w:r>
        </w:p>
      </w:sdtContent>
    </w:sdt>
    <w:p w14:paraId="71604B10" w14:textId="77777777" w:rsidR="00657919" w:rsidRPr="00657919" w:rsidRDefault="00657919" w:rsidP="00657919"/>
    <w:p w14:paraId="56F135B4" w14:textId="4439A1E7" w:rsidR="00657919" w:rsidRDefault="00657919" w:rsidP="00657919"/>
    <w:p w14:paraId="720506E3" w14:textId="475C38F4" w:rsidR="00DA31F6" w:rsidRPr="00657919" w:rsidRDefault="00657919" w:rsidP="00657919">
      <w:pPr>
        <w:tabs>
          <w:tab w:val="left" w:pos="5300"/>
        </w:tabs>
      </w:pPr>
      <w:r>
        <w:rPr>
          <w:lang w:val="en-GB"/>
        </w:rPr>
        <w:tab/>
      </w:r>
    </w:p>
    <w:p w14:paraId="316C2A97" w14:textId="77777777" w:rsidR="001E50C0" w:rsidRDefault="003D4E11" w:rsidP="001E50C0">
      <w:pPr>
        <w:pStyle w:val="Cmsor1szmozottnmhh"/>
        <w:ind w:left="431" w:hanging="431"/>
      </w:pPr>
      <w:bookmarkStart w:id="1" w:name="_Toc98750567"/>
      <w:bookmarkStart w:id="2" w:name="_Toc473880713"/>
      <w:bookmarkStart w:id="3" w:name="_Toc451860698"/>
      <w:r>
        <w:rPr>
          <w:bCs/>
          <w:lang w:val="en-GB"/>
        </w:rPr>
        <w:lastRenderedPageBreak/>
        <w:t>Summary</w:t>
      </w:r>
      <w:bookmarkEnd w:id="1"/>
    </w:p>
    <w:p w14:paraId="25C1EE14" w14:textId="23BDC0AE" w:rsidR="00B05643" w:rsidRDefault="008B7B27" w:rsidP="00B05643">
      <w:pPr>
        <w:pStyle w:val="Behzottbekezdsnmhh"/>
        <w:spacing w:before="120"/>
      </w:pPr>
      <w:r>
        <w:rPr>
          <w:lang w:val="en-GB"/>
        </w:rPr>
        <w:t>The 1427-1518 MHz frequency band (hereinafter referred to as the 1500 MHz frequency band) is harmonised in the European Union for Mobile/Fixed Communication</w:t>
      </w:r>
      <w:r w:rsidR="008B7BA0">
        <w:rPr>
          <w:lang w:val="en-GB"/>
        </w:rPr>
        <w:t>s</w:t>
      </w:r>
      <w:r>
        <w:rPr>
          <w:lang w:val="en-GB"/>
        </w:rPr>
        <w:t xml:space="preserve"> Networks (hereinafter: MFCN</w:t>
      </w:r>
      <w:r>
        <w:rPr>
          <w:rStyle w:val="Lbjegyzet-hivatkozs"/>
          <w:lang w:val="en-GB"/>
        </w:rPr>
        <w:footnoteReference w:id="1"/>
      </w:r>
      <w:r>
        <w:rPr>
          <w:lang w:val="en-GB"/>
        </w:rPr>
        <w:t xml:space="preserve">) </w:t>
      </w:r>
      <w:r w:rsidR="008B7BA0">
        <w:rPr>
          <w:lang w:val="en-GB"/>
        </w:rPr>
        <w:t xml:space="preserve">capable of </w:t>
      </w:r>
      <w:r>
        <w:rPr>
          <w:lang w:val="en-GB"/>
        </w:rPr>
        <w:t>provid</w:t>
      </w:r>
      <w:r w:rsidR="008B7BA0">
        <w:rPr>
          <w:lang w:val="en-GB"/>
        </w:rPr>
        <w:t>ing</w:t>
      </w:r>
      <w:r>
        <w:rPr>
          <w:lang w:val="en-GB"/>
        </w:rPr>
        <w:t xml:space="preserve"> wireless broadband communication</w:t>
      </w:r>
      <w:r w:rsidR="008B7BA0">
        <w:rPr>
          <w:lang w:val="en-GB"/>
        </w:rPr>
        <w:t>s</w:t>
      </w:r>
      <w:r>
        <w:rPr>
          <w:lang w:val="en-GB"/>
        </w:rPr>
        <w:t xml:space="preserve"> services. The relevant EU legislation was adopted in two steps. In the first step, a Commission Implementing Decision was adopted on the use for MFCN of the 1452-1492 MHz frequency band previously planned for digital </w:t>
      </w:r>
      <w:r w:rsidR="003C7DF7">
        <w:rPr>
          <w:lang w:val="en-GB"/>
        </w:rPr>
        <w:t xml:space="preserve">audio </w:t>
      </w:r>
      <w:r>
        <w:rPr>
          <w:lang w:val="en-GB"/>
        </w:rPr>
        <w:t xml:space="preserve">broadcasting in European countries, followed by an amending Decision extending it to the adjacent 1427-1452 MHz and 1492-1518 MHz frequency bands. Member States should make either all or part of the harmonised frequency band available for MFCN purposes. How much of the 1500 MHz frequency band Member States make available depends largely on existing usage and market demands. The National Media and Infocommunications Authority (hereinafter: NMHH) already placed the issue of the 1500 </w:t>
      </w:r>
      <w:r w:rsidR="00D573A6">
        <w:rPr>
          <w:lang w:val="en-GB"/>
        </w:rPr>
        <w:t>M</w:t>
      </w:r>
      <w:r>
        <w:rPr>
          <w:lang w:val="en-GB"/>
        </w:rPr>
        <w:t xml:space="preserve">Hz frequency band on the agenda of its public consultations in 2017 and 2019. Both public consultations ended with the same result. There was no concrete market demand and the views expressed in the NMHH’s preparatory documents were confirmed. </w:t>
      </w:r>
    </w:p>
    <w:p w14:paraId="1DAAB342" w14:textId="22EB04C8" w:rsidR="003D4E11" w:rsidRDefault="00B05643" w:rsidP="00B05643">
      <w:pPr>
        <w:pStyle w:val="Behzottbekezdsnmhh"/>
        <w:spacing w:before="120"/>
      </w:pPr>
      <w:r>
        <w:rPr>
          <w:lang w:val="en-GB"/>
        </w:rPr>
        <w:t>By holding a public consultation, the NMHH aims to find out about market needs.</w:t>
      </w:r>
    </w:p>
    <w:p w14:paraId="38AB9AA2" w14:textId="63926DBE" w:rsidR="003D4E11" w:rsidRDefault="003D4E11" w:rsidP="00B85A3A">
      <w:pPr>
        <w:pStyle w:val="Behzottbekezdsnmhh"/>
        <w:spacing w:before="120"/>
      </w:pPr>
      <w:r>
        <w:rPr>
          <w:lang w:val="en-GB"/>
        </w:rPr>
        <w:t xml:space="preserve">According to EU legislation, the entire 1427-1518 MHz frequency band (including 1452-1492 MHz and the subsequently harmonised 1427-1452 MHz and 1492-1518 MHz frequency bands) can only be used for the provision of supplemental downlinks (hereinafter referred to as: SDL). </w:t>
      </w:r>
    </w:p>
    <w:p w14:paraId="2A580069" w14:textId="3F6EC794" w:rsidR="001C7538" w:rsidRPr="001C7538" w:rsidRDefault="00F25C2C" w:rsidP="001C7538">
      <w:pPr>
        <w:pStyle w:val="Behzottbekezdsnmhh"/>
      </w:pPr>
      <w:r>
        <w:rPr>
          <w:lang w:val="en-GB"/>
        </w:rPr>
        <w:t xml:space="preserve">Taking into account current </w:t>
      </w:r>
      <w:r w:rsidR="006248F0">
        <w:rPr>
          <w:lang w:val="en-GB"/>
        </w:rPr>
        <w:t xml:space="preserve">national </w:t>
      </w:r>
      <w:r>
        <w:rPr>
          <w:lang w:val="en-GB"/>
        </w:rPr>
        <w:t xml:space="preserve">use and relevant international </w:t>
      </w:r>
      <w:r w:rsidR="00BE3197" w:rsidRPr="00BE3197">
        <w:rPr>
          <w:lang w:val="en-GB"/>
        </w:rPr>
        <w:t>specifications</w:t>
      </w:r>
      <w:r>
        <w:rPr>
          <w:lang w:val="en-GB"/>
        </w:rPr>
        <w:t xml:space="preserve">, Decree No. 7/2015 (XI.13.) NMHH on the national frequency allocation and the rules of using frequency bands (hereinafter: NFFF Decree) have designated the 1427-1492 MHz </w:t>
      </w:r>
      <w:bookmarkStart w:id="4" w:name="_Hlk100594737"/>
      <w:r>
        <w:rPr>
          <w:lang w:val="en-GB"/>
        </w:rPr>
        <w:t xml:space="preserve">frequency </w:t>
      </w:r>
      <w:bookmarkEnd w:id="4"/>
      <w:r>
        <w:rPr>
          <w:lang w:val="en-GB"/>
        </w:rPr>
        <w:t xml:space="preserve">sub-band for MFCN use, and the 1492-1525 MHz </w:t>
      </w:r>
      <w:r w:rsidR="003405C6" w:rsidRPr="003405C6">
        <w:rPr>
          <w:lang w:val="en-GB"/>
        </w:rPr>
        <w:t xml:space="preserve">frequency </w:t>
      </w:r>
      <w:r>
        <w:rPr>
          <w:lang w:val="en-GB"/>
        </w:rPr>
        <w:t xml:space="preserve">sub-band for non-civil use, of which the upper 7 MHz sub-band is not affected by the EU Decision. </w:t>
      </w:r>
      <w:r w:rsidR="00124285">
        <w:rPr>
          <w:lang w:val="en-GB"/>
        </w:rPr>
        <w:t>O</w:t>
      </w:r>
      <w:r>
        <w:rPr>
          <w:lang w:val="en-GB"/>
        </w:rPr>
        <w:t>f the 90 MHz spectrum available in the 1500 MHz frequency band</w:t>
      </w:r>
      <w:r w:rsidR="00124285">
        <w:rPr>
          <w:lang w:val="en-GB"/>
        </w:rPr>
        <w:t xml:space="preserve"> according to the European regulation</w:t>
      </w:r>
      <w:r>
        <w:rPr>
          <w:lang w:val="en-GB"/>
        </w:rPr>
        <w:t xml:space="preserve">, a maximum of 65 MHz spectrum can be </w:t>
      </w:r>
      <w:r w:rsidR="00124285">
        <w:rPr>
          <w:lang w:val="en-GB"/>
        </w:rPr>
        <w:t xml:space="preserve">distributed for </w:t>
      </w:r>
      <w:r>
        <w:rPr>
          <w:lang w:val="en-GB"/>
        </w:rPr>
        <w:t xml:space="preserve">MFCN SDL in Hungary. In the event of a market demand for the use of the frequency band, the entitlement to radio spectrum use for the 1427-1492 MHz frequency band </w:t>
      </w:r>
      <w:r w:rsidR="000F4570">
        <w:rPr>
          <w:lang w:val="en-GB"/>
        </w:rPr>
        <w:t xml:space="preserve">is to </w:t>
      </w:r>
      <w:r>
        <w:rPr>
          <w:lang w:val="en-GB"/>
        </w:rPr>
        <w:t xml:space="preserve">be </w:t>
      </w:r>
      <w:r w:rsidR="00176386" w:rsidRPr="00176386">
        <w:rPr>
          <w:lang w:val="en-GB"/>
        </w:rPr>
        <w:t xml:space="preserve">distributed </w:t>
      </w:r>
      <w:r>
        <w:rPr>
          <w:lang w:val="en-GB"/>
        </w:rPr>
        <w:t>for the provision of services for the purpose of MFCN SDL in a competitive procedure.</w:t>
      </w:r>
    </w:p>
    <w:p w14:paraId="66B9F986" w14:textId="77777777" w:rsidR="00410AC8" w:rsidRDefault="00410AC8" w:rsidP="00410AC8">
      <w:pPr>
        <w:pStyle w:val="Behzottbekezdsnmhh"/>
        <w:spacing w:before="120"/>
      </w:pPr>
    </w:p>
    <w:p w14:paraId="07A66F96" w14:textId="77777777" w:rsidR="00410AC8" w:rsidRPr="00342DE4" w:rsidRDefault="00410AC8" w:rsidP="00B85A3A">
      <w:pPr>
        <w:pStyle w:val="Behzottbekezdsnmhh"/>
        <w:spacing w:before="120"/>
      </w:pPr>
    </w:p>
    <w:p w14:paraId="1713822B" w14:textId="77777777" w:rsidR="001E50C0" w:rsidRDefault="001E50C0" w:rsidP="00900279">
      <w:pPr>
        <w:pStyle w:val="Cmsor1szmozottnmhh"/>
        <w:spacing w:before="360"/>
        <w:ind w:left="431" w:hanging="431"/>
      </w:pPr>
      <w:bookmarkStart w:id="5" w:name="_Toc98750568"/>
      <w:r>
        <w:rPr>
          <w:bCs/>
          <w:lang w:val="en-GB"/>
        </w:rPr>
        <w:lastRenderedPageBreak/>
        <w:t>Introduction</w:t>
      </w:r>
      <w:bookmarkEnd w:id="2"/>
      <w:bookmarkEnd w:id="5"/>
    </w:p>
    <w:p w14:paraId="627579B2" w14:textId="419C4EAE" w:rsidR="00D24EFD" w:rsidRPr="003D4E11" w:rsidRDefault="00D24EFD" w:rsidP="00D24EFD">
      <w:pPr>
        <w:pStyle w:val="Behzottbekezdsnmhh"/>
        <w:spacing w:before="120"/>
      </w:pPr>
      <w:r>
        <w:rPr>
          <w:lang w:val="en-GB"/>
        </w:rPr>
        <w:t xml:space="preserve">The 1452-1492 MHz frequency band </w:t>
      </w:r>
      <w:r w:rsidR="000F242E">
        <w:rPr>
          <w:lang w:val="en-GB"/>
        </w:rPr>
        <w:t xml:space="preserve">was designated </w:t>
      </w:r>
      <w:r>
        <w:rPr>
          <w:lang w:val="en-GB"/>
        </w:rPr>
        <w:t xml:space="preserve">for terrestrial and satellite digital audio broadcasting. </w:t>
      </w:r>
      <w:r w:rsidR="003B02C6">
        <w:rPr>
          <w:lang w:val="en-GB"/>
        </w:rPr>
        <w:t>I</w:t>
      </w:r>
      <w:r>
        <w:rPr>
          <w:lang w:val="en-GB"/>
        </w:rPr>
        <w:t>n the 1427-1452 MHz and 1492-1518 MHz frequency bands</w:t>
      </w:r>
      <w:r w:rsidR="003B02C6">
        <w:rPr>
          <w:lang w:val="en-GB"/>
        </w:rPr>
        <w:t>,</w:t>
      </w:r>
      <w:r>
        <w:rPr>
          <w:lang w:val="en-GB"/>
        </w:rPr>
        <w:t xml:space="preserve"> </w:t>
      </w:r>
      <w:r w:rsidR="003B02C6">
        <w:rPr>
          <w:lang w:val="en-GB"/>
        </w:rPr>
        <w:t xml:space="preserve">frequencies were primarily assigned </w:t>
      </w:r>
      <w:r>
        <w:rPr>
          <w:lang w:val="en-GB"/>
        </w:rPr>
        <w:t xml:space="preserve">for systems of </w:t>
      </w:r>
      <w:r w:rsidR="000F242E">
        <w:rPr>
          <w:lang w:val="en-GB"/>
        </w:rPr>
        <w:t xml:space="preserve">the </w:t>
      </w:r>
      <w:r>
        <w:rPr>
          <w:lang w:val="en-GB"/>
        </w:rPr>
        <w:t>fixed service; besides this, typically equipment for Programme Making and Special Events (hereinafter: PMSE</w:t>
      </w:r>
      <w:r>
        <w:rPr>
          <w:rStyle w:val="Lbjegyzet-hivatkozs"/>
          <w:lang w:val="en-GB"/>
        </w:rPr>
        <w:footnoteReference w:id="2"/>
      </w:r>
      <w:r>
        <w:rPr>
          <w:lang w:val="en-GB"/>
        </w:rPr>
        <w:t xml:space="preserve">), and military equipment are in operation.  </w:t>
      </w:r>
    </w:p>
    <w:p w14:paraId="4FCA85D8" w14:textId="4153361F" w:rsidR="00D24EFD" w:rsidRDefault="00D24EFD" w:rsidP="00D24EFD">
      <w:pPr>
        <w:pStyle w:val="Behzottbekezdsnmhh"/>
        <w:spacing w:before="120"/>
      </w:pPr>
      <w:r>
        <w:rPr>
          <w:lang w:val="en-GB"/>
        </w:rPr>
        <w:t>In the 1429-1518 MHz frequency band, the aeronautical telemetry systems of the aeronautical mobile service operate in some countries (e.g. Ukraine, Russia and the USA).</w:t>
      </w:r>
    </w:p>
    <w:p w14:paraId="277D83B1" w14:textId="1767A56A" w:rsidR="003D4E11" w:rsidRDefault="003D4E11" w:rsidP="00B85A3A">
      <w:pPr>
        <w:pStyle w:val="Behzottbekezdsnmhh"/>
        <w:spacing w:before="120"/>
      </w:pPr>
      <w:r>
        <w:rPr>
          <w:lang w:val="en-GB"/>
        </w:rPr>
        <w:t xml:space="preserve">The majority of the 1452–1492 MHz frequency band (1452-1479.5 MHz) was earlier designated in the EU member states for terrestrial digital audio broadcasting (T-DAB) based on the Maastricht Special Arrangement (MA02revCO07), but the introduction of the T-DAB did not come into general use in this frequency band, leaving it unutilised. </w:t>
      </w:r>
    </w:p>
    <w:p w14:paraId="1531D713" w14:textId="336A3C7F" w:rsidR="003D4E11" w:rsidRDefault="003D4E11" w:rsidP="00B85A3A">
      <w:pPr>
        <w:pStyle w:val="Behzottbekezdsnmhh"/>
        <w:spacing w:before="120"/>
      </w:pPr>
      <w:r>
        <w:rPr>
          <w:lang w:val="en-GB"/>
        </w:rPr>
        <w:t xml:space="preserve">In order to make </w:t>
      </w:r>
      <w:r w:rsidR="00AB775D">
        <w:rPr>
          <w:lang w:val="en-GB"/>
        </w:rPr>
        <w:t xml:space="preserve">more efficient </w:t>
      </w:r>
      <w:r>
        <w:rPr>
          <w:lang w:val="en-GB"/>
        </w:rPr>
        <w:t xml:space="preserve">use of the frequency band, in 2015 Union </w:t>
      </w:r>
      <w:r w:rsidR="00373F1F" w:rsidRPr="00373F1F">
        <w:rPr>
          <w:lang w:val="en-GB"/>
        </w:rPr>
        <w:t xml:space="preserve">legislation </w:t>
      </w:r>
      <w:r>
        <w:rPr>
          <w:lang w:val="en-GB"/>
        </w:rPr>
        <w:t>was adopted which harmonised the 1452-1492 MHz frequency band for Supplemental Downlink</w:t>
      </w:r>
      <w:r w:rsidR="00D16AC1">
        <w:rPr>
          <w:lang w:val="en-GB"/>
        </w:rPr>
        <w:t>s</w:t>
      </w:r>
      <w:r>
        <w:rPr>
          <w:lang w:val="en-GB"/>
        </w:rPr>
        <w:t xml:space="preserve"> (SDL) of wireless broadband electronic communications services to be implemented with Mobile/Fixed Communication</w:t>
      </w:r>
      <w:r w:rsidR="00D16AC1">
        <w:rPr>
          <w:lang w:val="en-GB"/>
        </w:rPr>
        <w:t>s</w:t>
      </w:r>
      <w:r>
        <w:rPr>
          <w:lang w:val="en-GB"/>
        </w:rPr>
        <w:t xml:space="preserve"> Networks (MFCN), while allowing Member States to adapt to national circumstances in parts of the frequency band (e.g. 1452-1479.5 MHz for terrestrial broadcasting). </w:t>
      </w:r>
    </w:p>
    <w:p w14:paraId="3414A91A" w14:textId="5085B5E3" w:rsidR="000E066F" w:rsidRDefault="009500D6" w:rsidP="000E066F">
      <w:pPr>
        <w:pStyle w:val="Behzottbekezdsnmhh"/>
        <w:spacing w:before="120"/>
      </w:pPr>
      <w:r>
        <w:rPr>
          <w:lang w:val="en-GB"/>
        </w:rPr>
        <w:t>The 2015 World Radiocommunication Conference (WRC-15</w:t>
      </w:r>
      <w:r>
        <w:rPr>
          <w:rStyle w:val="Lbjegyzet-hivatkozs"/>
          <w:lang w:val="en-GB"/>
        </w:rPr>
        <w:footnoteReference w:id="3"/>
      </w:r>
      <w:r>
        <w:rPr>
          <w:lang w:val="en-GB"/>
        </w:rPr>
        <w:t xml:space="preserve">) also identified the 1427-1452 MHz and 1492-1518 MHz frequency bands adjacent to the 1452-1492 MHz frequency band for </w:t>
      </w:r>
      <w:r>
        <w:rPr>
          <w:rFonts w:ascii="Arial" w:hAnsi="Arial"/>
          <w:lang w:val="en-GB"/>
        </w:rPr>
        <w:t>IMT</w:t>
      </w:r>
      <w:r>
        <w:rPr>
          <w:rStyle w:val="Lbjegyzet-hivatkozs"/>
          <w:rFonts w:ascii="Arial" w:hAnsi="Arial" w:cs="Arial"/>
          <w:lang w:val="en-GB"/>
        </w:rPr>
        <w:footnoteReference w:id="4"/>
      </w:r>
      <w:r>
        <w:rPr>
          <w:rFonts w:ascii="Arial" w:hAnsi="Arial"/>
          <w:lang w:val="en-GB"/>
        </w:rPr>
        <w:t xml:space="preserve"> </w:t>
      </w:r>
      <w:r>
        <w:rPr>
          <w:lang w:val="en-GB"/>
        </w:rPr>
        <w:t>purposes, and harmonised technical conditions were developed at European level to ensure the use of these bands for mobile/fixed communication</w:t>
      </w:r>
      <w:r w:rsidR="00D718EC">
        <w:rPr>
          <w:lang w:val="en-GB"/>
        </w:rPr>
        <w:t>s</w:t>
      </w:r>
      <w:r>
        <w:rPr>
          <w:lang w:val="en-GB"/>
        </w:rPr>
        <w:t xml:space="preserve"> networks capable of providing wireless broadband communications services. </w:t>
      </w:r>
    </w:p>
    <w:p w14:paraId="17A822F0" w14:textId="08DAB795" w:rsidR="0001565B" w:rsidRDefault="000E066F" w:rsidP="000E066F">
      <w:pPr>
        <w:pStyle w:val="Behzottbekezdsnmhh"/>
        <w:spacing w:before="120"/>
      </w:pPr>
      <w:r>
        <w:rPr>
          <w:lang w:val="en-GB"/>
        </w:rPr>
        <w:t xml:space="preserve">Pursuant to Commission Implementing Decisions adopted for the 1452-1492 MHz </w:t>
      </w:r>
      <w:r w:rsidR="005E5CD5">
        <w:rPr>
          <w:lang w:val="en-GB"/>
        </w:rPr>
        <w:t xml:space="preserve">as well as </w:t>
      </w:r>
      <w:r>
        <w:rPr>
          <w:lang w:val="en-GB"/>
        </w:rPr>
        <w:t>1427-1452 MHz and 1492-1518 MHz frequency bands</w:t>
      </w:r>
      <w:r>
        <w:rPr>
          <w:rStyle w:val="Lbjegyzet-hivatkozs"/>
          <w:lang w:val="en-GB"/>
        </w:rPr>
        <w:footnoteReference w:id="5"/>
      </w:r>
      <w:r>
        <w:rPr>
          <w:lang w:val="en-GB"/>
        </w:rPr>
        <w:t xml:space="preserve">, the entire 1427-1518 MHz frequency band can be used for MFCN purposes, taking into account technology neutrality, but exclusively to provide the supplemental downlinks necessary for increased downlink traffic. </w:t>
      </w:r>
    </w:p>
    <w:p w14:paraId="28511885" w14:textId="36BB75EF" w:rsidR="00F25C2C" w:rsidRDefault="00F25C2C" w:rsidP="00F25C2C">
      <w:pPr>
        <w:pStyle w:val="Behzottbekezdsnmhh"/>
        <w:spacing w:before="120"/>
      </w:pPr>
      <w:r>
        <w:rPr>
          <w:lang w:val="en-GB"/>
        </w:rPr>
        <w:t xml:space="preserve">Hungary has implemented the EU legislation on the 1500 MHz frequency band by taking into account current </w:t>
      </w:r>
      <w:r w:rsidR="00304D0B">
        <w:rPr>
          <w:lang w:val="en-GB"/>
        </w:rPr>
        <w:t xml:space="preserve">national </w:t>
      </w:r>
      <w:r>
        <w:rPr>
          <w:lang w:val="en-GB"/>
        </w:rPr>
        <w:t xml:space="preserve">usage. Due to the use of the 1492-1518 MHz frequency sub-band for non-civil purposes, on the basis of the NFFF Decree only the 1427-1492 MHz frequency </w:t>
      </w:r>
      <w:r w:rsidR="000F14FF">
        <w:rPr>
          <w:lang w:val="en-GB"/>
        </w:rPr>
        <w:t>sub-</w:t>
      </w:r>
      <w:r>
        <w:rPr>
          <w:lang w:val="en-GB"/>
        </w:rPr>
        <w:t xml:space="preserve">band from the 1427-1518 MHz frequency band harmonised for MFCN purposes is designated for MFCN purposes and accordingly </w:t>
      </w:r>
      <w:r w:rsidR="000F14FF">
        <w:rPr>
          <w:lang w:val="en-GB"/>
        </w:rPr>
        <w:t xml:space="preserve">it </w:t>
      </w:r>
      <w:r>
        <w:rPr>
          <w:lang w:val="en-GB"/>
        </w:rPr>
        <w:t xml:space="preserve">contains detailed technical and band-use specifications enabling the frequency band to be distributed. </w:t>
      </w:r>
    </w:p>
    <w:p w14:paraId="4A267D28" w14:textId="4AF402F8" w:rsidR="000E066F" w:rsidRDefault="0001565B" w:rsidP="000E066F">
      <w:pPr>
        <w:pStyle w:val="Behzottbekezdsnmhh"/>
        <w:spacing w:before="120"/>
      </w:pPr>
      <w:r>
        <w:rPr>
          <w:lang w:val="en-GB"/>
        </w:rPr>
        <w:t xml:space="preserve">The necessary coordination </w:t>
      </w:r>
      <w:r w:rsidR="00FC006C">
        <w:rPr>
          <w:lang w:val="en-GB"/>
        </w:rPr>
        <w:t xml:space="preserve">agreements </w:t>
      </w:r>
      <w:r>
        <w:rPr>
          <w:lang w:val="en-GB"/>
        </w:rPr>
        <w:t xml:space="preserve">for the use of frequencies </w:t>
      </w:r>
      <w:r w:rsidR="00FC006C">
        <w:rPr>
          <w:lang w:val="en-GB"/>
        </w:rPr>
        <w:t xml:space="preserve">in the border area </w:t>
      </w:r>
      <w:r>
        <w:rPr>
          <w:lang w:val="en-GB"/>
        </w:rPr>
        <w:t xml:space="preserve">with Austria, Croatia, Romania, Slovakia and Slovenia are available for the 1452-1492 MHz frequency band; Serbia has not yet adopted a regulatory plan for the frequency band and has, therefore, not yet acceded to the Agreement. According to the amended EU legislation, agreements must also be concluded for the extended frequency band. Among the neighbouring countries, there are also aeronautical telemetry systems in Ukraine, so a coordination agreement was concluded with Ukraine to ensure the interference-free use of MFCN and aeronautical telemetry systems for the entire 1427-1518 MHz frequency band.  </w:t>
      </w:r>
    </w:p>
    <w:p w14:paraId="56FE6AA8" w14:textId="50532246" w:rsidR="00680324" w:rsidRDefault="00680324" w:rsidP="000E066F">
      <w:pPr>
        <w:pStyle w:val="Behzottbekezdsnmhh"/>
        <w:spacing w:before="120"/>
      </w:pPr>
      <w:r>
        <w:rPr>
          <w:rFonts w:ascii="Arial" w:hAnsi="Arial"/>
          <w:lang w:val="en-GB"/>
        </w:rPr>
        <w:lastRenderedPageBreak/>
        <w:t>The public consultation</w:t>
      </w:r>
      <w:r w:rsidR="00402749">
        <w:rPr>
          <w:rFonts w:ascii="Arial" w:hAnsi="Arial"/>
          <w:lang w:val="en-GB"/>
        </w:rPr>
        <w:t>s</w:t>
      </w:r>
      <w:r>
        <w:rPr>
          <w:rFonts w:ascii="Arial" w:hAnsi="Arial"/>
          <w:lang w:val="en-GB"/>
        </w:rPr>
        <w:t xml:space="preserve"> of the NMHH held on 23 November 2017</w:t>
      </w:r>
      <w:r>
        <w:rPr>
          <w:rStyle w:val="Lbjegyzet-hivatkozs"/>
          <w:rFonts w:ascii="Arial" w:eastAsia="Calibri" w:hAnsi="Arial" w:cs="Times New Roman"/>
          <w:lang w:val="en-GB"/>
        </w:rPr>
        <w:footnoteReference w:id="6"/>
      </w:r>
      <w:r>
        <w:rPr>
          <w:rFonts w:ascii="Arial" w:hAnsi="Arial"/>
          <w:lang w:val="en-GB"/>
        </w:rPr>
        <w:t xml:space="preserve"> and on 13 December 2019</w:t>
      </w:r>
      <w:r>
        <w:rPr>
          <w:rStyle w:val="Lbjegyzet-hivatkozs"/>
          <w:rFonts w:ascii="Arial" w:eastAsia="Calibri" w:hAnsi="Arial" w:cs="Times New Roman"/>
          <w:lang w:val="en-GB"/>
        </w:rPr>
        <w:footnoteReference w:id="7"/>
      </w:r>
      <w:r>
        <w:rPr>
          <w:rFonts w:ascii="Arial" w:hAnsi="Arial"/>
          <w:lang w:val="en-GB"/>
        </w:rPr>
        <w:t xml:space="preserve"> also addressed issues related to the utilisation of the 1500 </w:t>
      </w:r>
      <w:r w:rsidR="00402749">
        <w:rPr>
          <w:rFonts w:ascii="Arial" w:hAnsi="Arial"/>
          <w:lang w:val="en-GB"/>
        </w:rPr>
        <w:t>M</w:t>
      </w:r>
      <w:r>
        <w:rPr>
          <w:rFonts w:ascii="Arial" w:hAnsi="Arial"/>
          <w:lang w:val="en-GB"/>
        </w:rPr>
        <w:t xml:space="preserve">Hz </w:t>
      </w:r>
      <w:r>
        <w:rPr>
          <w:lang w:val="en-GB"/>
        </w:rPr>
        <w:t>frequency</w:t>
      </w:r>
      <w:r>
        <w:rPr>
          <w:rFonts w:ascii="Arial" w:hAnsi="Arial"/>
          <w:lang w:val="en-GB"/>
        </w:rPr>
        <w:t xml:space="preserve"> band. During the previous public consultations, no claim was made by the market </w:t>
      </w:r>
      <w:r w:rsidR="001D1F16" w:rsidRPr="001D1F16">
        <w:rPr>
          <w:rFonts w:ascii="Arial" w:hAnsi="Arial"/>
          <w:lang w:val="en-GB"/>
        </w:rPr>
        <w:t xml:space="preserve">players </w:t>
      </w:r>
      <w:r>
        <w:rPr>
          <w:rFonts w:ascii="Arial" w:hAnsi="Arial"/>
          <w:lang w:val="en-GB"/>
        </w:rPr>
        <w:t xml:space="preserve">in connection with the use of this </w:t>
      </w:r>
      <w:r>
        <w:rPr>
          <w:lang w:val="en-GB"/>
        </w:rPr>
        <w:t>frequency</w:t>
      </w:r>
      <w:r>
        <w:rPr>
          <w:rFonts w:ascii="Arial" w:hAnsi="Arial"/>
          <w:lang w:val="en-GB"/>
        </w:rPr>
        <w:t xml:space="preserve"> band for SDL purposes.</w:t>
      </w:r>
    </w:p>
    <w:p w14:paraId="419C5560" w14:textId="6DD320C0" w:rsidR="001E50C0" w:rsidRDefault="00197F12" w:rsidP="006A01EF">
      <w:pPr>
        <w:pStyle w:val="Cmsor1szmozottnmhh"/>
      </w:pPr>
      <w:bookmarkStart w:id="6" w:name="_Toc473880714"/>
      <w:bookmarkStart w:id="7" w:name="_Toc98750569"/>
      <w:r>
        <w:rPr>
          <w:bCs/>
          <w:lang w:val="en-GB"/>
        </w:rPr>
        <w:lastRenderedPageBreak/>
        <w:t>Rules for the use of the 1500 MHz frequency band</w:t>
      </w:r>
      <w:bookmarkEnd w:id="6"/>
      <w:bookmarkEnd w:id="7"/>
    </w:p>
    <w:p w14:paraId="258428A8" w14:textId="25AF9703" w:rsidR="003D4E11" w:rsidRPr="003D4E11" w:rsidRDefault="00921695" w:rsidP="00B85A3A">
      <w:pPr>
        <w:pStyle w:val="Behzottbekezdsnmhh"/>
        <w:spacing w:before="120"/>
      </w:pPr>
      <w:r>
        <w:rPr>
          <w:lang w:val="en-GB"/>
        </w:rPr>
        <w:t>Considering that the 1427-1518 MHz frequency band had been typically underutilised internationally, in Europe and in other regions, studies were carried out at European and global level to allow for the deployment of broadband mobile service applications and relevant international regulations were adopted.</w:t>
      </w:r>
    </w:p>
    <w:p w14:paraId="5A187445" w14:textId="77777777" w:rsidR="001E50C0" w:rsidRDefault="001E50C0" w:rsidP="00900279">
      <w:pPr>
        <w:pStyle w:val="Cmsor2szmozottnmhh"/>
        <w:spacing w:before="360"/>
        <w:ind w:left="578" w:hanging="578"/>
      </w:pPr>
      <w:bookmarkStart w:id="8" w:name="_Toc473880715"/>
      <w:bookmarkStart w:id="9" w:name="_Toc98750570"/>
      <w:r>
        <w:rPr>
          <w:bCs/>
          <w:lang w:val="en-GB"/>
        </w:rPr>
        <w:t>International regulation</w:t>
      </w:r>
      <w:bookmarkEnd w:id="8"/>
      <w:bookmarkEnd w:id="9"/>
    </w:p>
    <w:p w14:paraId="77316097" w14:textId="678A7212" w:rsidR="003D4E11" w:rsidRPr="003D4E11" w:rsidRDefault="003D4E11" w:rsidP="00B85A3A">
      <w:pPr>
        <w:pStyle w:val="Behzottbekezdsnmhh"/>
        <w:spacing w:before="120"/>
      </w:pPr>
      <w:r>
        <w:rPr>
          <w:lang w:val="en-GB"/>
        </w:rPr>
        <w:t>The global harmonisation of the 1452-1492 MHz frequency band and making it available for IMT was broadly supported by market players, therefore the establishment of appropriate regulatory frameworks was a key question in the international organisations concerned and the groups responsible for spectrum management (ITU</w:t>
      </w:r>
      <w:r>
        <w:rPr>
          <w:rStyle w:val="Lbjegyzet-hivatkozs"/>
          <w:lang w:val="en-GB"/>
        </w:rPr>
        <w:footnoteReference w:id="8"/>
      </w:r>
      <w:r>
        <w:rPr>
          <w:lang w:val="en-GB"/>
        </w:rPr>
        <w:t>, CEPT</w:t>
      </w:r>
      <w:r>
        <w:rPr>
          <w:rStyle w:val="Lbjegyzet-hivatkozs"/>
          <w:lang w:val="en-GB"/>
        </w:rPr>
        <w:footnoteReference w:id="9"/>
      </w:r>
      <w:r>
        <w:rPr>
          <w:lang w:val="en-GB"/>
        </w:rPr>
        <w:t xml:space="preserve">, European Union). </w:t>
      </w:r>
    </w:p>
    <w:p w14:paraId="3C5385C7" w14:textId="77777777" w:rsidR="001E50C0" w:rsidRDefault="001E50C0" w:rsidP="00900279">
      <w:pPr>
        <w:pStyle w:val="Cmsor3szmozottnmhh"/>
        <w:spacing w:before="360"/>
        <w:ind w:left="993" w:hanging="851"/>
      </w:pPr>
      <w:bookmarkStart w:id="10" w:name="_Toc473880717"/>
      <w:bookmarkStart w:id="11" w:name="_Toc98750571"/>
      <w:bookmarkStart w:id="12" w:name="_Toc473880716"/>
      <w:r>
        <w:rPr>
          <w:bCs/>
          <w:lang w:val="en-GB"/>
        </w:rPr>
        <w:t>ITU</w:t>
      </w:r>
      <w:bookmarkEnd w:id="10"/>
      <w:bookmarkEnd w:id="11"/>
    </w:p>
    <w:p w14:paraId="6B40061F" w14:textId="7628903B" w:rsidR="00D24EFD" w:rsidRPr="003D4E11" w:rsidRDefault="00D24EFD" w:rsidP="00D24EFD">
      <w:pPr>
        <w:pStyle w:val="Behzottbekezdsnmhh"/>
        <w:spacing w:before="120"/>
      </w:pPr>
      <w:r>
        <w:rPr>
          <w:lang w:val="en-GB"/>
        </w:rPr>
        <w:t xml:space="preserve">The global identification of the 1452-1492 MHz frequency band for IMT purposes was only implemented partly in the Radio Regulations (hereinafter: RR), while the adjacent 1427-1452 MHz and 1492-1518 MHz frequency bands can be used globally for </w:t>
      </w:r>
      <w:r>
        <w:rPr>
          <w:rFonts w:ascii="Arial" w:hAnsi="Arial"/>
          <w:lang w:val="en-GB"/>
        </w:rPr>
        <w:t>IMT</w:t>
      </w:r>
      <w:r>
        <w:rPr>
          <w:lang w:val="en-GB"/>
        </w:rPr>
        <w:t xml:space="preserve">, based on the amendment accepted at the WRC-15. </w:t>
      </w:r>
    </w:p>
    <w:p w14:paraId="1237C382" w14:textId="52665BBF" w:rsidR="003D4E11" w:rsidRPr="003D4E11" w:rsidRDefault="003D4E11" w:rsidP="00B85A3A">
      <w:pPr>
        <w:pStyle w:val="Behzottbekezdsnmhh"/>
        <w:spacing w:before="120"/>
      </w:pPr>
      <w:r>
        <w:rPr>
          <w:lang w:val="en-GB"/>
        </w:rPr>
        <w:t xml:space="preserve">The RR allocation is set out in Annex 1 to the NFFF Decree.  </w:t>
      </w:r>
    </w:p>
    <w:p w14:paraId="0054099A" w14:textId="2BEDF6FF" w:rsidR="003D4E11" w:rsidRPr="003D4E11" w:rsidRDefault="003D4E11" w:rsidP="00B85A3A">
      <w:pPr>
        <w:pStyle w:val="Behzottbekezdsnmhh"/>
        <w:spacing w:before="120"/>
      </w:pPr>
      <w:r>
        <w:rPr>
          <w:lang w:val="en-GB"/>
        </w:rPr>
        <w:t xml:space="preserve">In Region 1 of the RR that includes EU Member States, the 1427-1518 MHz frequency band is allocated to </w:t>
      </w:r>
      <w:r w:rsidR="009A6539">
        <w:rPr>
          <w:lang w:val="en-GB"/>
        </w:rPr>
        <w:t xml:space="preserve">the </w:t>
      </w:r>
      <w:r>
        <w:rPr>
          <w:lang w:val="en-GB"/>
        </w:rPr>
        <w:t>fixed and mobile (except aeronautical mobile</w:t>
      </w:r>
      <w:r w:rsidR="009A6539">
        <w:rPr>
          <w:lang w:val="en-GB"/>
        </w:rPr>
        <w:t>)</w:t>
      </w:r>
      <w:r>
        <w:rPr>
          <w:lang w:val="en-GB"/>
        </w:rPr>
        <w:t xml:space="preserve"> services on a primary basis, and within that the 1452–1492 MHz frequency band is </w:t>
      </w:r>
      <w:r w:rsidR="009A6539">
        <w:rPr>
          <w:lang w:val="en-GB"/>
        </w:rPr>
        <w:t xml:space="preserve">also </w:t>
      </w:r>
      <w:r>
        <w:rPr>
          <w:lang w:val="en-GB"/>
        </w:rPr>
        <w:t xml:space="preserve">allocated to </w:t>
      </w:r>
      <w:r w:rsidR="009A6539">
        <w:rPr>
          <w:lang w:val="en-GB"/>
        </w:rPr>
        <w:t xml:space="preserve">the </w:t>
      </w:r>
      <w:r>
        <w:rPr>
          <w:lang w:val="en-GB"/>
        </w:rPr>
        <w:t>broadcasting and broadcasting</w:t>
      </w:r>
      <w:r w:rsidR="009A6539">
        <w:rPr>
          <w:lang w:val="en-GB"/>
        </w:rPr>
        <w:t>-satellite</w:t>
      </w:r>
      <w:r>
        <w:rPr>
          <w:lang w:val="en-GB"/>
        </w:rPr>
        <w:t xml:space="preserve"> services, and the 1427-1429 MHz frequency band </w:t>
      </w:r>
      <w:r w:rsidR="009A6539" w:rsidRPr="009A6539">
        <w:rPr>
          <w:lang w:val="en-GB"/>
        </w:rPr>
        <w:t xml:space="preserve">is also allocated </w:t>
      </w:r>
      <w:r>
        <w:rPr>
          <w:lang w:val="en-GB"/>
        </w:rPr>
        <w:t xml:space="preserve">to </w:t>
      </w:r>
      <w:r w:rsidR="009A6539">
        <w:rPr>
          <w:lang w:val="en-GB"/>
        </w:rPr>
        <w:t xml:space="preserve">the </w:t>
      </w:r>
      <w:r>
        <w:rPr>
          <w:lang w:val="en-GB"/>
        </w:rPr>
        <w:t>space operations.</w:t>
      </w:r>
    </w:p>
    <w:p w14:paraId="4B9C6D84" w14:textId="5E828EFC" w:rsidR="00DE62EF" w:rsidRDefault="00DE62EF" w:rsidP="00B85A3A">
      <w:pPr>
        <w:pStyle w:val="Behzottbekezdsnmhh"/>
        <w:spacing w:before="120"/>
      </w:pPr>
      <w:r>
        <w:rPr>
          <w:lang w:val="en-GB"/>
        </w:rPr>
        <w:t xml:space="preserve">The 1429-1535 MHz frequency band (and within that the 1452–1492 MHz frequency band) is also allocated </w:t>
      </w:r>
      <w:r w:rsidR="009A6539">
        <w:rPr>
          <w:lang w:val="en-GB"/>
        </w:rPr>
        <w:t xml:space="preserve">to the </w:t>
      </w:r>
      <w:r>
        <w:rPr>
          <w:lang w:val="en-GB"/>
        </w:rPr>
        <w:t xml:space="preserve">aeronautical mobile service on a primary basis in a few countries, such as Ukraine, Hungary’s neighbour, according to footnote 5.342 of the Radio Regulations: </w:t>
      </w:r>
    </w:p>
    <w:p w14:paraId="4B22510C" w14:textId="63C7291E" w:rsidR="00DE62EF" w:rsidRPr="00DE62EF" w:rsidRDefault="00DE62EF" w:rsidP="00B85A3A">
      <w:pPr>
        <w:pStyle w:val="Behzottbekezdsnmhh"/>
        <w:spacing w:before="120"/>
        <w:ind w:left="851" w:hanging="851"/>
        <w:rPr>
          <w:i/>
        </w:rPr>
      </w:pPr>
      <w:r>
        <w:rPr>
          <w:i/>
          <w:iCs/>
          <w:lang w:val="en-GB"/>
        </w:rPr>
        <w:t>5.342</w:t>
      </w:r>
      <w:r>
        <w:rPr>
          <w:i/>
          <w:iCs/>
          <w:lang w:val="en-GB"/>
        </w:rPr>
        <w:tab/>
        <w:t>Additional allocation: in Armenia, Azerbaijan, Belarus, the Russian Federation, Uzbekistan, Kyrgyzstan and Ukraine, the frequency band 1 429-1 535 MHz is also allocated to the aeronautical mobile service on a primary basis, exclusively for the purposes of aeronautical telemetry within the national territory. As of 1 April 2007, the use of the frequency band 1 452-1 492 MHz is subject to agreement between the administrations concerned. (WRC</w:t>
      </w:r>
      <w:r>
        <w:rPr>
          <w:i/>
          <w:iCs/>
          <w:lang w:val="en-GB"/>
        </w:rPr>
        <w:noBreakHyphen/>
        <w:t xml:space="preserve">15) </w:t>
      </w:r>
    </w:p>
    <w:p w14:paraId="7E8C0901" w14:textId="6C5DDCE0" w:rsidR="00DE62EF" w:rsidRDefault="00DE62EF" w:rsidP="00B85A3A">
      <w:pPr>
        <w:pStyle w:val="Behzottbekezdsnmhh"/>
        <w:spacing w:before="120"/>
      </w:pPr>
      <w:r>
        <w:rPr>
          <w:lang w:val="en-GB"/>
        </w:rPr>
        <w:t>The ITU-R M.2324 Report</w:t>
      </w:r>
      <w:r>
        <w:rPr>
          <w:rStyle w:val="Lbjegyzet-hivatkozs"/>
          <w:lang w:val="en-GB"/>
        </w:rPr>
        <w:footnoteReference w:id="10"/>
      </w:r>
      <w:r>
        <w:rPr>
          <w:lang w:val="en-GB"/>
        </w:rPr>
        <w:t xml:space="preserve"> contains the results of the compatibility studies between the aeronautical telemetry systems operating in the 1429-1535 MHz frequency band and the IMT systems.  </w:t>
      </w:r>
    </w:p>
    <w:p w14:paraId="5D426EC9" w14:textId="763D78C5" w:rsidR="00DE62EF" w:rsidRDefault="00DE62EF" w:rsidP="00B85A3A">
      <w:pPr>
        <w:pStyle w:val="Behzottbekezdsnmhh"/>
        <w:spacing w:before="120"/>
      </w:pPr>
      <w:r>
        <w:rPr>
          <w:lang w:val="en-GB"/>
        </w:rPr>
        <w:t>For the 1427-1452 MHz and 1492-1518 MHz frequency bands, the WRC-15 made the use for IMT purposes possible, by adopting footnote 5.341A:</w:t>
      </w:r>
    </w:p>
    <w:p w14:paraId="58A105EF" w14:textId="080AFF31" w:rsidR="00DE62EF" w:rsidRPr="002C3924" w:rsidRDefault="00DE62EF" w:rsidP="00B85A3A">
      <w:pPr>
        <w:pStyle w:val="Behzottbekezdsnmhh"/>
        <w:spacing w:before="120"/>
        <w:ind w:left="851" w:hanging="851"/>
        <w:rPr>
          <w:i/>
        </w:rPr>
      </w:pPr>
      <w:r>
        <w:rPr>
          <w:i/>
          <w:iCs/>
          <w:lang w:val="en-GB"/>
        </w:rPr>
        <w:t xml:space="preserve">5.341A </w:t>
      </w:r>
      <w:r>
        <w:rPr>
          <w:lang w:val="en-GB"/>
        </w:rPr>
        <w:tab/>
      </w:r>
      <w:r>
        <w:rPr>
          <w:i/>
          <w:iCs/>
          <w:lang w:val="en-GB"/>
        </w:rPr>
        <w:t xml:space="preserve">In Region 1, the frequency bands 1 427-1 452 MHz and 1 492-1 518 MHz are intended for use by administrations wishing to implement International Mobile Telecommunications (IMT) in accordance with Resolution 223 (Rev.WRC-19). This identification does not preclude the use of these frequency bands by any application of the services to which </w:t>
      </w:r>
      <w:r w:rsidR="005B6A35">
        <w:rPr>
          <w:i/>
          <w:iCs/>
          <w:lang w:val="en-GB"/>
        </w:rPr>
        <w:t xml:space="preserve">it is </w:t>
      </w:r>
      <w:r>
        <w:rPr>
          <w:i/>
          <w:iCs/>
          <w:lang w:val="en-GB"/>
        </w:rPr>
        <w:t xml:space="preserve">allocated and does not establish priority in the Radio Regulations. The use of IMT stations is subject to agreement </w:t>
      </w:r>
      <w:r>
        <w:rPr>
          <w:i/>
          <w:iCs/>
          <w:lang w:val="en-GB"/>
        </w:rPr>
        <w:lastRenderedPageBreak/>
        <w:t>obtained under No. 9.21 with respect to the aeronautical mobile service used for aeronautical telemetry in accordance with No. 5.342. (WRC</w:t>
      </w:r>
      <w:r>
        <w:rPr>
          <w:i/>
          <w:iCs/>
          <w:lang w:val="en-GB"/>
        </w:rPr>
        <w:noBreakHyphen/>
        <w:t>15)</w:t>
      </w:r>
    </w:p>
    <w:p w14:paraId="346D97C3" w14:textId="3B652213" w:rsidR="0053019E" w:rsidRDefault="0053019E" w:rsidP="00720CD3">
      <w:pPr>
        <w:pStyle w:val="Behzottbekezdsnmhh"/>
        <w:spacing w:before="120"/>
      </w:pPr>
      <w:r>
        <w:rPr>
          <w:lang w:val="en-GB"/>
        </w:rPr>
        <w:t xml:space="preserve">The agenda of WRC-15 included the achievement of the global IMT identification of the entire 1427-1518 MHz frequency band, but in Region 1 eventually only the IMT identification of the 1427-1452 MHz and 1492-1518 MHz frequency bands was implemented. In European countries, introducing MFCN in the 1452-1492 MHz frequency band is only possible based on the European regulation. </w:t>
      </w:r>
    </w:p>
    <w:p w14:paraId="6B63E9EE" w14:textId="77777777" w:rsidR="001E50C0" w:rsidRDefault="00DE62EF" w:rsidP="00643A2A">
      <w:pPr>
        <w:pStyle w:val="Cmsor3szmozottnmhh"/>
        <w:spacing w:before="360"/>
        <w:ind w:left="993" w:hanging="851"/>
      </w:pPr>
      <w:bookmarkStart w:id="13" w:name="_Toc26095857"/>
      <w:bookmarkStart w:id="14" w:name="_Toc26091886"/>
      <w:bookmarkStart w:id="15" w:name="_Toc26089475"/>
      <w:bookmarkStart w:id="16" w:name="_Toc26095856"/>
      <w:bookmarkStart w:id="17" w:name="_Toc26091885"/>
      <w:bookmarkStart w:id="18" w:name="_Toc26089474"/>
      <w:bookmarkStart w:id="19" w:name="_Toc98750572"/>
      <w:bookmarkEnd w:id="12"/>
      <w:bookmarkEnd w:id="13"/>
      <w:bookmarkEnd w:id="14"/>
      <w:bookmarkEnd w:id="15"/>
      <w:bookmarkEnd w:id="16"/>
      <w:bookmarkEnd w:id="17"/>
      <w:bookmarkEnd w:id="18"/>
      <w:r>
        <w:rPr>
          <w:bCs/>
          <w:lang w:val="en-GB"/>
        </w:rPr>
        <w:t>CEPT</w:t>
      </w:r>
      <w:bookmarkEnd w:id="19"/>
    </w:p>
    <w:p w14:paraId="73124459" w14:textId="06D47BBC" w:rsidR="00DE62EF" w:rsidRDefault="00DE62EF" w:rsidP="00385D95">
      <w:pPr>
        <w:pStyle w:val="CM14"/>
        <w:spacing w:before="120" w:after="120" w:line="276" w:lineRule="auto"/>
        <w:ind w:firstLine="357"/>
        <w:jc w:val="both"/>
        <w:rPr>
          <w:color w:val="000000"/>
          <w:sz w:val="20"/>
          <w:szCs w:val="20"/>
        </w:rPr>
      </w:pPr>
      <w:r>
        <w:rPr>
          <w:color w:val="000000"/>
          <w:sz w:val="20"/>
          <w:szCs w:val="20"/>
          <w:lang w:val="en-GB"/>
        </w:rPr>
        <w:t xml:space="preserve">For the use of the 1427-1518 MHz frequency band, the following documents have been adopted in the responsible CEPT working groups: </w:t>
      </w:r>
    </w:p>
    <w:p w14:paraId="1ED4F1F6" w14:textId="55E00DD2" w:rsidR="00CA77FD" w:rsidRPr="00720CD3" w:rsidRDefault="00CA77FD" w:rsidP="00B475DF">
      <w:pPr>
        <w:pStyle w:val="CM14"/>
        <w:numPr>
          <w:ilvl w:val="0"/>
          <w:numId w:val="9"/>
        </w:numPr>
        <w:spacing w:before="120" w:after="120" w:line="276" w:lineRule="auto"/>
        <w:jc w:val="both"/>
        <w:rPr>
          <w:color w:val="000000"/>
          <w:sz w:val="20"/>
          <w:szCs w:val="20"/>
        </w:rPr>
      </w:pPr>
      <w:r>
        <w:rPr>
          <w:color w:val="000000"/>
          <w:sz w:val="20"/>
          <w:szCs w:val="20"/>
          <w:lang w:val="en-GB"/>
        </w:rPr>
        <w:t>CEPT Report 54</w:t>
      </w:r>
      <w:r>
        <w:rPr>
          <w:rStyle w:val="Lbjegyzet-hivatkozs"/>
          <w:color w:val="000000"/>
          <w:sz w:val="20"/>
          <w:szCs w:val="20"/>
          <w:lang w:val="en-GB"/>
        </w:rPr>
        <w:footnoteReference w:id="11"/>
      </w:r>
      <w:r>
        <w:rPr>
          <w:color w:val="000000"/>
          <w:sz w:val="20"/>
          <w:szCs w:val="20"/>
          <w:lang w:val="en-GB"/>
        </w:rPr>
        <w:t>, which proposed, in response to the Commission’s mandate to the CEPT, the harmonisation of the 1452–1492 MHz frequency band for wireless broadband supplemental downlink, while allowing Member States to adapt to national circumstances in parts of the frequency band (e.g. 1452-1479.5 MHz for terrestrial broadcasting). CEPT Report 54 for the Commission determines the technical conditions and fundamental principles required for cross-border coordination – including the borders of the European Union – between wireless broadband electronic communications services and T-DAB, and aeronautical telemetry services in the 1452–1492 MHz frequency band.</w:t>
      </w:r>
    </w:p>
    <w:p w14:paraId="6A5325EF" w14:textId="15AD44B8" w:rsidR="00DE62EF" w:rsidRDefault="00DE62EF" w:rsidP="0055107B">
      <w:pPr>
        <w:pStyle w:val="CM21"/>
        <w:numPr>
          <w:ilvl w:val="0"/>
          <w:numId w:val="9"/>
        </w:numPr>
        <w:spacing w:before="120" w:after="120" w:line="276" w:lineRule="auto"/>
        <w:jc w:val="both"/>
        <w:rPr>
          <w:color w:val="000000"/>
          <w:sz w:val="20"/>
          <w:szCs w:val="20"/>
        </w:rPr>
      </w:pPr>
      <w:r>
        <w:rPr>
          <w:color w:val="000000"/>
          <w:sz w:val="20"/>
          <w:szCs w:val="20"/>
          <w:lang w:val="en-GB"/>
        </w:rPr>
        <w:t>Decision ECC/DEC/13(03)</w:t>
      </w:r>
      <w:r>
        <w:rPr>
          <w:rStyle w:val="Lbjegyzet-hivatkozs"/>
          <w:color w:val="000000"/>
          <w:sz w:val="20"/>
          <w:szCs w:val="20"/>
          <w:lang w:val="en-GB"/>
        </w:rPr>
        <w:footnoteReference w:id="12"/>
      </w:r>
      <w:r>
        <w:rPr>
          <w:color w:val="000000"/>
          <w:sz w:val="20"/>
          <w:szCs w:val="20"/>
          <w:lang w:val="en-GB"/>
        </w:rPr>
        <w:t xml:space="preserve"> contains the harmonised technical conditions for the use of the 1452–1492 MHz frequency band for MFCN purposes, the recommended channel arrangement and the maximum </w:t>
      </w:r>
      <w:r w:rsidR="00E239B8">
        <w:rPr>
          <w:color w:val="000000"/>
          <w:sz w:val="20"/>
          <w:szCs w:val="20"/>
          <w:lang w:val="en-GB"/>
        </w:rPr>
        <w:t xml:space="preserve">radiated </w:t>
      </w:r>
      <w:r>
        <w:rPr>
          <w:color w:val="000000"/>
          <w:sz w:val="20"/>
          <w:szCs w:val="20"/>
          <w:lang w:val="en-GB"/>
        </w:rPr>
        <w:t xml:space="preserve">power levels to ensure the coexistence of different radio services; </w:t>
      </w:r>
    </w:p>
    <w:p w14:paraId="12E32B2D" w14:textId="70C0C72B" w:rsidR="00DE62EF" w:rsidRDefault="00DE62EF" w:rsidP="008809CB">
      <w:pPr>
        <w:pStyle w:val="CM14"/>
        <w:numPr>
          <w:ilvl w:val="0"/>
          <w:numId w:val="9"/>
        </w:numPr>
        <w:spacing w:before="120" w:after="120" w:line="276" w:lineRule="auto"/>
        <w:jc w:val="both"/>
        <w:rPr>
          <w:color w:val="000000"/>
          <w:sz w:val="20"/>
          <w:szCs w:val="20"/>
        </w:rPr>
      </w:pPr>
      <w:r>
        <w:rPr>
          <w:color w:val="000000"/>
          <w:sz w:val="20"/>
          <w:szCs w:val="20"/>
          <w:lang w:val="en-GB"/>
        </w:rPr>
        <w:t>ECC Recommendation (15)01</w:t>
      </w:r>
      <w:r>
        <w:rPr>
          <w:rStyle w:val="Lbjegyzet-hivatkozs"/>
          <w:color w:val="000000"/>
          <w:sz w:val="20"/>
          <w:szCs w:val="20"/>
          <w:lang w:val="en-GB"/>
        </w:rPr>
        <w:footnoteReference w:id="13"/>
      </w:r>
      <w:r>
        <w:rPr>
          <w:color w:val="000000"/>
          <w:sz w:val="20"/>
          <w:szCs w:val="20"/>
          <w:lang w:val="en-GB"/>
        </w:rPr>
        <w:t xml:space="preserve">: regarding the cross-border coordination of the mobile/fixed communications networks (MFCN) in the frequency bands </w:t>
      </w:r>
      <w:r w:rsidR="00E239B8" w:rsidRPr="00E239B8">
        <w:rPr>
          <w:color w:val="000000"/>
          <w:sz w:val="20"/>
          <w:szCs w:val="20"/>
        </w:rPr>
        <w:t xml:space="preserve">1452–1492 MHz, </w:t>
      </w:r>
      <w:r>
        <w:rPr>
          <w:color w:val="000000"/>
          <w:sz w:val="20"/>
          <w:szCs w:val="20"/>
          <w:lang w:val="en-GB"/>
        </w:rPr>
        <w:t xml:space="preserve">3400–3600 MHz and 3600–3800 MHz; </w:t>
      </w:r>
    </w:p>
    <w:p w14:paraId="2FFC1FA9" w14:textId="48AF0DCB" w:rsidR="00DE62EF" w:rsidRPr="00DE62EF" w:rsidRDefault="00DE62EF" w:rsidP="00B475DF">
      <w:pPr>
        <w:pStyle w:val="Behzottbekezdsnmhh"/>
        <w:numPr>
          <w:ilvl w:val="0"/>
          <w:numId w:val="9"/>
        </w:numPr>
        <w:spacing w:before="120"/>
      </w:pPr>
      <w:r>
        <w:rPr>
          <w:color w:val="000000"/>
          <w:lang w:val="en-GB"/>
        </w:rPr>
        <w:t>ECC Report 202</w:t>
      </w:r>
      <w:r>
        <w:rPr>
          <w:rStyle w:val="Lbjegyzet-hivatkozs"/>
          <w:color w:val="000000"/>
          <w:lang w:val="en-GB"/>
        </w:rPr>
        <w:footnoteReference w:id="14"/>
      </w:r>
      <w:r>
        <w:rPr>
          <w:color w:val="000000"/>
          <w:lang w:val="en-GB"/>
        </w:rPr>
        <w:t xml:space="preserve"> containing the out-of-band emission requirements for mobile/fixed communications networks (MFCN) </w:t>
      </w:r>
      <w:r w:rsidR="00C14BD9">
        <w:rPr>
          <w:color w:val="000000"/>
          <w:lang w:val="en-GB"/>
        </w:rPr>
        <w:t xml:space="preserve">supplemental downlink (SDL) </w:t>
      </w:r>
      <w:r>
        <w:rPr>
          <w:color w:val="000000"/>
          <w:lang w:val="en-GB"/>
        </w:rPr>
        <w:t>operating in the 1452–1492 MHz frequency band;</w:t>
      </w:r>
    </w:p>
    <w:p w14:paraId="765766B7" w14:textId="230ACD46" w:rsidR="00405E03" w:rsidRDefault="00DE62EF" w:rsidP="00B475DF">
      <w:pPr>
        <w:pStyle w:val="Behzottbekezdsnmhh"/>
        <w:numPr>
          <w:ilvl w:val="0"/>
          <w:numId w:val="9"/>
        </w:numPr>
        <w:spacing w:before="120"/>
      </w:pPr>
      <w:r>
        <w:rPr>
          <w:lang w:val="en-GB"/>
        </w:rPr>
        <w:t>ECC Report 227</w:t>
      </w:r>
      <w:r>
        <w:rPr>
          <w:rStyle w:val="Lbjegyzet-hivatkozs"/>
          <w:lang w:val="en-GB"/>
        </w:rPr>
        <w:footnoteReference w:id="15"/>
      </w:r>
      <w:r>
        <w:rPr>
          <w:lang w:val="en-GB"/>
        </w:rPr>
        <w:t xml:space="preserve">: includes compatibility studies between Mobile/Fixed Communication Networks (MFCN) Supplemental Downlink (SDL) </w:t>
      </w:r>
      <w:r w:rsidR="00F0196D">
        <w:rPr>
          <w:lang w:val="en-GB"/>
        </w:rPr>
        <w:t xml:space="preserve">operating in the 1452-1492 MHz frequency band </w:t>
      </w:r>
      <w:r>
        <w:rPr>
          <w:lang w:val="en-GB"/>
        </w:rPr>
        <w:t>and other relevant services (broadcasting, aeronautical telemetry);</w:t>
      </w:r>
    </w:p>
    <w:p w14:paraId="120C6FE5" w14:textId="2677FF00" w:rsidR="00734F92" w:rsidRDefault="00734F92" w:rsidP="00E1332E">
      <w:pPr>
        <w:pStyle w:val="Behzottbekezdsnmhh"/>
        <w:numPr>
          <w:ilvl w:val="0"/>
          <w:numId w:val="9"/>
        </w:numPr>
        <w:spacing w:before="120"/>
      </w:pPr>
      <w:r>
        <w:rPr>
          <w:lang w:val="en-GB"/>
        </w:rPr>
        <w:t xml:space="preserve">Decision </w:t>
      </w:r>
      <w:r w:rsidR="00F0196D" w:rsidRPr="00F0196D">
        <w:t>ECC/DEC/</w:t>
      </w:r>
      <w:r>
        <w:rPr>
          <w:lang w:val="en-GB"/>
        </w:rPr>
        <w:t>(17)06</w:t>
      </w:r>
      <w:r>
        <w:rPr>
          <w:rStyle w:val="Lbjegyzet-hivatkozs"/>
          <w:color w:val="000000"/>
          <w:lang w:val="en-GB"/>
        </w:rPr>
        <w:footnoteReference w:id="16"/>
      </w:r>
      <w:r>
        <w:rPr>
          <w:lang w:val="en-GB"/>
        </w:rPr>
        <w:t>: includes the technical requirements and recommended channel arrangement for the harmonised use of the frequency bands 1427-1452 MHz and 1492-1518 MHz for Mobile/Fixed Communications Networks Supplemental Downlink (MFCN SDL);</w:t>
      </w:r>
    </w:p>
    <w:p w14:paraId="022D6FF3" w14:textId="44A30992" w:rsidR="00B85A3A" w:rsidRDefault="00405E03" w:rsidP="00B475DF">
      <w:pPr>
        <w:pStyle w:val="Behzottbekezdsnmhh"/>
        <w:numPr>
          <w:ilvl w:val="0"/>
          <w:numId w:val="9"/>
        </w:numPr>
        <w:spacing w:before="120"/>
      </w:pPr>
      <w:r>
        <w:rPr>
          <w:lang w:val="en-GB"/>
        </w:rPr>
        <w:t>ECC Report 295</w:t>
      </w:r>
      <w:r>
        <w:rPr>
          <w:rStyle w:val="Lbjegyzet-hivatkozs"/>
          <w:color w:val="000000"/>
          <w:lang w:val="en-GB"/>
        </w:rPr>
        <w:footnoteReference w:id="17"/>
      </w:r>
      <w:r>
        <w:rPr>
          <w:lang w:val="en-GB"/>
        </w:rPr>
        <w:t xml:space="preserve">: provides guidance for the countries included in footnote 5.342 of the RR and neighbouring countries on the cross-border coordination of mobile/fixed </w:t>
      </w:r>
      <w:r>
        <w:rPr>
          <w:lang w:val="en-GB"/>
        </w:rPr>
        <w:lastRenderedPageBreak/>
        <w:t>communications networks (MFCN) and aeronautical telemetry in the frequency band 1429-1518 MHz. Ukraine is also included in the footnote, so Hungary is also affected.</w:t>
      </w:r>
    </w:p>
    <w:p w14:paraId="242C62E5" w14:textId="743289B6" w:rsidR="00B85A3A" w:rsidRDefault="00B85A3A" w:rsidP="00B85A3A">
      <w:pPr>
        <w:pStyle w:val="Behzottbekezdsnmhh"/>
        <w:spacing w:before="120"/>
      </w:pPr>
      <w:r>
        <w:rPr>
          <w:lang w:val="en-GB"/>
        </w:rPr>
        <w:t>Figures 3.1.2.a and b illustrate the appropriate frequency arrangement for harmonised spectrum use according to Decisions ECC/DEC/(13)03 and ECC/DEC/(17)06 in the frequency ranges 1452-1492 MHz</w:t>
      </w:r>
      <w:r w:rsidR="008D66DE">
        <w:rPr>
          <w:lang w:val="en-GB"/>
        </w:rPr>
        <w:t>,</w:t>
      </w:r>
      <w:r>
        <w:rPr>
          <w:lang w:val="en-GB"/>
        </w:rPr>
        <w:t xml:space="preserve"> 1427-1452 MHz and 1492-1518 MHz. </w:t>
      </w:r>
    </w:p>
    <w:p w14:paraId="38C9CCAA" w14:textId="29530135" w:rsidR="0043051F" w:rsidRDefault="00B85A3A" w:rsidP="00167CD4">
      <w:pPr>
        <w:jc w:val="center"/>
        <w:rPr>
          <w:bCs/>
          <w:color w:val="4F81BD" w:themeColor="accent1"/>
          <w:sz w:val="18"/>
          <w:szCs w:val="18"/>
        </w:rPr>
      </w:pPr>
      <w:r>
        <w:rPr>
          <w:noProof/>
          <w:lang w:eastAsia="hu-HU"/>
        </w:rPr>
        <w:drawing>
          <wp:inline distT="0" distB="0" distL="0" distR="0" wp14:anchorId="6A7C1C1F" wp14:editId="1C6C2A16">
            <wp:extent cx="5760720" cy="78052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780520"/>
                    </a:xfrm>
                    <a:prstGeom prst="rect">
                      <a:avLst/>
                    </a:prstGeom>
                    <a:noFill/>
                    <a:ln>
                      <a:noFill/>
                    </a:ln>
                  </pic:spPr>
                </pic:pic>
              </a:graphicData>
            </a:graphic>
          </wp:inline>
        </w:drawing>
      </w:r>
    </w:p>
    <w:p w14:paraId="67B8F9A0" w14:textId="4FD8F67C" w:rsidR="001B2C68" w:rsidRDefault="00B52E57" w:rsidP="001B2C68">
      <w:pPr>
        <w:pStyle w:val="Kpalrs"/>
        <w:keepNext/>
        <w:jc w:val="center"/>
      </w:pPr>
      <w:r>
        <w:rPr>
          <w:lang w:val="en-GB"/>
        </w:rPr>
        <w:t xml:space="preserve">Figure </w:t>
      </w:r>
      <w:r w:rsidR="00580994">
        <w:rPr>
          <w:lang w:val="en-GB"/>
        </w:rPr>
        <w:t>3.</w:t>
      </w:r>
      <w:r>
        <w:rPr>
          <w:lang w:val="en-GB"/>
        </w:rPr>
        <w:t xml:space="preserve">1.2.a: Channel </w:t>
      </w:r>
      <w:r w:rsidR="00AF6E47">
        <w:rPr>
          <w:lang w:val="en-GB"/>
        </w:rPr>
        <w:t xml:space="preserve">arrangement </w:t>
      </w:r>
      <w:r>
        <w:rPr>
          <w:lang w:val="en-GB"/>
        </w:rPr>
        <w:t>of the 1452-1492 MHz frequency sub-band (1500 MHz “core band”)</w:t>
      </w:r>
    </w:p>
    <w:p w14:paraId="14FD255B" w14:textId="77777777" w:rsidR="00167CD4" w:rsidRDefault="00167CD4" w:rsidP="00167CD4">
      <w:pPr>
        <w:pStyle w:val="Behzottbekezdsnmhh"/>
        <w:spacing w:before="120"/>
        <w:ind w:firstLine="0"/>
        <w:jc w:val="center"/>
      </w:pPr>
      <w:r>
        <w:rPr>
          <w:noProof/>
          <w:lang w:eastAsia="hu-HU"/>
        </w:rPr>
        <w:drawing>
          <wp:inline distT="0" distB="0" distL="0" distR="0" wp14:anchorId="55E8ABAF" wp14:editId="5A0F3290">
            <wp:extent cx="4482933" cy="863911"/>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3879" cy="881437"/>
                    </a:xfrm>
                    <a:prstGeom prst="rect">
                      <a:avLst/>
                    </a:prstGeom>
                  </pic:spPr>
                </pic:pic>
              </a:graphicData>
            </a:graphic>
          </wp:inline>
        </w:drawing>
      </w:r>
    </w:p>
    <w:p w14:paraId="4E8EC356" w14:textId="77777777" w:rsidR="00167CD4" w:rsidRDefault="00167CD4" w:rsidP="00167CD4">
      <w:pPr>
        <w:pStyle w:val="Behzottbekezdsnmhh"/>
        <w:spacing w:before="120"/>
        <w:ind w:firstLine="0"/>
        <w:jc w:val="center"/>
      </w:pPr>
      <w:r>
        <w:rPr>
          <w:noProof/>
          <w:lang w:eastAsia="hu-HU"/>
        </w:rPr>
        <w:drawing>
          <wp:inline distT="0" distB="0" distL="0" distR="0" wp14:anchorId="14139DED" wp14:editId="4F9E37E2">
            <wp:extent cx="5183469" cy="78359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62021" cy="795465"/>
                    </a:xfrm>
                    <a:prstGeom prst="rect">
                      <a:avLst/>
                    </a:prstGeom>
                  </pic:spPr>
                </pic:pic>
              </a:graphicData>
            </a:graphic>
          </wp:inline>
        </w:drawing>
      </w:r>
    </w:p>
    <w:p w14:paraId="0E35FAC4" w14:textId="59F8A644" w:rsidR="009221CF" w:rsidRDefault="00B52E57" w:rsidP="00330E55">
      <w:pPr>
        <w:pStyle w:val="Kpalrs"/>
        <w:keepNext/>
        <w:jc w:val="center"/>
      </w:pPr>
      <w:r>
        <w:rPr>
          <w:lang w:val="en-GB"/>
        </w:rPr>
        <w:t xml:space="preserve">Figure </w:t>
      </w:r>
      <w:r w:rsidR="00C125EC">
        <w:rPr>
          <w:lang w:val="en-GB"/>
        </w:rPr>
        <w:t>3.</w:t>
      </w:r>
      <w:r>
        <w:rPr>
          <w:lang w:val="en-GB"/>
        </w:rPr>
        <w:t xml:space="preserve">1.2.b: Channel </w:t>
      </w:r>
      <w:r w:rsidR="00C125EC">
        <w:rPr>
          <w:lang w:val="en-GB"/>
        </w:rPr>
        <w:t xml:space="preserve">arrangement </w:t>
      </w:r>
      <w:r>
        <w:rPr>
          <w:lang w:val="en-GB"/>
        </w:rPr>
        <w:t>of the 1427-1452 MHz and 1492-1518 MHz frequency sub-bands (1500 MHz “extension”)</w:t>
      </w:r>
    </w:p>
    <w:p w14:paraId="17C2BD18" w14:textId="77777777" w:rsidR="00167CD4" w:rsidRDefault="00167CD4" w:rsidP="00B85A3A">
      <w:pPr>
        <w:pStyle w:val="Behzottbekezdsnmhh"/>
        <w:spacing w:before="120"/>
        <w:ind w:firstLine="284"/>
      </w:pPr>
    </w:p>
    <w:p w14:paraId="4419E83D" w14:textId="49FD73AA" w:rsidR="00B85A3A" w:rsidRDefault="00B85A3A" w:rsidP="00B85A3A">
      <w:pPr>
        <w:pStyle w:val="Behzottbekezdsnmhh"/>
        <w:spacing w:before="120"/>
        <w:ind w:firstLine="284"/>
      </w:pPr>
      <w:r>
        <w:rPr>
          <w:lang w:val="en-GB"/>
        </w:rPr>
        <w:t>In the 1500 MHz frequency band harmonised at CEPT level for MFCN purposes, military systems are still in operation in several countries. Pursuant to technical Recommendation T/R 13-01</w:t>
      </w:r>
      <w:r>
        <w:rPr>
          <w:rStyle w:val="Lbjegyzet-hivatkozs"/>
          <w:lang w:val="en-GB"/>
        </w:rPr>
        <w:footnoteReference w:id="18"/>
      </w:r>
      <w:r>
        <w:rPr>
          <w:lang w:val="en-GB"/>
        </w:rPr>
        <w:t>, the frequency bands 1427-1452 MHz and 1492-1518 MH</w:t>
      </w:r>
      <w:r w:rsidR="00B66927">
        <w:rPr>
          <w:lang w:val="en-GB"/>
        </w:rPr>
        <w:t>z</w:t>
      </w:r>
      <w:r>
        <w:rPr>
          <w:lang w:val="en-GB"/>
        </w:rPr>
        <w:t xml:space="preserve"> may also be designated for low-capacity fixed links within the CEPT.  In the 1492-1518 MHz frequency band, Recommendation ERC/REC 70-03</w:t>
      </w:r>
      <w:r>
        <w:rPr>
          <w:rStyle w:val="Lbjegyzet-hivatkozs"/>
          <w:lang w:val="en-GB"/>
        </w:rPr>
        <w:footnoteReference w:id="19"/>
      </w:r>
      <w:r>
        <w:rPr>
          <w:lang w:val="en-GB"/>
        </w:rPr>
        <w:t xml:space="preserve"> allows SRD</w:t>
      </w:r>
      <w:r>
        <w:rPr>
          <w:rStyle w:val="Lbjegyzet-hivatkozs"/>
          <w:lang w:val="en-GB"/>
        </w:rPr>
        <w:footnoteReference w:id="20"/>
      </w:r>
      <w:r>
        <w:rPr>
          <w:lang w:val="en-GB"/>
        </w:rPr>
        <w:t xml:space="preserve"> applications to operate. </w:t>
      </w:r>
    </w:p>
    <w:p w14:paraId="30EF44CD" w14:textId="397A4D53" w:rsidR="005A60B1" w:rsidRDefault="005A60B1" w:rsidP="00B85A3A">
      <w:pPr>
        <w:pStyle w:val="Behzottbekezdsnmhh"/>
        <w:spacing w:before="120"/>
        <w:ind w:firstLine="284"/>
      </w:pPr>
      <w:r>
        <w:rPr>
          <w:lang w:val="en-GB"/>
        </w:rPr>
        <w:t>CEPT studies also had to take into account 5G compliance aspects, and according to the EU mandate</w:t>
      </w:r>
      <w:r>
        <w:rPr>
          <w:rStyle w:val="Lbjegyzet-hivatkozs"/>
          <w:lang w:val="en-GB"/>
        </w:rPr>
        <w:footnoteReference w:id="21"/>
      </w:r>
      <w:r>
        <w:rPr>
          <w:lang w:val="en-GB"/>
        </w:rPr>
        <w:t>, it was an important condition to ensure 5G compliance throughout the 1427-1518 MHz frequency band.</w:t>
      </w:r>
    </w:p>
    <w:p w14:paraId="662F41BD" w14:textId="4289151A" w:rsidR="0053019E" w:rsidRDefault="0053019E" w:rsidP="0053019E">
      <w:pPr>
        <w:pStyle w:val="Behzottbekezdsnmhh"/>
      </w:pPr>
      <w:r>
        <w:rPr>
          <w:lang w:val="en-GB"/>
        </w:rPr>
        <w:t xml:space="preserve">In the 1500 MHz frequency band, the decisions adopted require CEPT administrations to decide on the introduction of the MFCN taking into account national usage characteristics and market needs. </w:t>
      </w:r>
    </w:p>
    <w:p w14:paraId="19BC4A5A" w14:textId="64E3217A" w:rsidR="003B669A" w:rsidRDefault="003B669A" w:rsidP="003B669A">
      <w:pPr>
        <w:pStyle w:val="Behzottbekezdsnmhh"/>
      </w:pPr>
      <w:r>
        <w:rPr>
          <w:lang w:val="en-GB"/>
        </w:rPr>
        <w:t xml:space="preserve">The possibility of using </w:t>
      </w:r>
      <w:r>
        <w:rPr>
          <w:rFonts w:ascii="Arial" w:hAnsi="Arial"/>
          <w:lang w:val="en-GB"/>
        </w:rPr>
        <w:t>5G NR</w:t>
      </w:r>
      <w:r>
        <w:rPr>
          <w:rStyle w:val="Lbjegyzet-hivatkozs"/>
          <w:rFonts w:ascii="Arial" w:hAnsi="Arial" w:cs="Arial"/>
          <w:lang w:val="en-GB"/>
        </w:rPr>
        <w:footnoteReference w:id="22"/>
      </w:r>
      <w:r>
        <w:rPr>
          <w:rFonts w:ascii="Arial" w:hAnsi="Arial"/>
          <w:lang w:val="en-GB"/>
        </w:rPr>
        <w:t xml:space="preserve"> </w:t>
      </w:r>
      <w:r>
        <w:rPr>
          <w:lang w:val="en-GB"/>
        </w:rPr>
        <w:t xml:space="preserve">in the 1500 MHz frequency band was also studied at CEPT level. Based on international studies, no 5G NR with active antenna system is planned to be introduced in the 1500 MHz frequency band. </w:t>
      </w:r>
    </w:p>
    <w:p w14:paraId="3DF9E4A0" w14:textId="77777777" w:rsidR="001E50C0" w:rsidRDefault="00B85A3A" w:rsidP="00643A2A">
      <w:pPr>
        <w:pStyle w:val="Cmsor3szmozottnmhh"/>
        <w:spacing w:before="360"/>
        <w:ind w:left="993" w:hanging="851"/>
      </w:pPr>
      <w:bookmarkStart w:id="20" w:name="_Toc98750573"/>
      <w:r>
        <w:rPr>
          <w:bCs/>
          <w:lang w:val="en-GB"/>
        </w:rPr>
        <w:t>EU</w:t>
      </w:r>
      <w:bookmarkEnd w:id="20"/>
    </w:p>
    <w:p w14:paraId="36C4965B" w14:textId="33F47192" w:rsidR="008C365B" w:rsidRPr="00CC3F46" w:rsidRDefault="00B85A3A" w:rsidP="00B85A3A">
      <w:pPr>
        <w:pStyle w:val="Behzottbekezdsnmhh"/>
        <w:spacing w:before="120"/>
        <w:ind w:firstLine="284"/>
      </w:pPr>
      <w:bookmarkStart w:id="21" w:name="_Toc473880721"/>
      <w:r>
        <w:rPr>
          <w:lang w:val="en-GB"/>
        </w:rPr>
        <w:lastRenderedPageBreak/>
        <w:t>The harmonised use of the 1500 MHz frequency band for MFCN purposes is required by the following Union documents:</w:t>
      </w:r>
    </w:p>
    <w:p w14:paraId="2EC8FECC" w14:textId="7EC1A44F" w:rsidR="00B85A3A" w:rsidRPr="00720CD3" w:rsidRDefault="00B85A3A" w:rsidP="00E1332E">
      <w:pPr>
        <w:pStyle w:val="Behzottbekezdsnmhh"/>
        <w:numPr>
          <w:ilvl w:val="0"/>
          <w:numId w:val="10"/>
        </w:numPr>
        <w:spacing w:before="120"/>
      </w:pPr>
      <w:r>
        <w:rPr>
          <w:lang w:val="en-GB"/>
        </w:rPr>
        <w:t>Commission Implementing Decision (EU) 2015/750</w:t>
      </w:r>
      <w:r>
        <w:rPr>
          <w:rStyle w:val="Lbjegyzet-hivatkozs"/>
          <w:lang w:val="en-GB"/>
        </w:rPr>
        <w:footnoteReference w:id="23"/>
      </w:r>
      <w:r>
        <w:rPr>
          <w:lang w:val="en-GB"/>
        </w:rPr>
        <w:t xml:space="preserve"> of 8 May 2015 on the harmonisation of the 1452-1492 MHz frequency band for terrestrial systems capable of providing electronic communications services in the Union</w:t>
      </w:r>
    </w:p>
    <w:p w14:paraId="6FE39480" w14:textId="3275610F" w:rsidR="009500D6" w:rsidRDefault="00B85A3A" w:rsidP="00E1332E">
      <w:pPr>
        <w:pStyle w:val="Default"/>
        <w:numPr>
          <w:ilvl w:val="0"/>
          <w:numId w:val="10"/>
        </w:numPr>
        <w:jc w:val="both"/>
        <w:rPr>
          <w:sz w:val="20"/>
          <w:szCs w:val="20"/>
        </w:rPr>
      </w:pPr>
      <w:r>
        <w:rPr>
          <w:sz w:val="20"/>
          <w:szCs w:val="20"/>
          <w:lang w:val="en-GB"/>
        </w:rPr>
        <w:t>Commission Implementing Decision (EU) 2018/661</w:t>
      </w:r>
      <w:r>
        <w:rPr>
          <w:rStyle w:val="Lbjegyzet-hivatkozs"/>
          <w:lang w:val="en-GB"/>
        </w:rPr>
        <w:footnoteReference w:id="24"/>
      </w:r>
      <w:r>
        <w:rPr>
          <w:rFonts w:asciiTheme="minorHAnsi" w:hAnsiTheme="minorHAnsi"/>
          <w:color w:val="auto"/>
          <w:sz w:val="20"/>
          <w:szCs w:val="20"/>
          <w:lang w:val="en-GB"/>
        </w:rPr>
        <w:t xml:space="preserve"> of 26 April 2018</w:t>
      </w:r>
      <w:r>
        <w:rPr>
          <w:sz w:val="20"/>
          <w:szCs w:val="20"/>
          <w:lang w:val="en-GB"/>
        </w:rPr>
        <w:t xml:space="preserve"> amending Implementing Decision (EU) 2015/750 on the harmonisation of the 1452</w:t>
      </w:r>
      <w:r w:rsidR="008F386E">
        <w:rPr>
          <w:sz w:val="20"/>
          <w:szCs w:val="20"/>
          <w:lang w:val="en-GB"/>
        </w:rPr>
        <w:t>-</w:t>
      </w:r>
      <w:r>
        <w:rPr>
          <w:sz w:val="20"/>
          <w:szCs w:val="20"/>
          <w:lang w:val="en-GB"/>
        </w:rPr>
        <w:t>1492 MHz frequency band for terrestrial systems capable of providing electronic communications services in the Union as regards its extension in the harmonised 1427-1452 MHz and 1492</w:t>
      </w:r>
      <w:r w:rsidR="008F386E">
        <w:rPr>
          <w:sz w:val="20"/>
          <w:szCs w:val="20"/>
          <w:lang w:val="en-GB"/>
        </w:rPr>
        <w:t>-</w:t>
      </w:r>
      <w:r>
        <w:rPr>
          <w:sz w:val="20"/>
          <w:szCs w:val="20"/>
          <w:lang w:val="en-GB"/>
        </w:rPr>
        <w:t>1517 MHz frequency bands.</w:t>
      </w:r>
    </w:p>
    <w:p w14:paraId="08C4DBC7" w14:textId="77777777" w:rsidR="00B85A3A" w:rsidRDefault="00B85A3A" w:rsidP="00720CD3">
      <w:pPr>
        <w:pStyle w:val="Default"/>
        <w:ind w:left="720"/>
        <w:jc w:val="both"/>
        <w:rPr>
          <w:sz w:val="20"/>
          <w:szCs w:val="20"/>
        </w:rPr>
      </w:pPr>
    </w:p>
    <w:p w14:paraId="03301CB7" w14:textId="63731CAE" w:rsidR="00B061E3" w:rsidRDefault="00CC3F46" w:rsidP="00720CD3">
      <w:pPr>
        <w:pStyle w:val="Behzottbekezdsnmhh"/>
      </w:pPr>
      <w:r>
        <w:rPr>
          <w:lang w:val="en-GB"/>
        </w:rPr>
        <w:t xml:space="preserve">Pursuant to Union legislation, Member States are to ensure, on a non-exclusive basis, the </w:t>
      </w:r>
      <w:r w:rsidR="008F386E">
        <w:rPr>
          <w:lang w:val="en-GB"/>
        </w:rPr>
        <w:t xml:space="preserve">designation </w:t>
      </w:r>
      <w:r>
        <w:rPr>
          <w:lang w:val="en-GB"/>
        </w:rPr>
        <w:t xml:space="preserve">and availability of the 1427–1452 MHz and 1492–1517 MHz frequency bands or parts of them for terrestrial systems capable of providing wireless broadband electronic communications services, in accordance with the parameters set out in the Annex to the amending Decision. </w:t>
      </w:r>
    </w:p>
    <w:p w14:paraId="67CA4D87" w14:textId="77777777" w:rsidR="00B061E3" w:rsidRDefault="00CC3F46" w:rsidP="00720CD3">
      <w:pPr>
        <w:pStyle w:val="Behzottbekezdsnmhh"/>
      </w:pPr>
      <w:r>
        <w:rPr>
          <w:lang w:val="en-GB"/>
        </w:rPr>
        <w:t>Should Member States designate and make available only part of the 1427–1452 MHz or 1492–1517 MHz frequency bands, they must ensure that the part of the spectrum made available, together with the 1452–1492 MHz frequency band, constitutes a coherent frequency band.</w:t>
      </w:r>
    </w:p>
    <w:p w14:paraId="570D24F6" w14:textId="1AFF4A0F" w:rsidR="00CC3F46" w:rsidRPr="00720CD3" w:rsidRDefault="004331B6" w:rsidP="00720CD3">
      <w:pPr>
        <w:pStyle w:val="Behzottbekezdsnmhh"/>
      </w:pPr>
      <w:r>
        <w:rPr>
          <w:lang w:val="en-GB"/>
        </w:rPr>
        <w:t xml:space="preserve">In the absence of a national demand for wireless broadband electronic communications services, these </w:t>
      </w:r>
      <w:r w:rsidR="0057785D" w:rsidRPr="0057785D">
        <w:rPr>
          <w:lang w:val="en-GB"/>
        </w:rPr>
        <w:t xml:space="preserve">frequency </w:t>
      </w:r>
      <w:r>
        <w:rPr>
          <w:lang w:val="en-GB"/>
        </w:rPr>
        <w:t>bands may continue to be used for other existing applications that cannot share these frequency bands with wireless broadband electronic communications services.</w:t>
      </w:r>
    </w:p>
    <w:p w14:paraId="2E4FD7F2" w14:textId="77777777" w:rsidR="0053019E" w:rsidRDefault="0053019E" w:rsidP="00720CD3">
      <w:pPr>
        <w:pStyle w:val="Behzottbekezdsnmhh"/>
        <w:spacing w:before="120"/>
      </w:pPr>
    </w:p>
    <w:p w14:paraId="481C2BF1" w14:textId="77777777" w:rsidR="00643A2A" w:rsidRDefault="00643A2A" w:rsidP="00720CD3">
      <w:pPr>
        <w:pStyle w:val="Behzottbekezdsnmhh"/>
        <w:spacing w:before="120"/>
      </w:pPr>
    </w:p>
    <w:p w14:paraId="7BCE8BE6" w14:textId="77777777" w:rsidR="001E50C0" w:rsidRDefault="00B85A3A" w:rsidP="002C3924">
      <w:pPr>
        <w:pStyle w:val="Cmsor2szmozottnmhh"/>
        <w:ind w:left="578" w:hanging="578"/>
      </w:pPr>
      <w:bookmarkStart w:id="22" w:name="_Toc98750574"/>
      <w:bookmarkEnd w:id="21"/>
      <w:r>
        <w:rPr>
          <w:bCs/>
          <w:lang w:val="en-GB"/>
        </w:rPr>
        <w:t>National regulation</w:t>
      </w:r>
      <w:bookmarkEnd w:id="22"/>
    </w:p>
    <w:p w14:paraId="3DD9DE1B" w14:textId="08FBF7E5" w:rsidR="00B85A3A" w:rsidRDefault="00304D0B" w:rsidP="00B85A3A">
      <w:pPr>
        <w:pStyle w:val="CM14"/>
        <w:spacing w:before="120" w:after="120" w:line="276" w:lineRule="auto"/>
        <w:ind w:firstLine="357"/>
        <w:jc w:val="both"/>
        <w:rPr>
          <w:color w:val="000000"/>
          <w:sz w:val="20"/>
          <w:szCs w:val="20"/>
        </w:rPr>
      </w:pPr>
      <w:r>
        <w:rPr>
          <w:color w:val="000000"/>
          <w:sz w:val="20"/>
          <w:szCs w:val="20"/>
          <w:lang w:val="en-GB"/>
        </w:rPr>
        <w:t>N</w:t>
      </w:r>
      <w:r w:rsidRPr="00304D0B">
        <w:rPr>
          <w:color w:val="000000"/>
          <w:sz w:val="20"/>
          <w:szCs w:val="20"/>
          <w:lang w:val="en-GB"/>
        </w:rPr>
        <w:t xml:space="preserve">ational </w:t>
      </w:r>
      <w:r w:rsidR="00B85A3A">
        <w:rPr>
          <w:color w:val="000000"/>
          <w:sz w:val="20"/>
          <w:szCs w:val="20"/>
          <w:lang w:val="en-GB"/>
        </w:rPr>
        <w:t xml:space="preserve">regulations for the 1500 MHz frequency band are included in the NFFF Decree in force. </w:t>
      </w:r>
    </w:p>
    <w:p w14:paraId="0D558AD8" w14:textId="2AF082B1" w:rsidR="00103E81" w:rsidRPr="004C28EF" w:rsidRDefault="00330E55" w:rsidP="004C28EF">
      <w:pPr>
        <w:pStyle w:val="CM14"/>
        <w:spacing w:before="120" w:after="120" w:line="276" w:lineRule="auto"/>
        <w:ind w:firstLine="357"/>
        <w:jc w:val="both"/>
        <w:rPr>
          <w:color w:val="000000"/>
          <w:sz w:val="20"/>
          <w:szCs w:val="20"/>
        </w:rPr>
      </w:pPr>
      <w:r>
        <w:rPr>
          <w:color w:val="000000"/>
          <w:sz w:val="20"/>
          <w:szCs w:val="20"/>
          <w:lang w:val="en-GB"/>
        </w:rPr>
        <w:t xml:space="preserve">In accordance with the Radio Regulations, in Hungary the 1427-1429 MHz frequency band is allocated to </w:t>
      </w:r>
      <w:r w:rsidR="0057785D">
        <w:rPr>
          <w:color w:val="000000"/>
          <w:sz w:val="20"/>
          <w:szCs w:val="20"/>
          <w:lang w:val="en-GB"/>
        </w:rPr>
        <w:t xml:space="preserve">the </w:t>
      </w:r>
      <w:r>
        <w:rPr>
          <w:color w:val="000000"/>
          <w:sz w:val="20"/>
          <w:szCs w:val="20"/>
          <w:lang w:val="en-GB"/>
        </w:rPr>
        <w:t xml:space="preserve">space operations (Earth-to-space), fixed and mobile (except aeronautical mobile) services on a primary basis. The 1429-1452 MHz and 1492-1518 MHz bands are allocated to </w:t>
      </w:r>
      <w:r w:rsidR="00AD540F">
        <w:rPr>
          <w:color w:val="000000"/>
          <w:sz w:val="20"/>
          <w:szCs w:val="20"/>
          <w:lang w:val="en-GB"/>
        </w:rPr>
        <w:t xml:space="preserve">the </w:t>
      </w:r>
      <w:r>
        <w:rPr>
          <w:color w:val="000000"/>
          <w:sz w:val="20"/>
          <w:szCs w:val="20"/>
          <w:lang w:val="en-GB"/>
        </w:rPr>
        <w:t>fixed and mobile (except aeronautical mobile) services on a primary basis. The 1452-1492 MHz frequency band is allocated to the fixed service, the mobile service (except aeronautical mobile), the broadcasting service and the broadcasting</w:t>
      </w:r>
      <w:r w:rsidR="00AD540F">
        <w:rPr>
          <w:color w:val="000000"/>
          <w:sz w:val="20"/>
          <w:szCs w:val="20"/>
          <w:lang w:val="en-GB"/>
        </w:rPr>
        <w:t>-satellite</w:t>
      </w:r>
      <w:r>
        <w:rPr>
          <w:color w:val="000000"/>
          <w:sz w:val="20"/>
          <w:szCs w:val="20"/>
          <w:lang w:val="en-GB"/>
        </w:rPr>
        <w:t xml:space="preserve"> service on a primary basis.</w:t>
      </w:r>
    </w:p>
    <w:p w14:paraId="7D6A2EE7" w14:textId="4741F477" w:rsidR="00B85A3A" w:rsidRDefault="00B85A3A" w:rsidP="00B85A3A">
      <w:pPr>
        <w:pStyle w:val="CM14"/>
        <w:spacing w:before="120" w:after="120" w:line="276" w:lineRule="auto"/>
        <w:ind w:firstLine="357"/>
        <w:jc w:val="both"/>
        <w:rPr>
          <w:color w:val="000000"/>
          <w:sz w:val="20"/>
          <w:szCs w:val="20"/>
        </w:rPr>
      </w:pPr>
      <w:r>
        <w:rPr>
          <w:color w:val="000000"/>
          <w:sz w:val="20"/>
          <w:szCs w:val="20"/>
          <w:lang w:val="en-GB"/>
        </w:rPr>
        <w:t xml:space="preserve">According to Annex 2 of the NFFF Decree, </w:t>
      </w:r>
      <w:r w:rsidR="00932A47">
        <w:rPr>
          <w:color w:val="000000"/>
          <w:sz w:val="20"/>
          <w:szCs w:val="20"/>
          <w:lang w:val="en-GB"/>
        </w:rPr>
        <w:t xml:space="preserve">frequencies </w:t>
      </w:r>
      <w:r>
        <w:rPr>
          <w:color w:val="000000"/>
          <w:sz w:val="20"/>
          <w:szCs w:val="20"/>
          <w:lang w:val="en-GB"/>
        </w:rPr>
        <w:t xml:space="preserve">may be </w:t>
      </w:r>
      <w:r w:rsidR="00932A47">
        <w:rPr>
          <w:color w:val="000000"/>
          <w:sz w:val="20"/>
          <w:szCs w:val="20"/>
          <w:lang w:val="en-GB"/>
        </w:rPr>
        <w:t xml:space="preserve">assigned </w:t>
      </w:r>
      <w:r>
        <w:rPr>
          <w:color w:val="000000"/>
          <w:sz w:val="20"/>
          <w:szCs w:val="20"/>
          <w:lang w:val="en-GB"/>
        </w:rPr>
        <w:t xml:space="preserve">on a primary basis for terrestrial systems capable of providing electronic communications services (MFCN SDL) in the 1427-1492 MHz frequency band. Likewise on a primary basis, passive research of intentional emissions </w:t>
      </w:r>
      <w:r w:rsidR="00932A47">
        <w:rPr>
          <w:color w:val="000000"/>
          <w:sz w:val="20"/>
          <w:szCs w:val="20"/>
          <w:lang w:val="en-GB"/>
        </w:rPr>
        <w:t xml:space="preserve">of </w:t>
      </w:r>
      <w:r>
        <w:rPr>
          <w:color w:val="000000"/>
          <w:sz w:val="20"/>
          <w:szCs w:val="20"/>
          <w:lang w:val="en-GB"/>
        </w:rPr>
        <w:t xml:space="preserve">extraterrestrial </w:t>
      </w:r>
      <w:r w:rsidR="00932A47">
        <w:rPr>
          <w:color w:val="000000"/>
          <w:sz w:val="20"/>
          <w:szCs w:val="20"/>
          <w:lang w:val="en-GB"/>
        </w:rPr>
        <w:t xml:space="preserve">origin </w:t>
      </w:r>
      <w:r>
        <w:rPr>
          <w:color w:val="000000"/>
          <w:sz w:val="20"/>
          <w:szCs w:val="20"/>
          <w:lang w:val="en-GB"/>
        </w:rPr>
        <w:t>may also be</w:t>
      </w:r>
      <w:r w:rsidR="00932A47">
        <w:rPr>
          <w:color w:val="000000"/>
          <w:sz w:val="20"/>
          <w:szCs w:val="20"/>
          <w:lang w:val="en-GB"/>
        </w:rPr>
        <w:t xml:space="preserve"> conducted</w:t>
      </w:r>
      <w:r>
        <w:rPr>
          <w:color w:val="000000"/>
          <w:sz w:val="20"/>
          <w:szCs w:val="20"/>
          <w:lang w:val="en-GB"/>
        </w:rPr>
        <w:t>, based on footnote 5.341. On a tertiary basis, civil and non-civil SRD radiodetermination applications may also operate in the frequency band. The 1427-1429 MHz frequency band is also planned for space operations (Earth-to-space) applications</w:t>
      </w:r>
      <w:r>
        <w:rPr>
          <w:rStyle w:val="Lbjegyzet-hivatkozs"/>
          <w:color w:val="000000"/>
          <w:sz w:val="20"/>
          <w:szCs w:val="20"/>
          <w:lang w:val="en-GB"/>
        </w:rPr>
        <w:footnoteReference w:id="25"/>
      </w:r>
      <w:r>
        <w:rPr>
          <w:color w:val="000000"/>
          <w:sz w:val="20"/>
          <w:szCs w:val="20"/>
          <w:lang w:val="en-GB"/>
        </w:rPr>
        <w:t xml:space="preserve">. </w:t>
      </w:r>
    </w:p>
    <w:p w14:paraId="6D965E75" w14:textId="602BB22C" w:rsidR="00132A14" w:rsidRDefault="00B85A3A" w:rsidP="00B85A3A">
      <w:pPr>
        <w:pStyle w:val="CM14"/>
        <w:spacing w:before="120" w:after="120" w:line="276" w:lineRule="auto"/>
        <w:ind w:firstLine="357"/>
        <w:jc w:val="both"/>
        <w:rPr>
          <w:color w:val="000000"/>
          <w:sz w:val="20"/>
          <w:szCs w:val="20"/>
        </w:rPr>
      </w:pPr>
      <w:r>
        <w:rPr>
          <w:color w:val="000000"/>
          <w:sz w:val="20"/>
          <w:szCs w:val="20"/>
          <w:lang w:val="en-GB"/>
        </w:rPr>
        <w:t>In the 1492-1518 MHz frequency range (within the 1492-1525 MHz non-civil frequency band), non-civil point-to-point, point-to-multipoint, military fixed service and general multipoint as well as single</w:t>
      </w:r>
      <w:r w:rsidR="00C65EE1">
        <w:rPr>
          <w:color w:val="000000"/>
          <w:sz w:val="20"/>
          <w:szCs w:val="20"/>
          <w:lang w:val="en-GB"/>
        </w:rPr>
        <w:t>-</w:t>
      </w:r>
      <w:r>
        <w:rPr>
          <w:color w:val="000000"/>
          <w:sz w:val="20"/>
          <w:szCs w:val="20"/>
          <w:lang w:val="en-GB"/>
        </w:rPr>
        <w:t xml:space="preserve"> and </w:t>
      </w:r>
      <w:r w:rsidR="00C65EE1">
        <w:rPr>
          <w:color w:val="000000"/>
          <w:sz w:val="20"/>
          <w:szCs w:val="20"/>
          <w:lang w:val="en-GB"/>
        </w:rPr>
        <w:t>two-</w:t>
      </w:r>
      <w:r>
        <w:rPr>
          <w:color w:val="000000"/>
          <w:sz w:val="20"/>
          <w:szCs w:val="20"/>
          <w:lang w:val="en-GB"/>
        </w:rPr>
        <w:t xml:space="preserve">frequency mobile systems may be operated, and </w:t>
      </w:r>
      <w:r w:rsidR="00F817B7">
        <w:rPr>
          <w:color w:val="000000"/>
          <w:sz w:val="20"/>
          <w:szCs w:val="20"/>
          <w:lang w:val="en-GB"/>
        </w:rPr>
        <w:t xml:space="preserve">civil </w:t>
      </w:r>
      <w:r>
        <w:rPr>
          <w:color w:val="000000"/>
          <w:sz w:val="20"/>
          <w:szCs w:val="20"/>
          <w:lang w:val="en-GB"/>
        </w:rPr>
        <w:t xml:space="preserve">passive research </w:t>
      </w:r>
      <w:r w:rsidR="00C16D17">
        <w:rPr>
          <w:color w:val="000000"/>
          <w:sz w:val="20"/>
          <w:szCs w:val="20"/>
          <w:lang w:val="en-GB"/>
        </w:rPr>
        <w:t xml:space="preserve">of </w:t>
      </w:r>
      <w:r>
        <w:rPr>
          <w:color w:val="000000"/>
          <w:sz w:val="20"/>
          <w:szCs w:val="20"/>
          <w:lang w:val="en-GB"/>
        </w:rPr>
        <w:t xml:space="preserve">intentional emissions </w:t>
      </w:r>
      <w:r w:rsidR="00C16D17">
        <w:rPr>
          <w:color w:val="000000"/>
          <w:sz w:val="20"/>
          <w:szCs w:val="20"/>
          <w:lang w:val="en-GB"/>
        </w:rPr>
        <w:t xml:space="preserve">of </w:t>
      </w:r>
      <w:r>
        <w:rPr>
          <w:color w:val="000000"/>
          <w:sz w:val="20"/>
          <w:szCs w:val="20"/>
          <w:lang w:val="en-GB"/>
        </w:rPr>
        <w:t xml:space="preserve">extraterrestrial </w:t>
      </w:r>
      <w:r w:rsidR="00C16D17">
        <w:rPr>
          <w:color w:val="000000"/>
          <w:sz w:val="20"/>
          <w:szCs w:val="20"/>
          <w:lang w:val="en-GB"/>
        </w:rPr>
        <w:t xml:space="preserve">origin </w:t>
      </w:r>
      <w:r>
        <w:rPr>
          <w:color w:val="000000"/>
          <w:sz w:val="20"/>
          <w:szCs w:val="20"/>
          <w:lang w:val="en-GB"/>
        </w:rPr>
        <w:t xml:space="preserve">may </w:t>
      </w:r>
      <w:r w:rsidR="00C16D17">
        <w:rPr>
          <w:color w:val="000000"/>
          <w:sz w:val="20"/>
          <w:szCs w:val="20"/>
          <w:lang w:val="en-GB"/>
        </w:rPr>
        <w:t xml:space="preserve">also </w:t>
      </w:r>
      <w:r>
        <w:rPr>
          <w:color w:val="000000"/>
          <w:sz w:val="20"/>
          <w:szCs w:val="20"/>
          <w:lang w:val="en-GB"/>
        </w:rPr>
        <w:t>be conducted on a primary basis.</w:t>
      </w:r>
    </w:p>
    <w:p w14:paraId="3CB2A929" w14:textId="00A80F28" w:rsidR="00B85A3A" w:rsidRDefault="00B85A3A" w:rsidP="00B85A3A">
      <w:pPr>
        <w:pStyle w:val="CM14"/>
        <w:spacing w:before="120" w:after="120" w:line="276" w:lineRule="auto"/>
        <w:ind w:firstLine="357"/>
        <w:jc w:val="both"/>
        <w:rPr>
          <w:color w:val="000000"/>
          <w:sz w:val="20"/>
          <w:szCs w:val="20"/>
        </w:rPr>
      </w:pPr>
      <w:r>
        <w:rPr>
          <w:color w:val="000000"/>
          <w:sz w:val="20"/>
          <w:szCs w:val="20"/>
          <w:lang w:val="en-GB"/>
        </w:rPr>
        <w:t>On a tertiary basis, civil and non-civil SRD radio</w:t>
      </w:r>
      <w:r w:rsidR="00F11623" w:rsidRPr="00F11623">
        <w:rPr>
          <w:color w:val="000000"/>
          <w:sz w:val="20"/>
          <w:szCs w:val="20"/>
          <w:lang w:val="en-GB"/>
        </w:rPr>
        <w:t>determination</w:t>
      </w:r>
      <w:r>
        <w:rPr>
          <w:color w:val="000000"/>
          <w:sz w:val="20"/>
          <w:szCs w:val="20"/>
          <w:lang w:val="en-GB"/>
        </w:rPr>
        <w:t xml:space="preserve"> applications may operate in the 1427-</w:t>
      </w:r>
      <w:r>
        <w:rPr>
          <w:color w:val="000000"/>
          <w:sz w:val="20"/>
          <w:szCs w:val="20"/>
          <w:lang w:val="en-GB"/>
        </w:rPr>
        <w:lastRenderedPageBreak/>
        <w:t xml:space="preserve">1525 MHz frequency band. The 1492–1525 MHz frequency band is </w:t>
      </w:r>
      <w:r w:rsidR="009A0529">
        <w:rPr>
          <w:color w:val="000000"/>
          <w:sz w:val="20"/>
          <w:szCs w:val="20"/>
          <w:lang w:val="en-GB"/>
        </w:rPr>
        <w:t xml:space="preserve">also </w:t>
      </w:r>
      <w:r>
        <w:rPr>
          <w:color w:val="000000"/>
          <w:sz w:val="20"/>
          <w:szCs w:val="20"/>
          <w:lang w:val="en-GB"/>
        </w:rPr>
        <w:t xml:space="preserve">designated on a tertiary basis for radio microphone applications and wireless audio and multimedia streaming applications, and the 1492-1518 MHz sub-band is </w:t>
      </w:r>
      <w:r w:rsidR="009A0529">
        <w:rPr>
          <w:color w:val="000000"/>
          <w:sz w:val="20"/>
          <w:szCs w:val="20"/>
          <w:lang w:val="en-GB"/>
        </w:rPr>
        <w:t xml:space="preserve">also </w:t>
      </w:r>
      <w:r>
        <w:rPr>
          <w:color w:val="000000"/>
          <w:sz w:val="20"/>
          <w:szCs w:val="20"/>
          <w:lang w:val="en-GB"/>
        </w:rPr>
        <w:t>designated for non-civil purposes for low power wireless data and video transmission.</w:t>
      </w:r>
    </w:p>
    <w:p w14:paraId="6ACE9DF2" w14:textId="5B76667B" w:rsidR="002C3924" w:rsidRDefault="00B85A3A" w:rsidP="00BA7413">
      <w:pPr>
        <w:pStyle w:val="CM20"/>
        <w:spacing w:before="120" w:after="120" w:line="276" w:lineRule="auto"/>
        <w:ind w:firstLine="357"/>
        <w:jc w:val="both"/>
      </w:pPr>
      <w:r>
        <w:rPr>
          <w:color w:val="000000"/>
          <w:sz w:val="20"/>
          <w:szCs w:val="20"/>
          <w:lang w:val="en-GB"/>
        </w:rPr>
        <w:t xml:space="preserve">Decisions and studies on the use of the 1452-1492 MHz frequency band and the extended 1427-1518 MHz frequency band for MFCN have been completed at international level, and the relevant EU </w:t>
      </w:r>
      <w:r w:rsidR="00813B31">
        <w:rPr>
          <w:color w:val="000000"/>
          <w:sz w:val="20"/>
          <w:szCs w:val="20"/>
          <w:lang w:val="en-GB"/>
        </w:rPr>
        <w:t xml:space="preserve">legislation </w:t>
      </w:r>
      <w:r>
        <w:rPr>
          <w:color w:val="000000"/>
          <w:sz w:val="20"/>
          <w:szCs w:val="20"/>
          <w:lang w:val="en-GB"/>
        </w:rPr>
        <w:t>ha</w:t>
      </w:r>
      <w:r w:rsidR="00813B31">
        <w:rPr>
          <w:color w:val="000000"/>
          <w:sz w:val="20"/>
          <w:szCs w:val="20"/>
          <w:lang w:val="en-GB"/>
        </w:rPr>
        <w:t>s</w:t>
      </w:r>
      <w:r>
        <w:rPr>
          <w:color w:val="000000"/>
          <w:sz w:val="20"/>
          <w:szCs w:val="20"/>
          <w:lang w:val="en-GB"/>
        </w:rPr>
        <w:t xml:space="preserve"> been implemented into the Hungarian regulations. The frequency band usage conditions and radio spectrum management requirements for terrestrial systems capable of providing electronic communications services in the 1427-1492 MHz frequency band are set out in Section 3.7 of Annex 3 to the NFFF Decree. </w:t>
      </w:r>
    </w:p>
    <w:p w14:paraId="546DD270" w14:textId="1D8D1A74" w:rsidR="00CB2404" w:rsidRDefault="002C3924" w:rsidP="002C3924">
      <w:pPr>
        <w:pStyle w:val="Behzottbekezdsnmhh"/>
        <w:spacing w:before="120"/>
      </w:pPr>
      <w:r>
        <w:rPr>
          <w:lang w:val="en-GB"/>
        </w:rPr>
        <w:t>In coherence with the harmonised European</w:t>
      </w:r>
      <w:r w:rsidR="00813B31">
        <w:rPr>
          <w:lang w:val="en-GB"/>
        </w:rPr>
        <w:t xml:space="preserve"> legislation</w:t>
      </w:r>
      <w:r>
        <w:rPr>
          <w:lang w:val="en-GB"/>
        </w:rPr>
        <w:t xml:space="preserve">, the mode </w:t>
      </w:r>
      <w:r w:rsidR="0072167A">
        <w:rPr>
          <w:lang w:val="en-GB"/>
        </w:rPr>
        <w:t xml:space="preserve">of operation </w:t>
      </w:r>
      <w:r>
        <w:rPr>
          <w:lang w:val="en-GB"/>
        </w:rPr>
        <w:t xml:space="preserve">within the 1427-1492 MHz frequency band is limited to supplemental downlink transmission (SDL) of land stations. The division of the frequency band into basic blocks is </w:t>
      </w:r>
      <w:r w:rsidR="000E5EFC">
        <w:rPr>
          <w:lang w:val="en-GB"/>
        </w:rPr>
        <w:t xml:space="preserve">included </w:t>
      </w:r>
      <w:r>
        <w:rPr>
          <w:lang w:val="en-GB"/>
        </w:rPr>
        <w:t>in Table 3.2.a:</w:t>
      </w:r>
    </w:p>
    <w:p w14:paraId="7FE3679A" w14:textId="77777777" w:rsidR="00CB2404" w:rsidRDefault="00CB2404">
      <w:pPr>
        <w:spacing w:after="200"/>
        <w:jc w:val="left"/>
        <w:rPr>
          <w:sz w:val="20"/>
          <w:szCs w:val="20"/>
        </w:rPr>
      </w:pPr>
      <w:r>
        <w:rPr>
          <w:lang w:val="en-GB"/>
        </w:rPr>
        <w:br w:type="page"/>
      </w:r>
    </w:p>
    <w:p w14:paraId="3B7C27A5" w14:textId="77777777" w:rsidR="001E50C0" w:rsidRDefault="001E50C0" w:rsidP="002C3924">
      <w:pPr>
        <w:pStyle w:val="Behzottbekezdsnmhh"/>
        <w:spacing w:before="120"/>
      </w:pPr>
    </w:p>
    <w:tbl>
      <w:tblPr>
        <w:tblW w:w="0" w:type="auto"/>
        <w:jc w:val="center"/>
        <w:tblBorders>
          <w:top w:val="nil"/>
          <w:left w:val="nil"/>
          <w:bottom w:val="nil"/>
          <w:right w:val="nil"/>
        </w:tblBorders>
        <w:tblLayout w:type="fixed"/>
        <w:tblLook w:val="0000" w:firstRow="0" w:lastRow="0" w:firstColumn="0" w:lastColumn="0" w:noHBand="0" w:noVBand="0"/>
      </w:tblPr>
      <w:tblGrid>
        <w:gridCol w:w="2202"/>
        <w:gridCol w:w="2737"/>
      </w:tblGrid>
      <w:tr w:rsidR="002C3924" w14:paraId="1BDB714E" w14:textId="77777777" w:rsidTr="00BA7413">
        <w:trPr>
          <w:trHeight w:val="295"/>
          <w:jc w:val="center"/>
        </w:trPr>
        <w:tc>
          <w:tcPr>
            <w:tcW w:w="2202" w:type="dxa"/>
            <w:tcBorders>
              <w:top w:val="single" w:sz="20" w:space="0" w:color="000000"/>
              <w:left w:val="single" w:sz="18" w:space="0" w:color="000000"/>
              <w:bottom w:val="single" w:sz="20" w:space="0" w:color="000000"/>
              <w:right w:val="single" w:sz="6" w:space="0" w:color="000000"/>
            </w:tcBorders>
          </w:tcPr>
          <w:p w14:paraId="142EFEBD" w14:textId="77777777" w:rsidR="002C3924" w:rsidRDefault="002C3924" w:rsidP="00BA7413">
            <w:pPr>
              <w:pStyle w:val="Default"/>
              <w:keepLines/>
              <w:jc w:val="center"/>
              <w:rPr>
                <w:sz w:val="18"/>
                <w:szCs w:val="18"/>
              </w:rPr>
            </w:pPr>
            <w:r>
              <w:rPr>
                <w:b/>
                <w:bCs/>
                <w:sz w:val="18"/>
                <w:szCs w:val="18"/>
                <w:lang w:val="en-GB"/>
              </w:rPr>
              <w:t xml:space="preserve">Basic block ID </w:t>
            </w:r>
          </w:p>
        </w:tc>
        <w:tc>
          <w:tcPr>
            <w:tcW w:w="2737" w:type="dxa"/>
            <w:tcBorders>
              <w:top w:val="single" w:sz="20" w:space="0" w:color="000000"/>
              <w:left w:val="single" w:sz="6" w:space="0" w:color="000000"/>
              <w:bottom w:val="single" w:sz="20" w:space="0" w:color="000000"/>
              <w:right w:val="single" w:sz="18" w:space="0" w:color="000000"/>
            </w:tcBorders>
          </w:tcPr>
          <w:p w14:paraId="69EF4949" w14:textId="77777777" w:rsidR="002C3924" w:rsidRDefault="002C3924" w:rsidP="00BA7413">
            <w:pPr>
              <w:pStyle w:val="Default"/>
              <w:keepLines/>
              <w:jc w:val="center"/>
              <w:rPr>
                <w:sz w:val="18"/>
                <w:szCs w:val="18"/>
              </w:rPr>
            </w:pPr>
            <w:r>
              <w:rPr>
                <w:b/>
                <w:bCs/>
                <w:sz w:val="18"/>
                <w:szCs w:val="18"/>
                <w:lang w:val="en-GB"/>
              </w:rPr>
              <w:t xml:space="preserve">Frequency range [MHz] </w:t>
            </w:r>
          </w:p>
        </w:tc>
      </w:tr>
      <w:tr w:rsidR="00405E03" w14:paraId="46539440" w14:textId="77777777" w:rsidTr="00BA7413">
        <w:trPr>
          <w:trHeight w:val="176"/>
          <w:jc w:val="center"/>
        </w:trPr>
        <w:tc>
          <w:tcPr>
            <w:tcW w:w="2202" w:type="dxa"/>
            <w:tcBorders>
              <w:top w:val="single" w:sz="20" w:space="0" w:color="000000"/>
              <w:left w:val="single" w:sz="18" w:space="0" w:color="000000"/>
              <w:bottom w:val="single" w:sz="8" w:space="0" w:color="000000"/>
              <w:right w:val="single" w:sz="6" w:space="0" w:color="000000"/>
            </w:tcBorders>
          </w:tcPr>
          <w:p w14:paraId="4C967382" w14:textId="77777777" w:rsidR="00405E03" w:rsidRPr="00BA7413" w:rsidRDefault="00405E03" w:rsidP="00BA7413">
            <w:pPr>
              <w:pStyle w:val="Default"/>
              <w:keepLines/>
              <w:jc w:val="center"/>
              <w:rPr>
                <w:sz w:val="16"/>
                <w:szCs w:val="16"/>
              </w:rPr>
            </w:pPr>
            <w:r>
              <w:rPr>
                <w:sz w:val="16"/>
                <w:szCs w:val="16"/>
                <w:lang w:val="en-GB"/>
              </w:rPr>
              <w:t xml:space="preserve">1 </w:t>
            </w:r>
          </w:p>
        </w:tc>
        <w:tc>
          <w:tcPr>
            <w:tcW w:w="2737" w:type="dxa"/>
            <w:tcBorders>
              <w:top w:val="single" w:sz="20" w:space="0" w:color="000000"/>
              <w:left w:val="single" w:sz="6" w:space="0" w:color="000000"/>
              <w:bottom w:val="single" w:sz="8" w:space="0" w:color="000000"/>
              <w:right w:val="single" w:sz="18" w:space="0" w:color="000000"/>
            </w:tcBorders>
          </w:tcPr>
          <w:p w14:paraId="42DA2894" w14:textId="77777777" w:rsidR="00405E03" w:rsidRPr="00BA7413" w:rsidRDefault="00405E03" w:rsidP="00BA7413">
            <w:pPr>
              <w:pStyle w:val="Default"/>
              <w:keepLines/>
              <w:jc w:val="center"/>
              <w:rPr>
                <w:sz w:val="16"/>
                <w:szCs w:val="16"/>
              </w:rPr>
            </w:pPr>
            <w:r>
              <w:rPr>
                <w:sz w:val="16"/>
                <w:szCs w:val="16"/>
                <w:lang w:val="en-GB"/>
              </w:rPr>
              <w:t>1427-1432</w:t>
            </w:r>
          </w:p>
        </w:tc>
      </w:tr>
      <w:tr w:rsidR="00405E03" w14:paraId="6B3C8E32" w14:textId="77777777" w:rsidTr="00BA7413">
        <w:trPr>
          <w:trHeight w:val="186"/>
          <w:jc w:val="center"/>
        </w:trPr>
        <w:tc>
          <w:tcPr>
            <w:tcW w:w="2202" w:type="dxa"/>
            <w:tcBorders>
              <w:top w:val="single" w:sz="8" w:space="0" w:color="000000"/>
              <w:left w:val="single" w:sz="18" w:space="0" w:color="000000"/>
              <w:bottom w:val="single" w:sz="8" w:space="0" w:color="000000"/>
              <w:right w:val="single" w:sz="6" w:space="0" w:color="000000"/>
            </w:tcBorders>
          </w:tcPr>
          <w:p w14:paraId="0F6B36F7" w14:textId="77777777" w:rsidR="00405E03" w:rsidRPr="00BA7413" w:rsidRDefault="00405E03" w:rsidP="00BA7413">
            <w:pPr>
              <w:pStyle w:val="Default"/>
              <w:keepLines/>
              <w:jc w:val="center"/>
              <w:rPr>
                <w:sz w:val="16"/>
                <w:szCs w:val="16"/>
              </w:rPr>
            </w:pPr>
            <w:r>
              <w:rPr>
                <w:sz w:val="16"/>
                <w:szCs w:val="16"/>
                <w:lang w:val="en-GB"/>
              </w:rPr>
              <w:t xml:space="preserve">2 </w:t>
            </w:r>
          </w:p>
        </w:tc>
        <w:tc>
          <w:tcPr>
            <w:tcW w:w="2737" w:type="dxa"/>
            <w:tcBorders>
              <w:top w:val="single" w:sz="8" w:space="0" w:color="000000"/>
              <w:left w:val="single" w:sz="6" w:space="0" w:color="000000"/>
              <w:bottom w:val="single" w:sz="8" w:space="0" w:color="000000"/>
              <w:right w:val="single" w:sz="18" w:space="0" w:color="000000"/>
            </w:tcBorders>
          </w:tcPr>
          <w:p w14:paraId="1F2861CC" w14:textId="77777777" w:rsidR="00405E03" w:rsidRPr="00BA7413" w:rsidRDefault="00405E03" w:rsidP="00BA7413">
            <w:pPr>
              <w:pStyle w:val="Default"/>
              <w:keepLines/>
              <w:jc w:val="center"/>
              <w:rPr>
                <w:sz w:val="16"/>
                <w:szCs w:val="16"/>
              </w:rPr>
            </w:pPr>
            <w:r>
              <w:rPr>
                <w:sz w:val="16"/>
                <w:szCs w:val="16"/>
                <w:lang w:val="en-GB"/>
              </w:rPr>
              <w:t>1432-1437</w:t>
            </w:r>
          </w:p>
        </w:tc>
      </w:tr>
      <w:tr w:rsidR="00405E03" w14:paraId="5D3A67D4" w14:textId="77777777" w:rsidTr="00BA7413">
        <w:trPr>
          <w:trHeight w:val="186"/>
          <w:jc w:val="center"/>
        </w:trPr>
        <w:tc>
          <w:tcPr>
            <w:tcW w:w="2202" w:type="dxa"/>
            <w:tcBorders>
              <w:top w:val="single" w:sz="8" w:space="0" w:color="000000"/>
              <w:left w:val="single" w:sz="18" w:space="0" w:color="000000"/>
              <w:bottom w:val="single" w:sz="8" w:space="0" w:color="000000"/>
              <w:right w:val="single" w:sz="6" w:space="0" w:color="000000"/>
            </w:tcBorders>
          </w:tcPr>
          <w:p w14:paraId="0D28121F" w14:textId="77777777" w:rsidR="00405E03" w:rsidRPr="00BA7413" w:rsidDel="00405E03" w:rsidRDefault="00405E03" w:rsidP="00BA7413">
            <w:pPr>
              <w:pStyle w:val="Default"/>
              <w:keepLines/>
              <w:jc w:val="center"/>
              <w:rPr>
                <w:sz w:val="16"/>
                <w:szCs w:val="16"/>
              </w:rPr>
            </w:pPr>
            <w:r>
              <w:rPr>
                <w:sz w:val="16"/>
                <w:szCs w:val="16"/>
                <w:lang w:val="en-GB"/>
              </w:rPr>
              <w:t xml:space="preserve">3 </w:t>
            </w:r>
          </w:p>
        </w:tc>
        <w:tc>
          <w:tcPr>
            <w:tcW w:w="2737" w:type="dxa"/>
            <w:tcBorders>
              <w:top w:val="single" w:sz="8" w:space="0" w:color="000000"/>
              <w:left w:val="single" w:sz="6" w:space="0" w:color="000000"/>
              <w:bottom w:val="single" w:sz="8" w:space="0" w:color="000000"/>
              <w:right w:val="single" w:sz="18" w:space="0" w:color="000000"/>
            </w:tcBorders>
          </w:tcPr>
          <w:p w14:paraId="554BEFC6" w14:textId="77777777" w:rsidR="00405E03" w:rsidRPr="00BA7413" w:rsidDel="00405E03" w:rsidRDefault="00405E03" w:rsidP="00BA7413">
            <w:pPr>
              <w:pStyle w:val="Default"/>
              <w:keepLines/>
              <w:jc w:val="center"/>
              <w:rPr>
                <w:sz w:val="16"/>
                <w:szCs w:val="16"/>
              </w:rPr>
            </w:pPr>
            <w:r>
              <w:rPr>
                <w:sz w:val="16"/>
                <w:szCs w:val="16"/>
                <w:lang w:val="en-GB"/>
              </w:rPr>
              <w:t>1437-1442</w:t>
            </w:r>
          </w:p>
        </w:tc>
      </w:tr>
      <w:tr w:rsidR="00405E03" w14:paraId="3AF4D834" w14:textId="77777777" w:rsidTr="00BA7413">
        <w:trPr>
          <w:trHeight w:val="186"/>
          <w:jc w:val="center"/>
        </w:trPr>
        <w:tc>
          <w:tcPr>
            <w:tcW w:w="2202" w:type="dxa"/>
            <w:tcBorders>
              <w:top w:val="single" w:sz="8" w:space="0" w:color="000000"/>
              <w:left w:val="single" w:sz="18" w:space="0" w:color="000000"/>
              <w:bottom w:val="single" w:sz="8" w:space="0" w:color="000000"/>
              <w:right w:val="single" w:sz="6" w:space="0" w:color="000000"/>
            </w:tcBorders>
          </w:tcPr>
          <w:p w14:paraId="24AE153F" w14:textId="77777777" w:rsidR="00405E03" w:rsidRPr="00BA7413" w:rsidDel="00405E03" w:rsidRDefault="00405E03" w:rsidP="00BA7413">
            <w:pPr>
              <w:pStyle w:val="Default"/>
              <w:keepLines/>
              <w:jc w:val="center"/>
              <w:rPr>
                <w:sz w:val="16"/>
                <w:szCs w:val="16"/>
              </w:rPr>
            </w:pPr>
            <w:r>
              <w:rPr>
                <w:sz w:val="16"/>
                <w:szCs w:val="16"/>
                <w:lang w:val="en-GB"/>
              </w:rPr>
              <w:t xml:space="preserve">4 </w:t>
            </w:r>
          </w:p>
        </w:tc>
        <w:tc>
          <w:tcPr>
            <w:tcW w:w="2737" w:type="dxa"/>
            <w:tcBorders>
              <w:top w:val="single" w:sz="8" w:space="0" w:color="000000"/>
              <w:left w:val="single" w:sz="6" w:space="0" w:color="000000"/>
              <w:bottom w:val="single" w:sz="8" w:space="0" w:color="000000"/>
              <w:right w:val="single" w:sz="18" w:space="0" w:color="000000"/>
            </w:tcBorders>
          </w:tcPr>
          <w:p w14:paraId="4571D493" w14:textId="77777777" w:rsidR="00405E03" w:rsidRPr="00BA7413" w:rsidDel="00405E03" w:rsidRDefault="00405E03" w:rsidP="00BA7413">
            <w:pPr>
              <w:pStyle w:val="Default"/>
              <w:keepLines/>
              <w:jc w:val="center"/>
              <w:rPr>
                <w:sz w:val="16"/>
                <w:szCs w:val="16"/>
              </w:rPr>
            </w:pPr>
            <w:r>
              <w:rPr>
                <w:sz w:val="16"/>
                <w:szCs w:val="16"/>
                <w:lang w:val="en-GB"/>
              </w:rPr>
              <w:t>1442-1447</w:t>
            </w:r>
          </w:p>
        </w:tc>
      </w:tr>
      <w:tr w:rsidR="00405E03" w14:paraId="6C49A287" w14:textId="77777777" w:rsidTr="00BA7413">
        <w:trPr>
          <w:trHeight w:val="186"/>
          <w:jc w:val="center"/>
        </w:trPr>
        <w:tc>
          <w:tcPr>
            <w:tcW w:w="2202" w:type="dxa"/>
            <w:tcBorders>
              <w:top w:val="single" w:sz="8" w:space="0" w:color="000000"/>
              <w:left w:val="single" w:sz="18" w:space="0" w:color="000000"/>
              <w:bottom w:val="single" w:sz="8" w:space="0" w:color="000000"/>
              <w:right w:val="single" w:sz="6" w:space="0" w:color="000000"/>
            </w:tcBorders>
          </w:tcPr>
          <w:p w14:paraId="5E1723B2" w14:textId="77777777" w:rsidR="00405E03" w:rsidRPr="00BA7413" w:rsidRDefault="00405E03" w:rsidP="00BA7413">
            <w:pPr>
              <w:pStyle w:val="Default"/>
              <w:keepLines/>
              <w:jc w:val="center"/>
              <w:rPr>
                <w:sz w:val="16"/>
                <w:szCs w:val="16"/>
              </w:rPr>
            </w:pPr>
            <w:r>
              <w:rPr>
                <w:sz w:val="16"/>
                <w:szCs w:val="16"/>
                <w:lang w:val="en-GB"/>
              </w:rPr>
              <w:t xml:space="preserve">5 </w:t>
            </w:r>
          </w:p>
        </w:tc>
        <w:tc>
          <w:tcPr>
            <w:tcW w:w="2737" w:type="dxa"/>
            <w:tcBorders>
              <w:top w:val="single" w:sz="8" w:space="0" w:color="000000"/>
              <w:left w:val="single" w:sz="6" w:space="0" w:color="000000"/>
              <w:bottom w:val="single" w:sz="8" w:space="0" w:color="000000"/>
              <w:right w:val="single" w:sz="18" w:space="0" w:color="000000"/>
            </w:tcBorders>
          </w:tcPr>
          <w:p w14:paraId="38C15794" w14:textId="77777777" w:rsidR="00405E03" w:rsidRPr="00BA7413" w:rsidRDefault="00405E03" w:rsidP="00BA7413">
            <w:pPr>
              <w:pStyle w:val="Default"/>
              <w:keepLines/>
              <w:jc w:val="center"/>
              <w:rPr>
                <w:sz w:val="16"/>
                <w:szCs w:val="16"/>
              </w:rPr>
            </w:pPr>
            <w:r>
              <w:rPr>
                <w:sz w:val="16"/>
                <w:szCs w:val="16"/>
                <w:lang w:val="en-GB"/>
              </w:rPr>
              <w:t>1447-1452</w:t>
            </w:r>
          </w:p>
        </w:tc>
      </w:tr>
      <w:tr w:rsidR="00405E03" w14:paraId="411E104C" w14:textId="77777777" w:rsidTr="00BA7413">
        <w:trPr>
          <w:trHeight w:val="186"/>
          <w:jc w:val="center"/>
        </w:trPr>
        <w:tc>
          <w:tcPr>
            <w:tcW w:w="2202" w:type="dxa"/>
            <w:tcBorders>
              <w:top w:val="single" w:sz="8" w:space="0" w:color="000000"/>
              <w:left w:val="single" w:sz="18" w:space="0" w:color="000000"/>
              <w:bottom w:val="single" w:sz="8" w:space="0" w:color="000000"/>
              <w:right w:val="single" w:sz="6" w:space="0" w:color="000000"/>
            </w:tcBorders>
          </w:tcPr>
          <w:p w14:paraId="5FED061C" w14:textId="77777777" w:rsidR="00405E03" w:rsidRPr="00BA7413" w:rsidRDefault="00405E03" w:rsidP="00BA7413">
            <w:pPr>
              <w:pStyle w:val="Default"/>
              <w:keepLines/>
              <w:jc w:val="center"/>
              <w:rPr>
                <w:sz w:val="16"/>
                <w:szCs w:val="16"/>
              </w:rPr>
            </w:pPr>
            <w:r>
              <w:rPr>
                <w:sz w:val="16"/>
                <w:szCs w:val="16"/>
                <w:lang w:val="en-GB"/>
              </w:rPr>
              <w:t xml:space="preserve">6 </w:t>
            </w:r>
          </w:p>
        </w:tc>
        <w:tc>
          <w:tcPr>
            <w:tcW w:w="2737" w:type="dxa"/>
            <w:tcBorders>
              <w:top w:val="single" w:sz="8" w:space="0" w:color="000000"/>
              <w:left w:val="single" w:sz="6" w:space="0" w:color="000000"/>
              <w:bottom w:val="single" w:sz="8" w:space="0" w:color="000000"/>
              <w:right w:val="single" w:sz="18" w:space="0" w:color="000000"/>
            </w:tcBorders>
          </w:tcPr>
          <w:p w14:paraId="23103DC2" w14:textId="77777777" w:rsidR="00405E03" w:rsidRPr="00BA7413" w:rsidRDefault="00405E03" w:rsidP="00BA7413">
            <w:pPr>
              <w:pStyle w:val="Default"/>
              <w:keepLines/>
              <w:jc w:val="center"/>
              <w:rPr>
                <w:sz w:val="16"/>
                <w:szCs w:val="16"/>
              </w:rPr>
            </w:pPr>
            <w:r>
              <w:rPr>
                <w:sz w:val="16"/>
                <w:szCs w:val="16"/>
                <w:lang w:val="en-GB"/>
              </w:rPr>
              <w:t xml:space="preserve">1452–1457 </w:t>
            </w:r>
          </w:p>
        </w:tc>
      </w:tr>
      <w:tr w:rsidR="00405E03" w14:paraId="1D34F099" w14:textId="77777777" w:rsidTr="00BA7413">
        <w:trPr>
          <w:trHeight w:val="186"/>
          <w:jc w:val="center"/>
        </w:trPr>
        <w:tc>
          <w:tcPr>
            <w:tcW w:w="2202" w:type="dxa"/>
            <w:tcBorders>
              <w:top w:val="single" w:sz="8" w:space="0" w:color="000000"/>
              <w:left w:val="single" w:sz="18" w:space="0" w:color="000000"/>
              <w:bottom w:val="single" w:sz="8" w:space="0" w:color="000000"/>
              <w:right w:val="single" w:sz="6" w:space="0" w:color="000000"/>
            </w:tcBorders>
          </w:tcPr>
          <w:p w14:paraId="3963FEC3" w14:textId="77777777" w:rsidR="00405E03" w:rsidRPr="00BA7413" w:rsidRDefault="00405E03" w:rsidP="00BA7413">
            <w:pPr>
              <w:pStyle w:val="Default"/>
              <w:keepLines/>
              <w:jc w:val="center"/>
              <w:rPr>
                <w:sz w:val="16"/>
                <w:szCs w:val="16"/>
              </w:rPr>
            </w:pPr>
            <w:r>
              <w:rPr>
                <w:sz w:val="16"/>
                <w:szCs w:val="16"/>
                <w:lang w:val="en-GB"/>
              </w:rPr>
              <w:t xml:space="preserve">7 </w:t>
            </w:r>
          </w:p>
        </w:tc>
        <w:tc>
          <w:tcPr>
            <w:tcW w:w="2737" w:type="dxa"/>
            <w:tcBorders>
              <w:top w:val="single" w:sz="8" w:space="0" w:color="000000"/>
              <w:left w:val="single" w:sz="6" w:space="0" w:color="000000"/>
              <w:bottom w:val="single" w:sz="8" w:space="0" w:color="000000"/>
              <w:right w:val="single" w:sz="18" w:space="0" w:color="000000"/>
            </w:tcBorders>
          </w:tcPr>
          <w:p w14:paraId="4C315FCC" w14:textId="77777777" w:rsidR="00405E03" w:rsidRPr="00BA7413" w:rsidRDefault="00405E03" w:rsidP="00BA7413">
            <w:pPr>
              <w:pStyle w:val="Default"/>
              <w:keepLines/>
              <w:jc w:val="center"/>
              <w:rPr>
                <w:sz w:val="16"/>
                <w:szCs w:val="16"/>
              </w:rPr>
            </w:pPr>
            <w:r>
              <w:rPr>
                <w:sz w:val="16"/>
                <w:szCs w:val="16"/>
                <w:lang w:val="en-GB"/>
              </w:rPr>
              <w:t xml:space="preserve">1457–1462 </w:t>
            </w:r>
          </w:p>
        </w:tc>
      </w:tr>
      <w:tr w:rsidR="002C3924" w14:paraId="61BBA2CE" w14:textId="77777777" w:rsidTr="00BA7413">
        <w:trPr>
          <w:trHeight w:val="176"/>
          <w:jc w:val="center"/>
        </w:trPr>
        <w:tc>
          <w:tcPr>
            <w:tcW w:w="2202" w:type="dxa"/>
            <w:tcBorders>
              <w:top w:val="single" w:sz="8" w:space="0" w:color="000000"/>
              <w:left w:val="single" w:sz="18" w:space="0" w:color="000000"/>
              <w:bottom w:val="single" w:sz="8" w:space="0" w:color="000000"/>
              <w:right w:val="single" w:sz="6" w:space="0" w:color="000000"/>
            </w:tcBorders>
          </w:tcPr>
          <w:p w14:paraId="12FEEF1B" w14:textId="77777777" w:rsidR="002C3924" w:rsidRPr="00BA7413" w:rsidRDefault="00405E03" w:rsidP="00BA7413">
            <w:pPr>
              <w:pStyle w:val="Default"/>
              <w:keepLines/>
              <w:jc w:val="center"/>
              <w:rPr>
                <w:sz w:val="16"/>
                <w:szCs w:val="16"/>
              </w:rPr>
            </w:pPr>
            <w:r>
              <w:rPr>
                <w:sz w:val="16"/>
                <w:szCs w:val="16"/>
                <w:lang w:val="en-GB"/>
              </w:rPr>
              <w:t>8</w:t>
            </w:r>
          </w:p>
        </w:tc>
        <w:tc>
          <w:tcPr>
            <w:tcW w:w="2737" w:type="dxa"/>
            <w:tcBorders>
              <w:top w:val="single" w:sz="8" w:space="0" w:color="000000"/>
              <w:left w:val="single" w:sz="6" w:space="0" w:color="000000"/>
              <w:bottom w:val="single" w:sz="8" w:space="0" w:color="000000"/>
              <w:right w:val="single" w:sz="18" w:space="0" w:color="000000"/>
            </w:tcBorders>
          </w:tcPr>
          <w:p w14:paraId="5927AA43" w14:textId="77777777" w:rsidR="002C3924" w:rsidRPr="00BA7413" w:rsidRDefault="002C3924" w:rsidP="00BA7413">
            <w:pPr>
              <w:pStyle w:val="Default"/>
              <w:keepLines/>
              <w:jc w:val="center"/>
              <w:rPr>
                <w:sz w:val="16"/>
                <w:szCs w:val="16"/>
              </w:rPr>
            </w:pPr>
            <w:r>
              <w:rPr>
                <w:sz w:val="16"/>
                <w:szCs w:val="16"/>
                <w:lang w:val="en-GB"/>
              </w:rPr>
              <w:t xml:space="preserve">1462–1467 </w:t>
            </w:r>
          </w:p>
        </w:tc>
      </w:tr>
      <w:tr w:rsidR="002C3924" w14:paraId="642B515F" w14:textId="77777777" w:rsidTr="00BA7413">
        <w:trPr>
          <w:trHeight w:val="175"/>
          <w:jc w:val="center"/>
        </w:trPr>
        <w:tc>
          <w:tcPr>
            <w:tcW w:w="2202" w:type="dxa"/>
            <w:tcBorders>
              <w:top w:val="single" w:sz="8" w:space="0" w:color="000000"/>
              <w:left w:val="single" w:sz="18" w:space="0" w:color="000000"/>
              <w:bottom w:val="single" w:sz="8" w:space="0" w:color="000000"/>
              <w:right w:val="single" w:sz="6" w:space="0" w:color="000000"/>
            </w:tcBorders>
          </w:tcPr>
          <w:p w14:paraId="7661AA33" w14:textId="77777777" w:rsidR="002C3924" w:rsidRPr="00BA7413" w:rsidRDefault="00405E03" w:rsidP="00BA7413">
            <w:pPr>
              <w:pStyle w:val="Default"/>
              <w:keepLines/>
              <w:jc w:val="center"/>
              <w:rPr>
                <w:sz w:val="16"/>
                <w:szCs w:val="16"/>
              </w:rPr>
            </w:pPr>
            <w:r>
              <w:rPr>
                <w:sz w:val="16"/>
                <w:szCs w:val="16"/>
                <w:lang w:val="en-GB"/>
              </w:rPr>
              <w:t>9</w:t>
            </w:r>
          </w:p>
        </w:tc>
        <w:tc>
          <w:tcPr>
            <w:tcW w:w="2737" w:type="dxa"/>
            <w:tcBorders>
              <w:top w:val="single" w:sz="8" w:space="0" w:color="000000"/>
              <w:left w:val="single" w:sz="6" w:space="0" w:color="000000"/>
              <w:bottom w:val="single" w:sz="8" w:space="0" w:color="000000"/>
              <w:right w:val="single" w:sz="18" w:space="0" w:color="000000"/>
            </w:tcBorders>
          </w:tcPr>
          <w:p w14:paraId="1BCB5FEA" w14:textId="77777777" w:rsidR="002C3924" w:rsidRPr="00BA7413" w:rsidRDefault="002C3924" w:rsidP="00BA7413">
            <w:pPr>
              <w:pStyle w:val="Default"/>
              <w:keepLines/>
              <w:jc w:val="center"/>
              <w:rPr>
                <w:sz w:val="16"/>
                <w:szCs w:val="16"/>
              </w:rPr>
            </w:pPr>
            <w:r>
              <w:rPr>
                <w:sz w:val="16"/>
                <w:szCs w:val="16"/>
                <w:lang w:val="en-GB"/>
              </w:rPr>
              <w:t xml:space="preserve">1467–1472 </w:t>
            </w:r>
          </w:p>
        </w:tc>
      </w:tr>
      <w:tr w:rsidR="002C3924" w14:paraId="096BDBDE" w14:textId="77777777" w:rsidTr="00BA7413">
        <w:trPr>
          <w:trHeight w:val="186"/>
          <w:jc w:val="center"/>
        </w:trPr>
        <w:tc>
          <w:tcPr>
            <w:tcW w:w="2202" w:type="dxa"/>
            <w:tcBorders>
              <w:top w:val="single" w:sz="8" w:space="0" w:color="000000"/>
              <w:left w:val="single" w:sz="18" w:space="0" w:color="000000"/>
              <w:bottom w:val="single" w:sz="8" w:space="0" w:color="000000"/>
              <w:right w:val="single" w:sz="6" w:space="0" w:color="000000"/>
            </w:tcBorders>
          </w:tcPr>
          <w:p w14:paraId="6CDDA0A5" w14:textId="77777777" w:rsidR="002C3924" w:rsidRPr="00BA7413" w:rsidRDefault="00405E03" w:rsidP="00BA7413">
            <w:pPr>
              <w:pStyle w:val="Default"/>
              <w:keepLines/>
              <w:jc w:val="center"/>
              <w:rPr>
                <w:sz w:val="16"/>
                <w:szCs w:val="16"/>
              </w:rPr>
            </w:pPr>
            <w:r>
              <w:rPr>
                <w:sz w:val="16"/>
                <w:szCs w:val="16"/>
                <w:lang w:val="en-GB"/>
              </w:rPr>
              <w:t>10</w:t>
            </w:r>
          </w:p>
        </w:tc>
        <w:tc>
          <w:tcPr>
            <w:tcW w:w="2737" w:type="dxa"/>
            <w:tcBorders>
              <w:top w:val="single" w:sz="8" w:space="0" w:color="000000"/>
              <w:left w:val="single" w:sz="6" w:space="0" w:color="000000"/>
              <w:bottom w:val="single" w:sz="8" w:space="0" w:color="000000"/>
              <w:right w:val="single" w:sz="18" w:space="0" w:color="000000"/>
            </w:tcBorders>
          </w:tcPr>
          <w:p w14:paraId="0D68D2CE" w14:textId="77777777" w:rsidR="002C3924" w:rsidRPr="00BA7413" w:rsidRDefault="002C3924" w:rsidP="00BA7413">
            <w:pPr>
              <w:pStyle w:val="Default"/>
              <w:keepLines/>
              <w:jc w:val="center"/>
              <w:rPr>
                <w:sz w:val="16"/>
                <w:szCs w:val="16"/>
              </w:rPr>
            </w:pPr>
            <w:r>
              <w:rPr>
                <w:sz w:val="16"/>
                <w:szCs w:val="16"/>
                <w:lang w:val="en-GB"/>
              </w:rPr>
              <w:t xml:space="preserve">1472–1477 </w:t>
            </w:r>
          </w:p>
        </w:tc>
      </w:tr>
      <w:tr w:rsidR="002C3924" w14:paraId="0B8D27F3" w14:textId="77777777" w:rsidTr="00BA7413">
        <w:trPr>
          <w:trHeight w:val="176"/>
          <w:jc w:val="center"/>
        </w:trPr>
        <w:tc>
          <w:tcPr>
            <w:tcW w:w="2202" w:type="dxa"/>
            <w:tcBorders>
              <w:top w:val="single" w:sz="8" w:space="0" w:color="000000"/>
              <w:left w:val="single" w:sz="18" w:space="0" w:color="000000"/>
              <w:bottom w:val="single" w:sz="8" w:space="0" w:color="000000"/>
              <w:right w:val="single" w:sz="6" w:space="0" w:color="000000"/>
            </w:tcBorders>
          </w:tcPr>
          <w:p w14:paraId="09DE7B84" w14:textId="77777777" w:rsidR="002C3924" w:rsidRPr="00BA7413" w:rsidRDefault="00405E03" w:rsidP="00BA7413">
            <w:pPr>
              <w:pStyle w:val="Default"/>
              <w:keepLines/>
              <w:jc w:val="center"/>
              <w:rPr>
                <w:sz w:val="16"/>
                <w:szCs w:val="16"/>
              </w:rPr>
            </w:pPr>
            <w:r>
              <w:rPr>
                <w:sz w:val="16"/>
                <w:szCs w:val="16"/>
                <w:lang w:val="en-GB"/>
              </w:rPr>
              <w:t>11</w:t>
            </w:r>
          </w:p>
        </w:tc>
        <w:tc>
          <w:tcPr>
            <w:tcW w:w="2737" w:type="dxa"/>
            <w:tcBorders>
              <w:top w:val="single" w:sz="8" w:space="0" w:color="000000"/>
              <w:left w:val="single" w:sz="6" w:space="0" w:color="000000"/>
              <w:bottom w:val="single" w:sz="8" w:space="0" w:color="000000"/>
              <w:right w:val="single" w:sz="18" w:space="0" w:color="000000"/>
            </w:tcBorders>
          </w:tcPr>
          <w:p w14:paraId="37351C58" w14:textId="77777777" w:rsidR="002C3924" w:rsidRPr="00BA7413" w:rsidRDefault="002C3924" w:rsidP="00BA7413">
            <w:pPr>
              <w:pStyle w:val="Default"/>
              <w:keepLines/>
              <w:jc w:val="center"/>
              <w:rPr>
                <w:sz w:val="16"/>
                <w:szCs w:val="16"/>
              </w:rPr>
            </w:pPr>
            <w:r>
              <w:rPr>
                <w:sz w:val="16"/>
                <w:szCs w:val="16"/>
                <w:lang w:val="en-GB"/>
              </w:rPr>
              <w:t xml:space="preserve">1477–1482 </w:t>
            </w:r>
          </w:p>
        </w:tc>
      </w:tr>
      <w:tr w:rsidR="002C3924" w14:paraId="0D700B22" w14:textId="77777777" w:rsidTr="00BA7413">
        <w:trPr>
          <w:trHeight w:val="186"/>
          <w:jc w:val="center"/>
        </w:trPr>
        <w:tc>
          <w:tcPr>
            <w:tcW w:w="2202" w:type="dxa"/>
            <w:tcBorders>
              <w:top w:val="single" w:sz="8" w:space="0" w:color="000000"/>
              <w:left w:val="single" w:sz="18" w:space="0" w:color="000000"/>
              <w:bottom w:val="single" w:sz="8" w:space="0" w:color="000000"/>
              <w:right w:val="single" w:sz="6" w:space="0" w:color="000000"/>
            </w:tcBorders>
          </w:tcPr>
          <w:p w14:paraId="41424FCC" w14:textId="77777777" w:rsidR="002C3924" w:rsidRPr="00BA7413" w:rsidRDefault="00405E03" w:rsidP="00BA7413">
            <w:pPr>
              <w:pStyle w:val="Default"/>
              <w:keepLines/>
              <w:jc w:val="center"/>
              <w:rPr>
                <w:sz w:val="16"/>
                <w:szCs w:val="16"/>
              </w:rPr>
            </w:pPr>
            <w:r>
              <w:rPr>
                <w:sz w:val="16"/>
                <w:szCs w:val="16"/>
                <w:lang w:val="en-GB"/>
              </w:rPr>
              <w:t>12</w:t>
            </w:r>
          </w:p>
        </w:tc>
        <w:tc>
          <w:tcPr>
            <w:tcW w:w="2737" w:type="dxa"/>
            <w:tcBorders>
              <w:top w:val="single" w:sz="8" w:space="0" w:color="000000"/>
              <w:left w:val="single" w:sz="6" w:space="0" w:color="000000"/>
              <w:bottom w:val="single" w:sz="8" w:space="0" w:color="000000"/>
              <w:right w:val="single" w:sz="18" w:space="0" w:color="000000"/>
            </w:tcBorders>
          </w:tcPr>
          <w:p w14:paraId="27FC19A1" w14:textId="77777777" w:rsidR="002C3924" w:rsidRPr="00BA7413" w:rsidRDefault="002C3924" w:rsidP="00BA7413">
            <w:pPr>
              <w:pStyle w:val="Default"/>
              <w:keepLines/>
              <w:jc w:val="center"/>
              <w:rPr>
                <w:sz w:val="16"/>
                <w:szCs w:val="16"/>
              </w:rPr>
            </w:pPr>
            <w:r>
              <w:rPr>
                <w:sz w:val="16"/>
                <w:szCs w:val="16"/>
                <w:lang w:val="en-GB"/>
              </w:rPr>
              <w:t xml:space="preserve">1482–1487 </w:t>
            </w:r>
          </w:p>
        </w:tc>
      </w:tr>
      <w:tr w:rsidR="002C3924" w14:paraId="7EE19CE2" w14:textId="77777777" w:rsidTr="00BA7413">
        <w:trPr>
          <w:trHeight w:val="176"/>
          <w:jc w:val="center"/>
        </w:trPr>
        <w:tc>
          <w:tcPr>
            <w:tcW w:w="2202" w:type="dxa"/>
            <w:tcBorders>
              <w:top w:val="single" w:sz="8" w:space="0" w:color="000000"/>
              <w:left w:val="single" w:sz="18" w:space="0" w:color="000000"/>
              <w:bottom w:val="single" w:sz="20" w:space="0" w:color="000000"/>
              <w:right w:val="single" w:sz="6" w:space="0" w:color="000000"/>
            </w:tcBorders>
          </w:tcPr>
          <w:p w14:paraId="1E67E26F" w14:textId="77777777" w:rsidR="002C3924" w:rsidRPr="00BA7413" w:rsidRDefault="00405E03" w:rsidP="00BA7413">
            <w:pPr>
              <w:pStyle w:val="Default"/>
              <w:keepLines/>
              <w:jc w:val="center"/>
              <w:rPr>
                <w:sz w:val="16"/>
                <w:szCs w:val="16"/>
              </w:rPr>
            </w:pPr>
            <w:r>
              <w:rPr>
                <w:sz w:val="16"/>
                <w:szCs w:val="16"/>
                <w:lang w:val="en-GB"/>
              </w:rPr>
              <w:t>13</w:t>
            </w:r>
          </w:p>
        </w:tc>
        <w:tc>
          <w:tcPr>
            <w:tcW w:w="2737" w:type="dxa"/>
            <w:tcBorders>
              <w:top w:val="single" w:sz="8" w:space="0" w:color="000000"/>
              <w:left w:val="single" w:sz="6" w:space="0" w:color="000000"/>
              <w:bottom w:val="single" w:sz="20" w:space="0" w:color="000000"/>
              <w:right w:val="single" w:sz="18" w:space="0" w:color="000000"/>
            </w:tcBorders>
          </w:tcPr>
          <w:p w14:paraId="12666FF4" w14:textId="77777777" w:rsidR="002C3924" w:rsidRPr="00BA7413" w:rsidRDefault="002C3924" w:rsidP="00BA7413">
            <w:pPr>
              <w:pStyle w:val="Default"/>
              <w:keepLines/>
              <w:jc w:val="center"/>
              <w:rPr>
                <w:sz w:val="16"/>
                <w:szCs w:val="16"/>
              </w:rPr>
            </w:pPr>
            <w:r>
              <w:rPr>
                <w:sz w:val="16"/>
                <w:szCs w:val="16"/>
                <w:lang w:val="en-GB"/>
              </w:rPr>
              <w:t xml:space="preserve">1487–1492 </w:t>
            </w:r>
          </w:p>
        </w:tc>
      </w:tr>
    </w:tbl>
    <w:p w14:paraId="264B363E" w14:textId="56B5A906" w:rsidR="00167CD4" w:rsidRDefault="00167CD4" w:rsidP="00BA7413">
      <w:pPr>
        <w:pStyle w:val="Kpalrs"/>
        <w:keepLines/>
        <w:jc w:val="center"/>
        <w:rPr>
          <w:noProof/>
        </w:rPr>
      </w:pPr>
      <w:r>
        <w:rPr>
          <w:noProof/>
          <w:lang w:val="en-GB"/>
        </w:rPr>
        <w:t xml:space="preserve">Table 3.2.a: </w:t>
      </w:r>
      <w:r w:rsidR="00002DD1">
        <w:rPr>
          <w:noProof/>
          <w:lang w:val="en-GB"/>
        </w:rPr>
        <w:t>D</w:t>
      </w:r>
      <w:r>
        <w:rPr>
          <w:noProof/>
          <w:lang w:val="en-GB"/>
        </w:rPr>
        <w:t xml:space="preserve">ivision of the sub-bands designated for MFCN </w:t>
      </w:r>
      <w:r w:rsidR="00002DD1">
        <w:rPr>
          <w:noProof/>
          <w:lang w:val="en-GB"/>
        </w:rPr>
        <w:t xml:space="preserve">of the 1500 MHz frequency band </w:t>
      </w:r>
      <w:r>
        <w:rPr>
          <w:noProof/>
          <w:lang w:val="en-GB"/>
        </w:rPr>
        <w:t>into basic blocks</w:t>
      </w:r>
    </w:p>
    <w:p w14:paraId="304C819D" w14:textId="79224357" w:rsidR="002C3924" w:rsidRDefault="002C3924" w:rsidP="001C7538">
      <w:pPr>
        <w:pStyle w:val="Behzottbekezdsnmhh"/>
        <w:spacing w:before="120"/>
      </w:pPr>
      <w:r>
        <w:rPr>
          <w:lang w:val="en-GB"/>
        </w:rPr>
        <w:t>There is no restriction on services, as technology and service neutrality must be ensured in the frequency band. However, taking into account the requirement for technology neutrality, the frequency band may be used in SDL mode only</w:t>
      </w:r>
      <w:r w:rsidR="003B57B5">
        <w:rPr>
          <w:lang w:val="en-GB"/>
        </w:rPr>
        <w:t>,</w:t>
      </w:r>
      <w:r>
        <w:rPr>
          <w:lang w:val="en-GB"/>
        </w:rPr>
        <w:t xml:space="preserve"> </w:t>
      </w:r>
      <w:r w:rsidR="00002DD1">
        <w:rPr>
          <w:lang w:val="en-GB"/>
        </w:rPr>
        <w:t xml:space="preserve">on condition that </w:t>
      </w:r>
      <w:r>
        <w:rPr>
          <w:lang w:val="en-GB"/>
        </w:rPr>
        <w:t xml:space="preserve">the harmonised technical conditions defined in Commission Implementing Decisions (EU) 2015/750 and (EU) 2018/661 are met. </w:t>
      </w:r>
    </w:p>
    <w:p w14:paraId="02153317" w14:textId="556C790A" w:rsidR="002C3924" w:rsidRDefault="002C3924" w:rsidP="002C3924">
      <w:pPr>
        <w:pStyle w:val="Behzottbekezdsnmhh"/>
        <w:spacing w:before="120"/>
        <w:ind w:firstLine="0"/>
      </w:pPr>
      <w:r>
        <w:rPr>
          <w:lang w:val="en-GB"/>
        </w:rPr>
        <w:t xml:space="preserve">Transmissions from the base station in the 1452-1492 MHz frequency band must comply with the conditions specified in the Annex to Decisions (EU) 2015/750 and (EU) 2018/661 respectively. The BEM required for the base station contains in-block and out-of-block power limits. The in-block power limit corresponds to a block </w:t>
      </w:r>
      <w:r w:rsidR="003B57B5">
        <w:rPr>
          <w:lang w:val="en-GB"/>
        </w:rPr>
        <w:t xml:space="preserve">assigned </w:t>
      </w:r>
      <w:r>
        <w:rPr>
          <w:lang w:val="en-GB"/>
        </w:rPr>
        <w:t xml:space="preserve">to an operator. The out-of-block power limits apply to </w:t>
      </w:r>
      <w:r w:rsidR="00242B49">
        <w:rPr>
          <w:lang w:val="en-GB"/>
        </w:rPr>
        <w:t xml:space="preserve">the part </w:t>
      </w:r>
      <w:r>
        <w:rPr>
          <w:lang w:val="en-GB"/>
        </w:rPr>
        <w:t>of the spectrum outside the block assigned to the specific operator either inside or outside the 1427-1492 MHz frequency band.</w:t>
      </w:r>
    </w:p>
    <w:p w14:paraId="02559EAD" w14:textId="4F8AB2D6" w:rsidR="009A4724" w:rsidRPr="009A4724" w:rsidRDefault="009A4724" w:rsidP="009A4724">
      <w:pPr>
        <w:pStyle w:val="mellekletpontformazott"/>
        <w:jc w:val="both"/>
      </w:pPr>
      <w:r>
        <w:rPr>
          <w:rFonts w:ascii="Arial" w:hAnsi="Arial"/>
          <w:sz w:val="22"/>
          <w:szCs w:val="22"/>
          <w:lang w:val="en-GB"/>
        </w:rPr>
        <w:t xml:space="preserve">Conditions for obtaining </w:t>
      </w:r>
      <w:r w:rsidR="00940F33">
        <w:rPr>
          <w:rFonts w:ascii="Arial" w:hAnsi="Arial"/>
          <w:sz w:val="22"/>
          <w:szCs w:val="22"/>
          <w:lang w:val="en-GB"/>
        </w:rPr>
        <w:t xml:space="preserve">right of </w:t>
      </w:r>
      <w:r>
        <w:rPr>
          <w:rFonts w:ascii="Arial" w:hAnsi="Arial"/>
          <w:sz w:val="22"/>
          <w:szCs w:val="22"/>
          <w:lang w:val="en-GB"/>
        </w:rPr>
        <w:t>radio spectrum us</w:t>
      </w:r>
      <w:r w:rsidR="00940F33">
        <w:rPr>
          <w:rFonts w:ascii="Arial" w:hAnsi="Arial"/>
          <w:sz w:val="22"/>
          <w:szCs w:val="22"/>
          <w:lang w:val="en-GB"/>
        </w:rPr>
        <w:t>e</w:t>
      </w:r>
      <w:r>
        <w:rPr>
          <w:rFonts w:ascii="Arial" w:hAnsi="Arial"/>
          <w:sz w:val="22"/>
          <w:szCs w:val="22"/>
          <w:lang w:val="en-GB"/>
        </w:rPr>
        <w:t xml:space="preserve"> and </w:t>
      </w:r>
      <w:r w:rsidR="00940F33">
        <w:rPr>
          <w:rFonts w:ascii="Arial" w:hAnsi="Arial"/>
          <w:sz w:val="22"/>
          <w:szCs w:val="22"/>
          <w:lang w:val="en-GB"/>
        </w:rPr>
        <w:t xml:space="preserve">conditions of using the </w:t>
      </w:r>
      <w:r>
        <w:rPr>
          <w:rFonts w:ascii="Arial" w:hAnsi="Arial"/>
          <w:sz w:val="22"/>
          <w:szCs w:val="22"/>
          <w:lang w:val="en-GB"/>
        </w:rPr>
        <w:t>frequency band are given in Table 3.2.b (Section 3.7.4 of Annex 3 of the NFFF Decree):</w:t>
      </w:r>
      <w:r>
        <w:rPr>
          <w:lang w:val="en-GB"/>
        </w:rPr>
        <w:t> </w:t>
      </w:r>
    </w:p>
    <w:tbl>
      <w:tblPr>
        <w:tblW w:w="4919" w:type="pct"/>
        <w:tblCellMar>
          <w:left w:w="0" w:type="dxa"/>
          <w:right w:w="0" w:type="dxa"/>
        </w:tblCellMar>
        <w:tblLook w:val="04A0" w:firstRow="1" w:lastRow="0" w:firstColumn="1" w:lastColumn="0" w:noHBand="0" w:noVBand="1"/>
      </w:tblPr>
      <w:tblGrid>
        <w:gridCol w:w="3111"/>
        <w:gridCol w:w="5784"/>
      </w:tblGrid>
      <w:tr w:rsidR="009A4724" w:rsidRPr="009A4724" w14:paraId="548A17BA" w14:textId="77777777" w:rsidTr="00900279">
        <w:tc>
          <w:tcPr>
            <w:tcW w:w="1749" w:type="pct"/>
            <w:tcBorders>
              <w:top w:val="single" w:sz="6" w:space="0" w:color="000000"/>
              <w:left w:val="single" w:sz="6" w:space="0" w:color="000000"/>
              <w:bottom w:val="single" w:sz="18" w:space="0" w:color="000000"/>
              <w:right w:val="single" w:sz="6" w:space="0" w:color="000000"/>
            </w:tcBorders>
            <w:tcMar>
              <w:top w:w="0" w:type="dxa"/>
              <w:left w:w="30" w:type="dxa"/>
              <w:bottom w:w="0" w:type="dxa"/>
              <w:right w:w="30" w:type="dxa"/>
            </w:tcMar>
            <w:vAlign w:val="center"/>
            <w:hideMark/>
          </w:tcPr>
          <w:p w14:paraId="29B4F17F" w14:textId="306E889D" w:rsidR="009A4724" w:rsidRPr="009A4724" w:rsidRDefault="009A4724" w:rsidP="009A4724">
            <w:pPr>
              <w:spacing w:before="100" w:beforeAutospacing="1" w:after="100" w:afterAutospacing="1" w:line="240" w:lineRule="auto"/>
              <w:jc w:val="center"/>
              <w:rPr>
                <w:rFonts w:ascii="Arial" w:eastAsia="Times New Roman" w:hAnsi="Arial" w:cs="Arial"/>
                <w:sz w:val="18"/>
                <w:szCs w:val="18"/>
              </w:rPr>
            </w:pPr>
            <w:r>
              <w:rPr>
                <w:rFonts w:ascii="Arial" w:eastAsia="Times New Roman" w:hAnsi="Arial" w:cs="Arial"/>
                <w:b/>
                <w:bCs/>
                <w:sz w:val="18"/>
                <w:szCs w:val="18"/>
                <w:lang w:val="en-GB"/>
              </w:rPr>
              <w:t>Subject of condition</w:t>
            </w:r>
          </w:p>
        </w:tc>
        <w:tc>
          <w:tcPr>
            <w:tcW w:w="3251" w:type="pct"/>
            <w:tcBorders>
              <w:top w:val="single" w:sz="6" w:space="0" w:color="000000"/>
              <w:left w:val="single" w:sz="6" w:space="0" w:color="000000"/>
              <w:bottom w:val="single" w:sz="18" w:space="0" w:color="000000"/>
              <w:right w:val="single" w:sz="18" w:space="0" w:color="000000"/>
            </w:tcBorders>
            <w:tcMar>
              <w:top w:w="0" w:type="dxa"/>
              <w:left w:w="30" w:type="dxa"/>
              <w:bottom w:w="0" w:type="dxa"/>
              <w:right w:w="30" w:type="dxa"/>
            </w:tcMar>
            <w:vAlign w:val="center"/>
            <w:hideMark/>
          </w:tcPr>
          <w:p w14:paraId="1DA16AC7" w14:textId="77777777" w:rsidR="009A4724" w:rsidRPr="009A4724" w:rsidRDefault="009A4724" w:rsidP="00CD44C9">
            <w:pPr>
              <w:spacing w:before="100" w:beforeAutospacing="1" w:after="100" w:afterAutospacing="1" w:line="240" w:lineRule="auto"/>
              <w:jc w:val="center"/>
              <w:rPr>
                <w:rFonts w:ascii="Arial" w:eastAsia="Times New Roman" w:hAnsi="Arial" w:cs="Arial"/>
                <w:sz w:val="18"/>
                <w:szCs w:val="18"/>
              </w:rPr>
            </w:pPr>
            <w:r>
              <w:rPr>
                <w:rFonts w:ascii="Arial" w:eastAsia="Times New Roman" w:hAnsi="Arial" w:cs="Arial"/>
                <w:b/>
                <w:bCs/>
                <w:sz w:val="18"/>
                <w:szCs w:val="18"/>
                <w:lang w:val="en-GB"/>
              </w:rPr>
              <w:t>Requirement</w:t>
            </w:r>
          </w:p>
        </w:tc>
      </w:tr>
      <w:tr w:rsidR="009A4724" w:rsidRPr="009A4724" w14:paraId="34CF05A3" w14:textId="77777777" w:rsidTr="00900279">
        <w:tc>
          <w:tcPr>
            <w:tcW w:w="1749" w:type="pct"/>
            <w:tcBorders>
              <w:top w:val="nil"/>
              <w:left w:val="single" w:sz="6" w:space="0" w:color="000000"/>
              <w:bottom w:val="single" w:sz="6" w:space="0" w:color="000000"/>
              <w:right w:val="single" w:sz="6" w:space="0" w:color="000000"/>
            </w:tcBorders>
            <w:tcMar>
              <w:top w:w="0" w:type="dxa"/>
              <w:left w:w="30" w:type="dxa"/>
              <w:bottom w:w="0" w:type="dxa"/>
              <w:right w:w="30" w:type="dxa"/>
            </w:tcMar>
            <w:hideMark/>
          </w:tcPr>
          <w:p w14:paraId="50BD26B1" w14:textId="508C4377" w:rsidR="009A4724" w:rsidRPr="009A4724" w:rsidRDefault="0050083E" w:rsidP="00900279">
            <w:pPr>
              <w:spacing w:before="100" w:beforeAutospacing="1" w:after="100" w:afterAutospacing="1" w:line="240" w:lineRule="auto"/>
              <w:ind w:left="241"/>
              <w:jc w:val="left"/>
              <w:rPr>
                <w:rFonts w:ascii="Arial" w:eastAsia="Times New Roman" w:hAnsi="Arial" w:cs="Arial"/>
                <w:sz w:val="18"/>
                <w:szCs w:val="18"/>
              </w:rPr>
            </w:pPr>
            <w:r>
              <w:rPr>
                <w:rFonts w:ascii="Arial" w:eastAsia="Times New Roman" w:hAnsi="Arial" w:cs="Arial"/>
                <w:sz w:val="18"/>
                <w:szCs w:val="18"/>
                <w:lang w:val="en-GB"/>
              </w:rPr>
              <w:t>Purpose of use</w:t>
            </w:r>
          </w:p>
        </w:tc>
        <w:tc>
          <w:tcPr>
            <w:tcW w:w="3251" w:type="pct"/>
            <w:tcBorders>
              <w:top w:val="nil"/>
              <w:left w:val="single" w:sz="6" w:space="0" w:color="000000"/>
              <w:bottom w:val="single" w:sz="6" w:space="0" w:color="000000"/>
              <w:right w:val="single" w:sz="18" w:space="0" w:color="000000"/>
            </w:tcBorders>
            <w:tcMar>
              <w:top w:w="0" w:type="dxa"/>
              <w:left w:w="30" w:type="dxa"/>
              <w:bottom w:w="0" w:type="dxa"/>
              <w:right w:w="30" w:type="dxa"/>
            </w:tcMar>
            <w:hideMark/>
          </w:tcPr>
          <w:p w14:paraId="03823244" w14:textId="77777777" w:rsidR="009A4724" w:rsidRPr="009A4724" w:rsidRDefault="009A4724" w:rsidP="00BA7413">
            <w:pPr>
              <w:spacing w:before="100" w:beforeAutospacing="1" w:after="100" w:afterAutospacing="1" w:line="240" w:lineRule="auto"/>
              <w:jc w:val="left"/>
              <w:rPr>
                <w:rFonts w:ascii="Arial" w:eastAsia="Times New Roman" w:hAnsi="Arial" w:cs="Arial"/>
                <w:sz w:val="18"/>
                <w:szCs w:val="18"/>
              </w:rPr>
            </w:pPr>
            <w:r>
              <w:rPr>
                <w:rFonts w:ascii="Arial" w:eastAsia="Times New Roman" w:hAnsi="Arial" w:cs="Arial"/>
                <w:sz w:val="18"/>
                <w:szCs w:val="18"/>
                <w:lang w:val="en-GB"/>
              </w:rPr>
              <w:t>providing electronic communications services</w:t>
            </w:r>
          </w:p>
        </w:tc>
      </w:tr>
      <w:tr w:rsidR="009A4724" w:rsidRPr="009A4724" w14:paraId="013ABB63" w14:textId="77777777" w:rsidTr="00900279">
        <w:tc>
          <w:tcPr>
            <w:tcW w:w="1749" w:type="pct"/>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05181B21" w14:textId="77777777" w:rsidR="009A4724" w:rsidRPr="009A4724" w:rsidRDefault="009A4724" w:rsidP="00900279">
            <w:pPr>
              <w:spacing w:before="100" w:beforeAutospacing="1" w:after="100" w:afterAutospacing="1" w:line="240" w:lineRule="auto"/>
              <w:ind w:left="241"/>
              <w:jc w:val="left"/>
              <w:rPr>
                <w:rFonts w:ascii="Arial" w:eastAsia="Times New Roman" w:hAnsi="Arial" w:cs="Arial"/>
                <w:sz w:val="18"/>
                <w:szCs w:val="18"/>
              </w:rPr>
            </w:pPr>
            <w:r>
              <w:rPr>
                <w:rFonts w:ascii="Arial" w:eastAsia="Times New Roman" w:hAnsi="Arial" w:cs="Arial"/>
                <w:sz w:val="18"/>
                <w:szCs w:val="18"/>
                <w:lang w:val="en-GB"/>
              </w:rPr>
              <w:t>Method of frequency distribution</w:t>
            </w:r>
          </w:p>
        </w:tc>
        <w:tc>
          <w:tcPr>
            <w:tcW w:w="3251" w:type="pct"/>
            <w:tcBorders>
              <w:top w:val="single" w:sz="6" w:space="0" w:color="000000"/>
              <w:left w:val="single" w:sz="6" w:space="0" w:color="000000"/>
              <w:bottom w:val="single" w:sz="6" w:space="0" w:color="000000"/>
              <w:right w:val="single" w:sz="18" w:space="0" w:color="000000"/>
            </w:tcBorders>
            <w:tcMar>
              <w:top w:w="0" w:type="dxa"/>
              <w:left w:w="30" w:type="dxa"/>
              <w:bottom w:w="0" w:type="dxa"/>
              <w:right w:w="30" w:type="dxa"/>
            </w:tcMar>
            <w:hideMark/>
          </w:tcPr>
          <w:p w14:paraId="08D57D76" w14:textId="77777777" w:rsidR="009A4724" w:rsidRPr="009A4724" w:rsidRDefault="009A4724" w:rsidP="00BA7413">
            <w:pPr>
              <w:spacing w:before="100" w:beforeAutospacing="1" w:after="100" w:afterAutospacing="1" w:line="240" w:lineRule="auto"/>
              <w:jc w:val="left"/>
              <w:rPr>
                <w:rFonts w:ascii="Arial" w:eastAsia="Times New Roman" w:hAnsi="Arial" w:cs="Arial"/>
                <w:sz w:val="18"/>
                <w:szCs w:val="18"/>
              </w:rPr>
            </w:pPr>
            <w:r>
              <w:rPr>
                <w:rFonts w:ascii="Arial" w:eastAsia="Times New Roman" w:hAnsi="Arial" w:cs="Arial"/>
                <w:sz w:val="18"/>
                <w:szCs w:val="18"/>
                <w:lang w:val="en-GB"/>
              </w:rPr>
              <w:t>competitive procedure</w:t>
            </w:r>
          </w:p>
        </w:tc>
      </w:tr>
      <w:tr w:rsidR="009A4724" w:rsidRPr="009A4724" w14:paraId="46394498" w14:textId="77777777" w:rsidTr="00900279">
        <w:tc>
          <w:tcPr>
            <w:tcW w:w="1749" w:type="pct"/>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45337C30" w14:textId="27CF16D2" w:rsidR="009A4724" w:rsidRPr="009A4724" w:rsidRDefault="0031049B" w:rsidP="0031049B">
            <w:pPr>
              <w:spacing w:before="100" w:beforeAutospacing="1" w:after="100" w:afterAutospacing="1" w:line="240" w:lineRule="auto"/>
              <w:ind w:left="241"/>
              <w:jc w:val="left"/>
              <w:rPr>
                <w:rFonts w:ascii="Arial" w:eastAsia="Times New Roman" w:hAnsi="Arial" w:cs="Arial"/>
                <w:sz w:val="18"/>
                <w:szCs w:val="18"/>
              </w:rPr>
            </w:pPr>
            <w:r>
              <w:rPr>
                <w:rFonts w:ascii="Arial" w:eastAsia="Times New Roman" w:hAnsi="Arial" w:cs="Arial"/>
                <w:sz w:val="18"/>
                <w:szCs w:val="18"/>
                <w:lang w:val="en-GB"/>
              </w:rPr>
              <w:t xml:space="preserve">Amount </w:t>
            </w:r>
            <w:r w:rsidR="009A4724">
              <w:rPr>
                <w:rFonts w:ascii="Arial" w:eastAsia="Times New Roman" w:hAnsi="Arial" w:cs="Arial"/>
                <w:sz w:val="18"/>
                <w:szCs w:val="18"/>
                <w:lang w:val="en-GB"/>
              </w:rPr>
              <w:t xml:space="preserve">of </w:t>
            </w:r>
            <w:r>
              <w:rPr>
                <w:rFonts w:ascii="Arial" w:eastAsia="Times New Roman" w:hAnsi="Arial" w:cs="Arial"/>
                <w:sz w:val="18"/>
                <w:szCs w:val="18"/>
                <w:lang w:val="en-GB"/>
              </w:rPr>
              <w:t xml:space="preserve">obtainable </w:t>
            </w:r>
            <w:r w:rsidR="009A4724">
              <w:rPr>
                <w:rFonts w:ascii="Arial" w:eastAsia="Times New Roman" w:hAnsi="Arial" w:cs="Arial"/>
                <w:sz w:val="18"/>
                <w:szCs w:val="18"/>
                <w:lang w:val="en-GB"/>
              </w:rPr>
              <w:t>frequency range</w:t>
            </w:r>
          </w:p>
        </w:tc>
        <w:tc>
          <w:tcPr>
            <w:tcW w:w="3251" w:type="pct"/>
            <w:tcBorders>
              <w:top w:val="single" w:sz="6" w:space="0" w:color="000000"/>
              <w:left w:val="single" w:sz="6" w:space="0" w:color="000000"/>
              <w:bottom w:val="single" w:sz="6" w:space="0" w:color="000000"/>
              <w:right w:val="single" w:sz="18" w:space="0" w:color="000000"/>
            </w:tcBorders>
            <w:tcMar>
              <w:top w:w="0" w:type="dxa"/>
              <w:left w:w="30" w:type="dxa"/>
              <w:bottom w:w="0" w:type="dxa"/>
              <w:right w:w="30" w:type="dxa"/>
            </w:tcMar>
            <w:hideMark/>
          </w:tcPr>
          <w:p w14:paraId="63301241" w14:textId="5138F495" w:rsidR="009A4724" w:rsidRPr="009A4724" w:rsidRDefault="0061536E" w:rsidP="008F5D8D">
            <w:pPr>
              <w:spacing w:before="100" w:beforeAutospacing="1" w:after="100" w:afterAutospacing="1" w:line="240" w:lineRule="auto"/>
              <w:jc w:val="left"/>
              <w:rPr>
                <w:rFonts w:ascii="Arial" w:eastAsia="Times New Roman" w:hAnsi="Arial" w:cs="Arial"/>
                <w:sz w:val="18"/>
                <w:szCs w:val="18"/>
              </w:rPr>
            </w:pPr>
            <w:r>
              <w:rPr>
                <w:rFonts w:ascii="Arial" w:eastAsia="Times New Roman" w:hAnsi="Arial" w:cs="Arial"/>
                <w:sz w:val="18"/>
                <w:szCs w:val="18"/>
                <w:lang w:val="en-GB"/>
              </w:rPr>
              <w:t xml:space="preserve">the </w:t>
            </w:r>
            <w:r w:rsidR="008F5D8D">
              <w:rPr>
                <w:rFonts w:ascii="Arial" w:eastAsia="Times New Roman" w:hAnsi="Arial" w:cs="Arial"/>
                <w:sz w:val="18"/>
                <w:szCs w:val="18"/>
                <w:lang w:val="en-GB"/>
              </w:rPr>
              <w:t xml:space="preserve">amount </w:t>
            </w:r>
            <w:r>
              <w:rPr>
                <w:rFonts w:ascii="Arial" w:eastAsia="Times New Roman" w:hAnsi="Arial" w:cs="Arial"/>
                <w:sz w:val="18"/>
                <w:szCs w:val="18"/>
                <w:lang w:val="en-GB"/>
              </w:rPr>
              <w:t>of basic blocks that can be obtained by the participant in the competitive procedure and the size of the user blocks are determined by the documentation of the competitive procedure</w:t>
            </w:r>
          </w:p>
        </w:tc>
      </w:tr>
      <w:tr w:rsidR="009A4724" w:rsidRPr="009A4724" w14:paraId="64D871F6" w14:textId="77777777" w:rsidTr="00900279">
        <w:tc>
          <w:tcPr>
            <w:tcW w:w="1749" w:type="pct"/>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1E095429" w14:textId="26CEFA82" w:rsidR="009A4724" w:rsidRPr="009A4724" w:rsidRDefault="0050083E" w:rsidP="00923990">
            <w:pPr>
              <w:spacing w:before="100" w:beforeAutospacing="1" w:after="100" w:afterAutospacing="1" w:line="240" w:lineRule="auto"/>
              <w:ind w:left="241"/>
              <w:jc w:val="left"/>
              <w:rPr>
                <w:rFonts w:ascii="Arial" w:eastAsia="Times New Roman" w:hAnsi="Arial" w:cs="Arial"/>
                <w:sz w:val="18"/>
                <w:szCs w:val="18"/>
              </w:rPr>
            </w:pPr>
            <w:r>
              <w:rPr>
                <w:rFonts w:ascii="Arial" w:eastAsia="Times New Roman" w:hAnsi="Arial" w:cs="Arial"/>
                <w:sz w:val="18"/>
                <w:szCs w:val="18"/>
                <w:lang w:val="en-GB"/>
              </w:rPr>
              <w:t xml:space="preserve">Duration of </w:t>
            </w:r>
            <w:r w:rsidR="00923990">
              <w:rPr>
                <w:rFonts w:ascii="Arial" w:eastAsia="Times New Roman" w:hAnsi="Arial" w:cs="Arial"/>
                <w:sz w:val="18"/>
                <w:szCs w:val="18"/>
                <w:lang w:val="en-GB"/>
              </w:rPr>
              <w:t xml:space="preserve">right of </w:t>
            </w:r>
            <w:r>
              <w:rPr>
                <w:rFonts w:ascii="Arial" w:eastAsia="Times New Roman" w:hAnsi="Arial" w:cs="Arial"/>
                <w:sz w:val="18"/>
                <w:szCs w:val="18"/>
                <w:lang w:val="en-GB"/>
              </w:rPr>
              <w:t>radio spectrum use</w:t>
            </w:r>
          </w:p>
        </w:tc>
        <w:tc>
          <w:tcPr>
            <w:tcW w:w="3251" w:type="pct"/>
            <w:tcBorders>
              <w:top w:val="single" w:sz="6" w:space="0" w:color="000000"/>
              <w:left w:val="single" w:sz="6" w:space="0" w:color="000000"/>
              <w:bottom w:val="single" w:sz="6" w:space="0" w:color="000000"/>
              <w:right w:val="single" w:sz="18" w:space="0" w:color="000000"/>
            </w:tcBorders>
            <w:tcMar>
              <w:top w:w="0" w:type="dxa"/>
              <w:left w:w="30" w:type="dxa"/>
              <w:bottom w:w="0" w:type="dxa"/>
              <w:right w:w="30" w:type="dxa"/>
            </w:tcMar>
            <w:hideMark/>
          </w:tcPr>
          <w:p w14:paraId="66EE73AC" w14:textId="31B6CEB8" w:rsidR="009A4724" w:rsidRPr="009A4724" w:rsidRDefault="0061536E" w:rsidP="00EE1099">
            <w:pPr>
              <w:spacing w:before="100" w:beforeAutospacing="1" w:after="100" w:afterAutospacing="1" w:line="240" w:lineRule="auto"/>
              <w:jc w:val="left"/>
              <w:rPr>
                <w:rFonts w:ascii="Arial" w:eastAsia="Times New Roman" w:hAnsi="Arial" w:cs="Arial"/>
                <w:sz w:val="18"/>
                <w:szCs w:val="18"/>
              </w:rPr>
            </w:pPr>
            <w:r>
              <w:rPr>
                <w:rFonts w:ascii="Arial" w:eastAsia="Times New Roman" w:hAnsi="Arial" w:cs="Arial"/>
                <w:sz w:val="18"/>
                <w:szCs w:val="18"/>
                <w:lang w:val="en-GB"/>
              </w:rPr>
              <w:t xml:space="preserve">15 years, which may be extended once by 5 years; the detailed rules and conditions of the extension </w:t>
            </w:r>
            <w:r w:rsidR="00EE1099">
              <w:rPr>
                <w:rFonts w:ascii="Arial" w:eastAsia="Times New Roman" w:hAnsi="Arial" w:cs="Arial"/>
                <w:sz w:val="18"/>
                <w:szCs w:val="18"/>
                <w:lang w:val="en-GB"/>
              </w:rPr>
              <w:t xml:space="preserve">shall </w:t>
            </w:r>
            <w:r>
              <w:rPr>
                <w:rFonts w:ascii="Arial" w:eastAsia="Times New Roman" w:hAnsi="Arial" w:cs="Arial"/>
                <w:sz w:val="18"/>
                <w:szCs w:val="18"/>
                <w:lang w:val="en-GB"/>
              </w:rPr>
              <w:t>be</w:t>
            </w:r>
            <w:r>
              <w:rPr>
                <w:rFonts w:ascii="Arial" w:eastAsia="Times New Roman" w:hAnsi="Arial" w:cs="Arial"/>
                <w:sz w:val="18"/>
                <w:szCs w:val="18"/>
                <w:lang w:val="en-GB"/>
              </w:rPr>
              <w:br/>
              <w:t xml:space="preserve">determined by the documentation of the competitive procedure and the decision </w:t>
            </w:r>
            <w:r w:rsidR="00EE1099" w:rsidRPr="00EE1099">
              <w:rPr>
                <w:rFonts w:ascii="Arial" w:eastAsia="Times New Roman" w:hAnsi="Arial" w:cs="Arial"/>
                <w:sz w:val="18"/>
                <w:szCs w:val="18"/>
                <w:lang w:val="en-GB"/>
              </w:rPr>
              <w:t xml:space="preserve">or administrative contract </w:t>
            </w:r>
            <w:r>
              <w:rPr>
                <w:rFonts w:ascii="Arial" w:eastAsia="Times New Roman" w:hAnsi="Arial" w:cs="Arial"/>
                <w:sz w:val="18"/>
                <w:szCs w:val="18"/>
                <w:lang w:val="en-GB"/>
              </w:rPr>
              <w:t>closing the competitive procedure</w:t>
            </w:r>
          </w:p>
        </w:tc>
      </w:tr>
      <w:tr w:rsidR="009A4724" w:rsidRPr="009A4724" w14:paraId="40DD9504" w14:textId="77777777" w:rsidTr="00900279">
        <w:tc>
          <w:tcPr>
            <w:tcW w:w="1749" w:type="pct"/>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E98DA75" w14:textId="210987AC" w:rsidR="009A4724" w:rsidRPr="009A4724" w:rsidRDefault="0050083E" w:rsidP="008E365C">
            <w:pPr>
              <w:spacing w:before="100" w:beforeAutospacing="1" w:after="100" w:afterAutospacing="1" w:line="240" w:lineRule="auto"/>
              <w:ind w:left="241"/>
              <w:jc w:val="left"/>
              <w:rPr>
                <w:rFonts w:ascii="Arial" w:eastAsia="Times New Roman" w:hAnsi="Arial" w:cs="Arial"/>
                <w:sz w:val="18"/>
                <w:szCs w:val="18"/>
              </w:rPr>
            </w:pPr>
            <w:r>
              <w:rPr>
                <w:rFonts w:ascii="Arial" w:eastAsia="Times New Roman" w:hAnsi="Arial" w:cs="Arial"/>
                <w:sz w:val="18"/>
                <w:szCs w:val="18"/>
                <w:lang w:val="en-GB"/>
              </w:rPr>
              <w:t xml:space="preserve">Territorial </w:t>
            </w:r>
            <w:r w:rsidR="008E365C">
              <w:rPr>
                <w:rFonts w:ascii="Arial" w:eastAsia="Times New Roman" w:hAnsi="Arial" w:cs="Arial"/>
                <w:sz w:val="18"/>
                <w:szCs w:val="18"/>
                <w:lang w:val="en-GB"/>
              </w:rPr>
              <w:t xml:space="preserve">coverage </w:t>
            </w:r>
            <w:r>
              <w:rPr>
                <w:rFonts w:ascii="Arial" w:eastAsia="Times New Roman" w:hAnsi="Arial" w:cs="Arial"/>
                <w:sz w:val="18"/>
                <w:szCs w:val="18"/>
                <w:lang w:val="en-GB"/>
              </w:rPr>
              <w:t>of entitlement to radio spectrum use</w:t>
            </w:r>
          </w:p>
        </w:tc>
        <w:tc>
          <w:tcPr>
            <w:tcW w:w="3251" w:type="pct"/>
            <w:tcBorders>
              <w:top w:val="single" w:sz="6" w:space="0" w:color="000000"/>
              <w:left w:val="single" w:sz="6" w:space="0" w:color="000000"/>
              <w:bottom w:val="single" w:sz="6" w:space="0" w:color="000000"/>
              <w:right w:val="single" w:sz="18" w:space="0" w:color="000000"/>
            </w:tcBorders>
            <w:tcMar>
              <w:top w:w="0" w:type="dxa"/>
              <w:left w:w="30" w:type="dxa"/>
              <w:bottom w:w="0" w:type="dxa"/>
              <w:right w:w="30" w:type="dxa"/>
            </w:tcMar>
            <w:hideMark/>
          </w:tcPr>
          <w:p w14:paraId="2901B085" w14:textId="62092A44" w:rsidR="009A4724" w:rsidRPr="009A4724" w:rsidRDefault="00F3428D" w:rsidP="00457DAB">
            <w:pPr>
              <w:spacing w:before="100" w:beforeAutospacing="1" w:after="100" w:afterAutospacing="1" w:line="240" w:lineRule="auto"/>
              <w:jc w:val="left"/>
              <w:rPr>
                <w:rFonts w:ascii="Arial" w:eastAsia="Times New Roman" w:hAnsi="Arial" w:cs="Arial"/>
                <w:sz w:val="18"/>
                <w:szCs w:val="18"/>
              </w:rPr>
            </w:pPr>
            <w:r w:rsidRPr="00F3428D">
              <w:rPr>
                <w:rFonts w:ascii="Arial" w:eastAsia="Times New Roman" w:hAnsi="Arial" w:cs="Arial"/>
                <w:sz w:val="18"/>
                <w:szCs w:val="18"/>
              </w:rPr>
              <w:t>nationwide in case of obtainment of entitlement to radio spectrum use, as a result of a competitive procedure,</w:t>
            </w:r>
            <w:r w:rsidR="00457DAB">
              <w:rPr>
                <w:rFonts w:ascii="Arial" w:eastAsia="Times New Roman" w:hAnsi="Arial" w:cs="Arial"/>
                <w:sz w:val="18"/>
                <w:szCs w:val="18"/>
              </w:rPr>
              <w:br/>
            </w:r>
            <w:r w:rsidRPr="00F3428D">
              <w:rPr>
                <w:rFonts w:ascii="Arial" w:eastAsia="Times New Roman" w:hAnsi="Arial" w:cs="Arial"/>
                <w:sz w:val="18"/>
                <w:szCs w:val="18"/>
              </w:rPr>
              <w:t>in case of transfer, smaller geographical unit is also permitted</w:t>
            </w:r>
            <w:r w:rsidRPr="00F3428D" w:rsidDel="00F3428D">
              <w:rPr>
                <w:rFonts w:ascii="Arial" w:eastAsia="Times New Roman" w:hAnsi="Arial" w:cs="Arial"/>
                <w:sz w:val="18"/>
                <w:szCs w:val="18"/>
                <w:lang w:val="en-GB"/>
              </w:rPr>
              <w:t xml:space="preserve"> </w:t>
            </w:r>
          </w:p>
        </w:tc>
      </w:tr>
      <w:tr w:rsidR="009A4724" w:rsidRPr="009A4724" w14:paraId="708A2548" w14:textId="77777777" w:rsidTr="00900279">
        <w:tc>
          <w:tcPr>
            <w:tcW w:w="1749" w:type="pct"/>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0FAA84DC" w14:textId="77777777" w:rsidR="009A4724" w:rsidRPr="009A4724" w:rsidRDefault="009A4724" w:rsidP="00900279">
            <w:pPr>
              <w:spacing w:before="100" w:beforeAutospacing="1" w:after="100" w:afterAutospacing="1" w:line="240" w:lineRule="auto"/>
              <w:ind w:left="241"/>
              <w:jc w:val="left"/>
              <w:rPr>
                <w:rFonts w:ascii="Arial" w:eastAsia="Times New Roman" w:hAnsi="Arial" w:cs="Arial"/>
                <w:sz w:val="18"/>
                <w:szCs w:val="18"/>
              </w:rPr>
            </w:pPr>
            <w:r>
              <w:rPr>
                <w:rFonts w:ascii="Arial" w:eastAsia="Times New Roman" w:hAnsi="Arial" w:cs="Arial"/>
                <w:sz w:val="18"/>
                <w:szCs w:val="18"/>
                <w:lang w:val="en-GB"/>
              </w:rPr>
              <w:t>Method of management</w:t>
            </w:r>
          </w:p>
        </w:tc>
        <w:tc>
          <w:tcPr>
            <w:tcW w:w="3251" w:type="pct"/>
            <w:tcBorders>
              <w:top w:val="single" w:sz="6" w:space="0" w:color="000000"/>
              <w:left w:val="single" w:sz="6" w:space="0" w:color="000000"/>
              <w:bottom w:val="single" w:sz="6" w:space="0" w:color="000000"/>
              <w:right w:val="single" w:sz="18" w:space="0" w:color="000000"/>
            </w:tcBorders>
            <w:tcMar>
              <w:top w:w="0" w:type="dxa"/>
              <w:left w:w="30" w:type="dxa"/>
              <w:bottom w:w="0" w:type="dxa"/>
              <w:right w:w="30" w:type="dxa"/>
            </w:tcMar>
            <w:hideMark/>
          </w:tcPr>
          <w:p w14:paraId="1BB7AD90" w14:textId="77777777" w:rsidR="009A4724" w:rsidRPr="009A4724" w:rsidRDefault="009A4724" w:rsidP="00BA7413">
            <w:pPr>
              <w:spacing w:before="100" w:beforeAutospacing="1" w:after="100" w:afterAutospacing="1" w:line="240" w:lineRule="auto"/>
              <w:jc w:val="left"/>
              <w:rPr>
                <w:rFonts w:ascii="Arial" w:eastAsia="Times New Roman" w:hAnsi="Arial" w:cs="Arial"/>
                <w:sz w:val="18"/>
                <w:szCs w:val="18"/>
              </w:rPr>
            </w:pPr>
            <w:r>
              <w:rPr>
                <w:rFonts w:ascii="Arial" w:eastAsia="Times New Roman" w:hAnsi="Arial" w:cs="Arial"/>
                <w:sz w:val="18"/>
                <w:szCs w:val="18"/>
                <w:lang w:val="en-GB"/>
              </w:rPr>
              <w:t>block management</w:t>
            </w:r>
          </w:p>
        </w:tc>
      </w:tr>
      <w:tr w:rsidR="009A4724" w:rsidRPr="009A4724" w14:paraId="36E43B87" w14:textId="77777777" w:rsidTr="00900279">
        <w:tc>
          <w:tcPr>
            <w:tcW w:w="1749" w:type="pct"/>
            <w:tcBorders>
              <w:top w:val="single" w:sz="6" w:space="0" w:color="000000"/>
              <w:left w:val="single" w:sz="6" w:space="0" w:color="000000"/>
              <w:bottom w:val="single" w:sz="18" w:space="0" w:color="000000"/>
              <w:right w:val="single" w:sz="6" w:space="0" w:color="000000"/>
            </w:tcBorders>
            <w:tcMar>
              <w:top w:w="0" w:type="dxa"/>
              <w:left w:w="30" w:type="dxa"/>
              <w:bottom w:w="0" w:type="dxa"/>
              <w:right w:w="30" w:type="dxa"/>
            </w:tcMar>
            <w:hideMark/>
          </w:tcPr>
          <w:p w14:paraId="7EC52F4B" w14:textId="77777777" w:rsidR="009A4724" w:rsidRPr="009A4724" w:rsidRDefault="009A4724" w:rsidP="00900279">
            <w:pPr>
              <w:spacing w:before="100" w:beforeAutospacing="1" w:after="100" w:afterAutospacing="1" w:line="240" w:lineRule="auto"/>
              <w:ind w:left="241"/>
              <w:jc w:val="left"/>
              <w:rPr>
                <w:rFonts w:ascii="Arial" w:eastAsia="Times New Roman" w:hAnsi="Arial" w:cs="Arial"/>
                <w:sz w:val="18"/>
                <w:szCs w:val="18"/>
              </w:rPr>
            </w:pPr>
            <w:r>
              <w:rPr>
                <w:rFonts w:ascii="Arial" w:eastAsia="Times New Roman" w:hAnsi="Arial" w:cs="Arial"/>
                <w:sz w:val="18"/>
                <w:szCs w:val="18"/>
                <w:lang w:val="en-GB"/>
              </w:rPr>
              <w:t>Secondary trading</w:t>
            </w:r>
          </w:p>
        </w:tc>
        <w:tc>
          <w:tcPr>
            <w:tcW w:w="3251" w:type="pct"/>
            <w:tcBorders>
              <w:top w:val="single" w:sz="6" w:space="0" w:color="000000"/>
              <w:left w:val="single" w:sz="6" w:space="0" w:color="000000"/>
              <w:bottom w:val="single" w:sz="18" w:space="0" w:color="000000"/>
              <w:right w:val="single" w:sz="18" w:space="0" w:color="000000"/>
            </w:tcBorders>
            <w:tcMar>
              <w:top w:w="0" w:type="dxa"/>
              <w:left w:w="30" w:type="dxa"/>
              <w:bottom w:w="0" w:type="dxa"/>
              <w:right w:w="30" w:type="dxa"/>
            </w:tcMar>
            <w:hideMark/>
          </w:tcPr>
          <w:p w14:paraId="6DB43F10" w14:textId="72BC0A6B" w:rsidR="009A4724" w:rsidRPr="009A4724" w:rsidRDefault="009A4724" w:rsidP="00923990">
            <w:pPr>
              <w:spacing w:before="100" w:beforeAutospacing="1" w:after="100" w:afterAutospacing="1" w:line="240" w:lineRule="auto"/>
              <w:jc w:val="left"/>
              <w:rPr>
                <w:rFonts w:ascii="Arial" w:eastAsia="Times New Roman" w:hAnsi="Arial" w:cs="Arial"/>
                <w:sz w:val="18"/>
                <w:szCs w:val="18"/>
              </w:rPr>
            </w:pPr>
            <w:r>
              <w:rPr>
                <w:rFonts w:ascii="Arial" w:eastAsia="Times New Roman" w:hAnsi="Arial" w:cs="Arial"/>
                <w:sz w:val="18"/>
                <w:szCs w:val="18"/>
                <w:lang w:val="en-GB"/>
              </w:rPr>
              <w:t xml:space="preserve">entitlement to </w:t>
            </w:r>
            <w:r w:rsidR="00F3428D">
              <w:rPr>
                <w:rFonts w:ascii="Arial" w:eastAsia="Times New Roman" w:hAnsi="Arial" w:cs="Arial"/>
                <w:sz w:val="18"/>
                <w:szCs w:val="18"/>
                <w:lang w:val="en-GB"/>
              </w:rPr>
              <w:t xml:space="preserve">and right of </w:t>
            </w:r>
            <w:r>
              <w:rPr>
                <w:rFonts w:ascii="Arial" w:eastAsia="Times New Roman" w:hAnsi="Arial" w:cs="Arial"/>
                <w:sz w:val="18"/>
                <w:szCs w:val="18"/>
                <w:lang w:val="en-GB"/>
              </w:rPr>
              <w:t xml:space="preserve">radio spectrum use may be transferred or leased in whole or in part; </w:t>
            </w:r>
            <w:r>
              <w:rPr>
                <w:rFonts w:ascii="Arial" w:eastAsia="Times New Roman" w:hAnsi="Arial" w:cs="Arial"/>
                <w:sz w:val="18"/>
                <w:szCs w:val="18"/>
                <w:lang w:val="en-GB"/>
              </w:rPr>
              <w:br/>
              <w:t xml:space="preserve">partial </w:t>
            </w:r>
            <w:r w:rsidR="00F3428D">
              <w:rPr>
                <w:rFonts w:ascii="Arial" w:eastAsia="Times New Roman" w:hAnsi="Arial" w:cs="Arial"/>
                <w:sz w:val="18"/>
                <w:szCs w:val="18"/>
                <w:lang w:val="en-GB"/>
              </w:rPr>
              <w:t xml:space="preserve">transfer </w:t>
            </w:r>
            <w:r>
              <w:rPr>
                <w:rFonts w:ascii="Arial" w:eastAsia="Times New Roman" w:hAnsi="Arial" w:cs="Arial"/>
                <w:sz w:val="18"/>
                <w:szCs w:val="18"/>
                <w:lang w:val="en-GB"/>
              </w:rPr>
              <w:t xml:space="preserve">in respect of frequencies </w:t>
            </w:r>
            <w:r w:rsidR="00923990">
              <w:rPr>
                <w:rFonts w:ascii="Arial" w:eastAsia="Times New Roman" w:hAnsi="Arial" w:cs="Arial"/>
                <w:sz w:val="18"/>
                <w:szCs w:val="18"/>
                <w:lang w:val="en-GB"/>
              </w:rPr>
              <w:t xml:space="preserve">shall </w:t>
            </w:r>
            <w:r>
              <w:rPr>
                <w:rFonts w:ascii="Arial" w:eastAsia="Times New Roman" w:hAnsi="Arial" w:cs="Arial"/>
                <w:sz w:val="18"/>
                <w:szCs w:val="18"/>
                <w:lang w:val="en-GB"/>
              </w:rPr>
              <w:t>occur per basic block</w:t>
            </w:r>
          </w:p>
        </w:tc>
      </w:tr>
    </w:tbl>
    <w:p w14:paraId="6CCC877A" w14:textId="26E2971F" w:rsidR="009A4724" w:rsidRPr="00BA7413" w:rsidRDefault="009A4724" w:rsidP="00BA7413">
      <w:pPr>
        <w:pStyle w:val="Kpalrs"/>
        <w:keepNext/>
        <w:jc w:val="center"/>
        <w:rPr>
          <w:noProof/>
        </w:rPr>
      </w:pPr>
      <w:r>
        <w:rPr>
          <w:noProof/>
          <w:lang w:val="en-GB"/>
        </w:rPr>
        <w:t xml:space="preserve"> Table 3.2.b: Conditions for obtaining right of radio spectrum use and </w:t>
      </w:r>
      <w:r w:rsidR="00940F33" w:rsidRPr="00940F33">
        <w:rPr>
          <w:noProof/>
          <w:lang w:val="en-GB"/>
        </w:rPr>
        <w:t xml:space="preserve">conditions of using the </w:t>
      </w:r>
      <w:r>
        <w:rPr>
          <w:noProof/>
          <w:lang w:val="en-GB"/>
        </w:rPr>
        <w:t>frequency band</w:t>
      </w:r>
    </w:p>
    <w:p w14:paraId="7D764090" w14:textId="737C1C40" w:rsidR="002C3924" w:rsidRDefault="002C3924" w:rsidP="00900279">
      <w:pPr>
        <w:pStyle w:val="Cmsor1szmozottnmhh"/>
        <w:pageBreakBefore w:val="0"/>
        <w:ind w:left="431" w:hanging="431"/>
      </w:pPr>
      <w:bookmarkStart w:id="23" w:name="_Toc98750575"/>
      <w:r>
        <w:rPr>
          <w:bCs/>
          <w:lang w:val="en-GB"/>
        </w:rPr>
        <w:t xml:space="preserve">Actual </w:t>
      </w:r>
      <w:r w:rsidR="006248F0">
        <w:rPr>
          <w:bCs/>
          <w:lang w:val="en-GB"/>
        </w:rPr>
        <w:t xml:space="preserve">national </w:t>
      </w:r>
      <w:r>
        <w:rPr>
          <w:bCs/>
          <w:lang w:val="en-GB"/>
        </w:rPr>
        <w:t>use</w:t>
      </w:r>
      <w:bookmarkEnd w:id="23"/>
    </w:p>
    <w:p w14:paraId="26CF2891" w14:textId="223CD963" w:rsidR="002C3924" w:rsidRDefault="002C3924" w:rsidP="002C3924">
      <w:pPr>
        <w:pStyle w:val="Behzottbekezdsnmhh"/>
        <w:spacing w:before="120"/>
      </w:pPr>
      <w:r>
        <w:rPr>
          <w:lang w:val="en-GB"/>
        </w:rPr>
        <w:t xml:space="preserve">Currently there is no licensed use </w:t>
      </w:r>
      <w:r w:rsidR="00FA45B2">
        <w:rPr>
          <w:lang w:val="en-GB"/>
        </w:rPr>
        <w:t xml:space="preserve">on a primary basis </w:t>
      </w:r>
      <w:r>
        <w:rPr>
          <w:lang w:val="en-GB"/>
        </w:rPr>
        <w:t>in the 1427-1492 MHz frequency band in Hungary. Non-civil point-to-point, point-to-multipoint and general multipoint (single</w:t>
      </w:r>
      <w:r w:rsidR="00FA45B2">
        <w:rPr>
          <w:lang w:val="en-GB"/>
        </w:rPr>
        <w:t>-</w:t>
      </w:r>
      <w:r>
        <w:rPr>
          <w:lang w:val="en-GB"/>
        </w:rPr>
        <w:t xml:space="preserve"> and </w:t>
      </w:r>
      <w:r w:rsidR="00FA45B2">
        <w:rPr>
          <w:lang w:val="en-GB"/>
        </w:rPr>
        <w:t>two-</w:t>
      </w:r>
      <w:r>
        <w:rPr>
          <w:lang w:val="en-GB"/>
        </w:rPr>
        <w:t xml:space="preserve">frequency) systems may operate in the 1492-1518 MHz frequency band. Non-civil use is still in demand, so this </w:t>
      </w:r>
      <w:r>
        <w:rPr>
          <w:lang w:val="en-GB"/>
        </w:rPr>
        <w:lastRenderedPageBreak/>
        <w:t xml:space="preserve">sub-band is not currently planned for MFCN. The SRDs for use </w:t>
      </w:r>
      <w:r w:rsidR="00990F96">
        <w:rPr>
          <w:lang w:val="en-GB"/>
        </w:rPr>
        <w:t xml:space="preserve">on a tertiary basis </w:t>
      </w:r>
      <w:r>
        <w:rPr>
          <w:lang w:val="en-GB"/>
        </w:rPr>
        <w:t>are exempt</w:t>
      </w:r>
      <w:r w:rsidR="00FA45B2">
        <w:rPr>
          <w:lang w:val="en-GB"/>
        </w:rPr>
        <w:t>ed</w:t>
      </w:r>
      <w:r>
        <w:rPr>
          <w:lang w:val="en-GB"/>
        </w:rPr>
        <w:t xml:space="preserve"> from individual licensing; we have no information about their operation.</w:t>
      </w:r>
    </w:p>
    <w:p w14:paraId="7453FD91" w14:textId="77777777" w:rsidR="0002430C" w:rsidRPr="00B85A3A" w:rsidRDefault="0002430C" w:rsidP="002C3924">
      <w:pPr>
        <w:pStyle w:val="Behzottbekezdsnmhh"/>
        <w:spacing w:before="120"/>
      </w:pPr>
    </w:p>
    <w:p w14:paraId="55339B09" w14:textId="77777777" w:rsidR="001E50C0" w:rsidRDefault="00650F28" w:rsidP="00CB2404">
      <w:pPr>
        <w:pStyle w:val="Cmsor1szmozottnmhh"/>
        <w:pageBreakBefore w:val="0"/>
        <w:ind w:left="431" w:hanging="431"/>
      </w:pPr>
      <w:bookmarkStart w:id="24" w:name="_Toc98750576"/>
      <w:r>
        <w:rPr>
          <w:bCs/>
          <w:lang w:val="en-GB"/>
        </w:rPr>
        <w:t>National regulatory plans</w:t>
      </w:r>
      <w:bookmarkEnd w:id="24"/>
    </w:p>
    <w:p w14:paraId="6E18D2AB" w14:textId="530BCE00" w:rsidR="00E726F4" w:rsidRDefault="006D5A61" w:rsidP="00C5430D">
      <w:pPr>
        <w:pStyle w:val="Behzottbekezdsnmhh"/>
      </w:pPr>
      <w:r>
        <w:rPr>
          <w:lang w:val="en-GB"/>
        </w:rPr>
        <w:t xml:space="preserve">Based on the NFFF Decree in force, the 1427-1492 MHz frequency range is designated for MFCN, and the introduction of MFCN does not require any modification of the </w:t>
      </w:r>
      <w:r w:rsidR="006248F0">
        <w:rPr>
          <w:lang w:val="en-GB"/>
        </w:rPr>
        <w:t xml:space="preserve">national </w:t>
      </w:r>
      <w:r>
        <w:rPr>
          <w:lang w:val="en-GB"/>
        </w:rPr>
        <w:t xml:space="preserve">regulation. </w:t>
      </w:r>
    </w:p>
    <w:p w14:paraId="5FC3A8F5" w14:textId="77777777" w:rsidR="00E74783" w:rsidRDefault="00E74783" w:rsidP="00C5430D">
      <w:pPr>
        <w:pStyle w:val="Behzottbekezdsnmhh"/>
      </w:pPr>
    </w:p>
    <w:p w14:paraId="7035AB0C" w14:textId="38FF4ED3" w:rsidR="001E50C0" w:rsidRDefault="008E1884" w:rsidP="00900279">
      <w:pPr>
        <w:pStyle w:val="Cmsor1szmozottnmhh"/>
        <w:pageBreakBefore w:val="0"/>
        <w:ind w:left="431" w:hanging="431"/>
      </w:pPr>
      <w:bookmarkStart w:id="25" w:name="_Toc26095863"/>
      <w:bookmarkStart w:id="26" w:name="_Toc26091892"/>
      <w:bookmarkStart w:id="27" w:name="_Toc26089481"/>
      <w:bookmarkStart w:id="28" w:name="_Toc98750577"/>
      <w:bookmarkStart w:id="29" w:name="_Toc473880732"/>
      <w:bookmarkEnd w:id="25"/>
      <w:bookmarkEnd w:id="26"/>
      <w:bookmarkEnd w:id="27"/>
      <w:r>
        <w:rPr>
          <w:bCs/>
          <w:lang w:val="en-GB"/>
        </w:rPr>
        <w:t>F</w:t>
      </w:r>
      <w:r w:rsidR="001E50C0">
        <w:rPr>
          <w:bCs/>
          <w:lang w:val="en-GB"/>
        </w:rPr>
        <w:t xml:space="preserve">requency use </w:t>
      </w:r>
      <w:r w:rsidRPr="008E1884">
        <w:rPr>
          <w:bCs/>
          <w:lang w:val="en-GB"/>
        </w:rPr>
        <w:t xml:space="preserve">in border areas </w:t>
      </w:r>
      <w:r w:rsidR="001E50C0">
        <w:rPr>
          <w:bCs/>
          <w:lang w:val="en-GB"/>
        </w:rPr>
        <w:t>and international coordination</w:t>
      </w:r>
      <w:bookmarkEnd w:id="28"/>
      <w:r w:rsidR="001E50C0">
        <w:rPr>
          <w:bCs/>
          <w:lang w:val="en-GB"/>
        </w:rPr>
        <w:t xml:space="preserve"> </w:t>
      </w:r>
      <w:bookmarkEnd w:id="29"/>
    </w:p>
    <w:p w14:paraId="55EFE8B7" w14:textId="5B1A4B29" w:rsidR="00C5430D" w:rsidRPr="00C5430D" w:rsidRDefault="00C5430D" w:rsidP="00C5430D">
      <w:pPr>
        <w:pStyle w:val="Behzottbekezdsnmhh"/>
      </w:pPr>
      <w:r>
        <w:rPr>
          <w:lang w:val="en-GB"/>
        </w:rPr>
        <w:t>In border</w:t>
      </w:r>
      <w:r w:rsidR="00990F96">
        <w:rPr>
          <w:lang w:val="en-GB"/>
        </w:rPr>
        <w:t xml:space="preserve"> areas</w:t>
      </w:r>
      <w:r>
        <w:rPr>
          <w:lang w:val="en-GB"/>
        </w:rPr>
        <w:t xml:space="preserve">, spectrum use is permitted only for stations which meet the requirements laid down in the currently applicable international coordination documents.  </w:t>
      </w:r>
    </w:p>
    <w:p w14:paraId="3462EE8F" w14:textId="743CD7B5" w:rsidR="00ED555D" w:rsidRDefault="00C5430D" w:rsidP="0055107B">
      <w:pPr>
        <w:pStyle w:val="Behzottbekezdsnmhh"/>
      </w:pPr>
      <w:r>
        <w:rPr>
          <w:lang w:val="en-GB"/>
        </w:rPr>
        <w:t>The technical conditions for international coordination for the 1452-1492 MHz frequency band are set out in</w:t>
      </w:r>
      <w:r>
        <w:rPr>
          <w:rStyle w:val="Lbjegyzet-hivatkozs"/>
          <w:color w:val="000000"/>
          <w:lang w:val="en-GB"/>
        </w:rPr>
        <w:footnoteReference w:id="26"/>
      </w:r>
      <w:r>
        <w:rPr>
          <w:lang w:val="en-GB"/>
        </w:rPr>
        <w:t xml:space="preserve"> Recommendation ECC/REC/(15)01. As a result of the amendment to ECC/REC/(15)01, the Recommendation has been extended to the entire 1427-1518 MHz frequency band and includes requirements for LTE and 5G</w:t>
      </w:r>
      <w:r w:rsidR="00395C2B">
        <w:rPr>
          <w:lang w:val="en-GB"/>
        </w:rPr>
        <w:t xml:space="preserve"> </w:t>
      </w:r>
      <w:r>
        <w:rPr>
          <w:lang w:val="en-GB"/>
        </w:rPr>
        <w:t xml:space="preserve">NR systems. In February 2018, Hungary concluded an international multilateral coordination agreement for the 1452-1492 MHz frequency sub-band with Austria, Croatia, Romania, Slovakia and Slovenia. Serbia has not yet adopted national legislation and has, therefore, not been able to accede to the agreement. The agreement is based on the limitations of the field strength level that can be used in the border </w:t>
      </w:r>
      <w:r w:rsidR="00AC5C85">
        <w:rPr>
          <w:lang w:val="en-GB"/>
        </w:rPr>
        <w:t xml:space="preserve">area </w:t>
      </w:r>
      <w:r>
        <w:rPr>
          <w:lang w:val="en-GB"/>
        </w:rPr>
        <w:t xml:space="preserve">and the use of the preferred codes; accordingly, if the countries concerned comply with the values set out in the agreement, no coordination procedure is required. </w:t>
      </w:r>
    </w:p>
    <w:p w14:paraId="221CF8F7" w14:textId="4FC4B8AE" w:rsidR="006D4981" w:rsidRPr="00C5430D" w:rsidRDefault="00CC418B" w:rsidP="00C5430D">
      <w:pPr>
        <w:pStyle w:val="Behzottbekezdsnmhh"/>
      </w:pPr>
      <w:r>
        <w:rPr>
          <w:lang w:val="en-GB"/>
        </w:rPr>
        <w:t>By extending Recommendation ECC/REC/(15)01, internationally agreed technical conditions for reviewing and extending agreements with neighbouring countries to the extended 1500 MHz frequency band are available for the entire 1427-1518 MHz frequency band.</w:t>
      </w:r>
    </w:p>
    <w:p w14:paraId="4C87D799" w14:textId="1770ABE2" w:rsidR="00C5430D" w:rsidRDefault="00395C2B" w:rsidP="00C5430D">
      <w:pPr>
        <w:pStyle w:val="Behzottbekezdsnmhh"/>
      </w:pPr>
      <w:r>
        <w:rPr>
          <w:lang w:val="en-GB"/>
        </w:rPr>
        <w:t>On the basis of the</w:t>
      </w:r>
      <w:r w:rsidR="00256E82">
        <w:rPr>
          <w:lang w:val="en-GB"/>
        </w:rPr>
        <w:t xml:space="preserve"> </w:t>
      </w:r>
      <w:r w:rsidR="00C5430D">
        <w:rPr>
          <w:lang w:val="en-GB"/>
        </w:rPr>
        <w:t>footnote 5.342 of the RR, aeronautical telemetry systems are</w:t>
      </w:r>
      <w:r>
        <w:rPr>
          <w:lang w:val="en-GB"/>
        </w:rPr>
        <w:t xml:space="preserve"> operated</w:t>
      </w:r>
      <w:r w:rsidR="00C5430D">
        <w:rPr>
          <w:lang w:val="en-GB"/>
        </w:rPr>
        <w:t xml:space="preserve"> in Ukraine in the 1429-1535 MHz frequency band; therefore, a </w:t>
      </w:r>
      <w:r w:rsidR="00EA3615">
        <w:rPr>
          <w:lang w:val="en-GB"/>
        </w:rPr>
        <w:t xml:space="preserve">special </w:t>
      </w:r>
      <w:r w:rsidR="00C5430D">
        <w:rPr>
          <w:lang w:val="en-GB"/>
        </w:rPr>
        <w:t>agreement had to be concluded with Ukraine for the 1500 MHz frequency band. The issues of compatibility and coordination between MFCN and aeronautical telemetry have been studied by the CEPT PT1 working group, the findings of which are included in ECC/REP/295</w:t>
      </w:r>
      <w:r w:rsidR="00C5430D">
        <w:rPr>
          <w:rStyle w:val="Lbjegyzet-hivatkozs"/>
          <w:color w:val="000000"/>
          <w:lang w:val="en-GB"/>
        </w:rPr>
        <w:footnoteReference w:id="27"/>
      </w:r>
      <w:r w:rsidR="00C5430D">
        <w:rPr>
          <w:lang w:val="en-GB"/>
        </w:rPr>
        <w:t xml:space="preserve">. Taking into account international studies, in November 2019 we also concluded an international coordination agreement with Ukraine for the 1500 MHz frequency band, which includes the conditions related to the protection of aeronautical telemetry, as well as the rules of coordination between MFCN and aeronautical telemetry in the entire 1427-1518 MHz frequency band. </w:t>
      </w:r>
    </w:p>
    <w:p w14:paraId="1266E772" w14:textId="7A6B7330" w:rsidR="00065460" w:rsidRDefault="001A2295" w:rsidP="00C5430D">
      <w:pPr>
        <w:pStyle w:val="Behzottbekezdsnmhh"/>
      </w:pPr>
      <w:r>
        <w:rPr>
          <w:lang w:val="en-GB"/>
        </w:rPr>
        <w:t>Among the neighbouring countries, the competitive procedure for the 1500 MHz frequency band has already been completed in Slovenia and Austria. A competitive procedure covering the 1500 MHz frequency band is expected to take place in Slovakia in the first half of 2022 and in Romania in the third quarter of 2022.</w:t>
      </w:r>
    </w:p>
    <w:p w14:paraId="10C9B23F" w14:textId="216F56C4" w:rsidR="001E50C0" w:rsidRDefault="00657919" w:rsidP="00900279">
      <w:pPr>
        <w:pStyle w:val="Cmsor1szmozottnmhh"/>
        <w:pageBreakBefore w:val="0"/>
        <w:ind w:left="431" w:hanging="431"/>
      </w:pPr>
      <w:bookmarkStart w:id="30" w:name="_Toc26095867"/>
      <w:bookmarkStart w:id="31" w:name="_Toc26095866"/>
      <w:bookmarkStart w:id="32" w:name="_Toc26095865"/>
      <w:bookmarkStart w:id="33" w:name="_Toc26091894"/>
      <w:bookmarkStart w:id="34" w:name="_Toc26089483"/>
      <w:bookmarkStart w:id="35" w:name="_Toc98750578"/>
      <w:bookmarkEnd w:id="30"/>
      <w:bookmarkEnd w:id="31"/>
      <w:bookmarkEnd w:id="32"/>
      <w:bookmarkEnd w:id="33"/>
      <w:bookmarkEnd w:id="34"/>
      <w:r>
        <w:rPr>
          <w:bCs/>
          <w:lang w:val="en-GB"/>
        </w:rPr>
        <w:t>Radio spectrum fees</w:t>
      </w:r>
      <w:bookmarkEnd w:id="35"/>
    </w:p>
    <w:bookmarkEnd w:id="3"/>
    <w:p w14:paraId="59B88435" w14:textId="51AF346F" w:rsidR="00537150" w:rsidRPr="00BA7413" w:rsidRDefault="00537150" w:rsidP="00537150">
      <w:pPr>
        <w:rPr>
          <w:sz w:val="20"/>
          <w:szCs w:val="20"/>
        </w:rPr>
      </w:pPr>
      <w:r>
        <w:rPr>
          <w:sz w:val="20"/>
          <w:szCs w:val="20"/>
          <w:lang w:val="en-GB"/>
        </w:rPr>
        <w:t xml:space="preserve">The method of calculation for regular radio spectrum fees is prescribed by Decree 1/2011 (III.31.) NMHH on frequency reservation and usage fees (hereinafter: Fees Decree).  Pursuant to the NFFF Decree, the </w:t>
      </w:r>
      <w:r>
        <w:rPr>
          <w:sz w:val="20"/>
          <w:szCs w:val="20"/>
          <w:lang w:val="en-GB"/>
        </w:rPr>
        <w:t>right holder</w:t>
      </w:r>
      <w:r>
        <w:rPr>
          <w:sz w:val="20"/>
          <w:szCs w:val="20"/>
          <w:lang w:val="en-GB"/>
        </w:rPr>
        <w:t xml:space="preserve"> acquiring entitlements to radio spectrum use shall pay a monthly band fee, in the case </w:t>
      </w:r>
      <w:r>
        <w:rPr>
          <w:sz w:val="20"/>
          <w:szCs w:val="20"/>
          <w:lang w:val="en-GB"/>
        </w:rPr>
        <w:lastRenderedPageBreak/>
        <w:t>of radio spectrum for service purposes acquired as a result of a competitive procedure, as a result of the extension of the entitlement to radio spectrum use, or as a result of the renewal of the entitlement to radio spectrum use, and resold after acquisition, during the term of the entitlement to radio spectrum use, starting from the earliest date of the validity of the radio licence determined in Section 22(3) of Decree 4/2011 (X. 6.) NMHH on the Rules of Auctioning and Tendering to Acquire Entitlements to Frequency Usage.</w:t>
      </w:r>
    </w:p>
    <w:p w14:paraId="16B4D1E7" w14:textId="2EDDA174" w:rsidR="00537150" w:rsidRPr="00B72D7A" w:rsidRDefault="00537150" w:rsidP="00537150">
      <w:pPr>
        <w:pStyle w:val="Behzottbekezdsnmhh"/>
        <w:rPr>
          <w:i/>
        </w:rPr>
      </w:pPr>
      <w:r>
        <w:rPr>
          <w:lang w:val="en-GB"/>
        </w:rPr>
        <w:t>In order to determine the band fee payable for the use of the 1500 MHz frequency band, the Fees Decree needs to be amended, as this frequency band is not included in Section 20</w:t>
      </w:r>
      <w:r>
        <w:rPr>
          <w:lang w:val="en-GB"/>
        </w:rPr>
        <w:t xml:space="preserve"> entitled “Fees payable for bands within the scope of block management”</w:t>
      </w:r>
      <w:r>
        <w:rPr>
          <w:lang w:val="en-GB"/>
        </w:rPr>
        <w:t xml:space="preserve"> and Annex 9 of the</w:t>
      </w:r>
      <w:r>
        <w:rPr>
          <w:lang w:val="en-GB"/>
        </w:rPr>
        <w:t xml:space="preserve"> Fees Decree</w:t>
      </w:r>
      <w:r>
        <w:rPr>
          <w:lang w:val="en-GB"/>
        </w:rPr>
        <w:t>.</w:t>
      </w:r>
    </w:p>
    <w:sectPr w:rsidR="00537150" w:rsidRPr="00B72D7A" w:rsidSect="003A0206">
      <w:footerReference w:type="default" r:id="rId12"/>
      <w:headerReference w:type="first" r:id="rId13"/>
      <w:pgSz w:w="11906" w:h="16838"/>
      <w:pgMar w:top="1417" w:right="1417" w:bottom="1417" w:left="1417" w:header="141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1E59A" w14:textId="77777777" w:rsidR="00657D6C" w:rsidRDefault="00657D6C" w:rsidP="006F446C">
      <w:pPr>
        <w:spacing w:after="0" w:line="240" w:lineRule="auto"/>
      </w:pPr>
      <w:r>
        <w:separator/>
      </w:r>
    </w:p>
  </w:endnote>
  <w:endnote w:type="continuationSeparator" w:id="0">
    <w:p w14:paraId="4B4D7B5D" w14:textId="77777777" w:rsidR="00657D6C" w:rsidRDefault="00657D6C" w:rsidP="006F4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4F6B7" w14:textId="77777777" w:rsidR="00FA419B" w:rsidRDefault="00FA419B">
    <w:r>
      <w:rPr>
        <w:noProof/>
        <w:lang w:eastAsia="hu-HU"/>
      </w:rPr>
      <mc:AlternateContent>
        <mc:Choice Requires="wps">
          <w:drawing>
            <wp:anchor distT="0" distB="0" distL="114300" distR="114300" simplePos="0" relativeHeight="251661312" behindDoc="0" locked="0" layoutInCell="1" allowOverlap="1" wp14:anchorId="709E6841" wp14:editId="081289DE">
              <wp:simplePos x="0" y="0"/>
              <wp:positionH relativeFrom="column">
                <wp:posOffset>4997450</wp:posOffset>
              </wp:positionH>
              <wp:positionV relativeFrom="paragraph">
                <wp:posOffset>153035</wp:posOffset>
              </wp:positionV>
              <wp:extent cx="613410" cy="302260"/>
              <wp:effectExtent l="0" t="63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16"/>
                              <w:szCs w:val="16"/>
                            </w:rPr>
                            <w:id w:val="11965226"/>
                            <w:docPartObj>
                              <w:docPartGallery w:val="Page Numbers (Bottom of Page)"/>
                              <w:docPartUnique/>
                            </w:docPartObj>
                          </w:sdtPr>
                          <w:sdtEndPr/>
                          <w:sdtContent>
                            <w:p w14:paraId="7365E487" w14:textId="29E2BEAE" w:rsidR="00FA419B" w:rsidRPr="00D42662" w:rsidRDefault="00FA419B" w:rsidP="00DE62EF">
                              <w:pPr>
                                <w:jc w:val="right"/>
                                <w:rPr>
                                  <w:sz w:val="16"/>
                                  <w:szCs w:val="16"/>
                                </w:rPr>
                              </w:pPr>
                              <w:r>
                                <w:rPr>
                                  <w:sz w:val="16"/>
                                  <w:szCs w:val="16"/>
                                  <w:lang w:val="en-GB"/>
                                </w:rPr>
                                <w:fldChar w:fldCharType="begin"/>
                              </w:r>
                              <w:r>
                                <w:rPr>
                                  <w:sz w:val="16"/>
                                  <w:szCs w:val="16"/>
                                  <w:lang w:val="en-GB"/>
                                </w:rPr>
                                <w:instrText xml:space="preserve"> PAGE   \* MERGEFORMAT </w:instrText>
                              </w:r>
                              <w:r>
                                <w:rPr>
                                  <w:sz w:val="16"/>
                                  <w:szCs w:val="16"/>
                                  <w:lang w:val="en-GB"/>
                                </w:rPr>
                                <w:fldChar w:fldCharType="separate"/>
                              </w:r>
                              <w:r w:rsidR="00A35AAA">
                                <w:rPr>
                                  <w:noProof/>
                                  <w:sz w:val="16"/>
                                  <w:szCs w:val="16"/>
                                  <w:lang w:val="en-GB"/>
                                </w:rPr>
                                <w:t>13</w:t>
                              </w:r>
                              <w:r>
                                <w:rPr>
                                  <w:noProof/>
                                  <w:sz w:val="16"/>
                                  <w:szCs w:val="16"/>
                                  <w:lang w:val="en-GB"/>
                                </w:rPr>
                                <w:fldChar w:fldCharType="end"/>
                              </w:r>
                            </w:p>
                          </w:sdtContent>
                        </w:sdt>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09E6841" id="_x0000_t202" coordsize="21600,21600" o:spt="202" path="m,l,21600r21600,l21600,xe">
              <v:stroke joinstyle="miter"/>
              <v:path gradientshapeok="t" o:connecttype="rect"/>
            </v:shapetype>
            <v:shape id="Text Box 2" o:spid="_x0000_s1026" type="#_x0000_t202" style="position:absolute;left:0;text-align:left;margin-left:393.5pt;margin-top:12.05pt;width:48.3pt;height:23.8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IKswIAALg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" filled="f" stroked="f">
              <v:textbox style="mso-fit-shape-to-text:t">
                <w:txbxContent>
                  <w:sdt>
                    <w:sdtPr>
                      <w:rPr>
                        <w:sz w:val="16"/>
                        <w:szCs w:val="16"/>
                      </w:rPr>
                      <w:id w:val="11965226"/>
                      <w:docPartObj>
                        <w:docPartGallery w:val="Page Numbers (Bottom of Page)"/>
                        <w:docPartUnique/>
                      </w:docPartObj>
                    </w:sdtPr>
                    <w:sdtEndPr/>
                    <w:sdtContent>
                      <w:p w14:paraId="7365E487" w14:textId="29E2BEAE" w:rsidR="00FA419B" w:rsidRPr="00D42662" w:rsidRDefault="00FA419B" w:rsidP="00DE62EF">
                        <w:pPr>
                          <w:jc w:val="right"/>
                          <w:rPr>
                            <w:sz w:val="16"/>
                            <w:szCs w:val="16"/>
                          </w:rPr>
                        </w:pPr>
                        <w:r>
                          <w:rPr>
                            <w:sz w:val="16"/>
                            <w:szCs w:val="16"/>
                            <w:lang w:val="en-GB"/>
                          </w:rPr>
                          <w:fldChar w:fldCharType="begin"/>
                        </w:r>
                        <w:r>
                          <w:rPr>
                            <w:sz w:val="16"/>
                            <w:szCs w:val="16"/>
                            <w:lang w:val="en-GB"/>
                          </w:rPr>
                          <w:instrText xml:space="preserve"> PAGE   \* MERGEFORMAT </w:instrText>
                        </w:r>
                        <w:r>
                          <w:rPr>
                            <w:sz w:val="16"/>
                            <w:szCs w:val="16"/>
                            <w:lang w:val="en-GB"/>
                          </w:rPr>
                          <w:fldChar w:fldCharType="separate"/>
                        </w:r>
                        <w:r w:rsidR="00A35AAA">
                          <w:rPr>
                            <w:noProof/>
                            <w:sz w:val="16"/>
                            <w:szCs w:val="16"/>
                            <w:lang w:val="en-GB"/>
                          </w:rPr>
                          <w:t>13</w:t>
                        </w:r>
                        <w:r>
                          <w:rPr>
                            <w:noProof/>
                            <w:sz w:val="16"/>
                            <w:szCs w:val="16"/>
                            <w:lang w:val="en-GB"/>
                          </w:rPr>
                          <w:fldChar w:fldCharType="end"/>
                        </w:r>
                      </w:p>
                    </w:sdtContent>
                  </w:sdt>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4CA69" w14:textId="77777777" w:rsidR="00657D6C" w:rsidRDefault="00657D6C" w:rsidP="006F446C">
      <w:pPr>
        <w:spacing w:after="0" w:line="240" w:lineRule="auto"/>
      </w:pPr>
      <w:r>
        <w:separator/>
      </w:r>
    </w:p>
  </w:footnote>
  <w:footnote w:type="continuationSeparator" w:id="0">
    <w:p w14:paraId="0536A242" w14:textId="77777777" w:rsidR="00657D6C" w:rsidRDefault="00657D6C" w:rsidP="006F446C">
      <w:pPr>
        <w:spacing w:after="0" w:line="240" w:lineRule="auto"/>
      </w:pPr>
      <w:r>
        <w:continuationSeparator/>
      </w:r>
    </w:p>
  </w:footnote>
  <w:footnote w:id="1">
    <w:p w14:paraId="2EB77586" w14:textId="797EF3E2" w:rsidR="00FA419B" w:rsidRPr="00B85A3A" w:rsidRDefault="00FA419B" w:rsidP="00192F3C">
      <w:pPr>
        <w:pStyle w:val="Lbjegyzetszveg"/>
        <w:spacing w:line="276" w:lineRule="auto"/>
        <w:rPr>
          <w:sz w:val="13"/>
          <w:szCs w:val="13"/>
        </w:rPr>
      </w:pPr>
      <w:r>
        <w:rPr>
          <w:rStyle w:val="Lbjegyzet-hivatkozs"/>
          <w:sz w:val="13"/>
          <w:szCs w:val="13"/>
          <w:vertAlign w:val="baseline"/>
          <w:lang w:val="en-GB"/>
        </w:rPr>
        <w:footnoteRef/>
      </w:r>
      <w:r>
        <w:rPr>
          <w:lang w:val="en-GB"/>
        </w:rPr>
        <w:t xml:space="preserve"> </w:t>
      </w:r>
      <w:r>
        <w:rPr>
          <w:sz w:val="13"/>
          <w:szCs w:val="13"/>
          <w:lang w:val="en-GB"/>
        </w:rPr>
        <w:t>MFCN: Mobile/Fixed Communications Networks (In the context of convergence of fixed and mobile wireless communication</w:t>
      </w:r>
      <w:r w:rsidR="006C0D79">
        <w:rPr>
          <w:sz w:val="13"/>
          <w:szCs w:val="13"/>
          <w:lang w:val="en-GB"/>
        </w:rPr>
        <w:t>s</w:t>
      </w:r>
      <w:r>
        <w:rPr>
          <w:sz w:val="13"/>
          <w:szCs w:val="13"/>
          <w:lang w:val="en-GB"/>
        </w:rPr>
        <w:t xml:space="preserve"> services, the CEPT regulation introduced the umbrella term MFCN (Mobile/Fixed Communication</w:t>
      </w:r>
      <w:r w:rsidR="006C0D79">
        <w:rPr>
          <w:sz w:val="13"/>
          <w:szCs w:val="13"/>
          <w:lang w:val="en-GB"/>
        </w:rPr>
        <w:t>s</w:t>
      </w:r>
      <w:r>
        <w:rPr>
          <w:sz w:val="13"/>
          <w:szCs w:val="13"/>
          <w:lang w:val="en-GB"/>
        </w:rPr>
        <w:t xml:space="preserve"> Networks). This includes IMT (International Mobile Telecommunication) systems as used by the ITU.)</w:t>
      </w:r>
    </w:p>
  </w:footnote>
  <w:footnote w:id="2">
    <w:p w14:paraId="420847CF" w14:textId="77777777" w:rsidR="00FA419B" w:rsidRPr="00B85A3A" w:rsidRDefault="00FA419B" w:rsidP="00192F3C">
      <w:pPr>
        <w:pStyle w:val="Lbjegyzetszveg"/>
        <w:spacing w:line="276" w:lineRule="auto"/>
        <w:rPr>
          <w:sz w:val="13"/>
          <w:szCs w:val="13"/>
        </w:rPr>
      </w:pPr>
      <w:r>
        <w:rPr>
          <w:rStyle w:val="Lbjegyzet-hivatkozs"/>
          <w:sz w:val="13"/>
          <w:szCs w:val="13"/>
          <w:vertAlign w:val="baseline"/>
          <w:lang w:val="en-GB"/>
        </w:rPr>
        <w:footnoteRef/>
      </w:r>
      <w:r>
        <w:rPr>
          <w:sz w:val="13"/>
          <w:szCs w:val="13"/>
          <w:lang w:val="en-GB"/>
        </w:rPr>
        <w:t xml:space="preserve"> PMSE: Programme Making and Special Events</w:t>
      </w:r>
    </w:p>
  </w:footnote>
  <w:footnote w:id="3">
    <w:p w14:paraId="52B7B4E7" w14:textId="77777777" w:rsidR="00FA419B" w:rsidRPr="00B85A3A" w:rsidRDefault="00FA419B" w:rsidP="00192F3C">
      <w:pPr>
        <w:pStyle w:val="Lbjegyzetszveg"/>
        <w:spacing w:line="276" w:lineRule="auto"/>
        <w:rPr>
          <w:sz w:val="13"/>
          <w:szCs w:val="13"/>
        </w:rPr>
      </w:pPr>
      <w:r>
        <w:rPr>
          <w:rStyle w:val="Lbjegyzet-hivatkozs"/>
          <w:sz w:val="13"/>
          <w:szCs w:val="13"/>
          <w:vertAlign w:val="baseline"/>
          <w:lang w:val="en-GB"/>
        </w:rPr>
        <w:footnoteRef/>
      </w:r>
      <w:r>
        <w:rPr>
          <w:sz w:val="13"/>
          <w:szCs w:val="13"/>
          <w:lang w:val="en-GB"/>
        </w:rPr>
        <w:t xml:space="preserve"> World Radiocommunication Conference 2015, Geneva, 2-27 November 2015</w:t>
      </w:r>
    </w:p>
  </w:footnote>
  <w:footnote w:id="4">
    <w:p w14:paraId="6CA3E08D" w14:textId="77777777" w:rsidR="00FA419B" w:rsidRDefault="00FA419B" w:rsidP="00192F3C">
      <w:pPr>
        <w:pStyle w:val="Lbjegyzetszveg"/>
      </w:pPr>
      <w:r>
        <w:rPr>
          <w:rStyle w:val="Lbjegyzet-hivatkozs"/>
          <w:lang w:val="en-GB"/>
        </w:rPr>
        <w:footnoteRef/>
      </w:r>
      <w:r>
        <w:rPr>
          <w:sz w:val="13"/>
          <w:szCs w:val="13"/>
          <w:lang w:val="en-GB"/>
        </w:rPr>
        <w:t>IMT - International Mobile Telecommunications</w:t>
      </w:r>
    </w:p>
  </w:footnote>
  <w:footnote w:id="5">
    <w:p w14:paraId="65EA6ADF" w14:textId="3A070B6C" w:rsidR="00FA419B" w:rsidRPr="00900279" w:rsidRDefault="00FA419B" w:rsidP="00192F3C">
      <w:pPr>
        <w:pStyle w:val="Lbjegyzetszveg"/>
        <w:rPr>
          <w:sz w:val="13"/>
          <w:szCs w:val="13"/>
        </w:rPr>
      </w:pPr>
      <w:r>
        <w:rPr>
          <w:rStyle w:val="Lbjegyzet-hivatkozs"/>
          <w:lang w:val="en-GB"/>
        </w:rPr>
        <w:footnoteRef/>
      </w:r>
      <w:r>
        <w:rPr>
          <w:lang w:val="en-GB"/>
        </w:rPr>
        <w:t xml:space="preserve"> </w:t>
      </w:r>
      <w:r>
        <w:rPr>
          <w:sz w:val="13"/>
          <w:szCs w:val="13"/>
          <w:lang w:val="en-GB"/>
        </w:rPr>
        <w:t>Commission Implementing Decision (EU) 2015/750 of 8 May 2015 on the harmonisation of the 1452-1492 MHz frequency band for terrestrial systems capable of providing electronic communications services in the Union and Commission Implementing Decision (EU) 2018/661 of 26 April 2018 amending Implementing Decision (EU) 2015/750 on the harmonisation of the 1452-1492 MHz frequency band for terrestrial systems capable of providing electronic communications services in the Union as regards its extension in the harmonised 1427-1452 MHz and 1492-1517 MHz frequency bands</w:t>
      </w:r>
    </w:p>
  </w:footnote>
  <w:footnote w:id="6">
    <w:p w14:paraId="08B3A23F" w14:textId="77777777" w:rsidR="00FA419B" w:rsidRPr="00FA419B" w:rsidRDefault="00FA419B" w:rsidP="00680324">
      <w:pPr>
        <w:pStyle w:val="Lbjegyzetszveg"/>
        <w:rPr>
          <w:sz w:val="16"/>
          <w:szCs w:val="16"/>
        </w:rPr>
      </w:pPr>
      <w:r>
        <w:rPr>
          <w:rStyle w:val="Lbjegyzet-hivatkozs"/>
          <w:sz w:val="16"/>
          <w:szCs w:val="16"/>
          <w:lang w:val="en-GB"/>
        </w:rPr>
        <w:footnoteRef/>
      </w:r>
      <w:hyperlink r:id="rId1" w:history="1">
        <w:r w:rsidRPr="00537150">
          <w:rPr>
            <w:sz w:val="13"/>
            <w:szCs w:val="13"/>
          </w:rPr>
          <w:t>http://nmhh.hu/esemeny/207926/Nyilvanos_meghallgatas_a_mobil_halozatok_uzemeltetesere_alkalmas_frekvenciasavok_hasznositasaval_kapcsolatos_szakmai_kerdesekre</w:t>
        </w:r>
      </w:hyperlink>
      <w:r w:rsidRPr="00537150">
        <w:rPr>
          <w:sz w:val="13"/>
          <w:szCs w:val="13"/>
        </w:rPr>
        <w:t xml:space="preserve"> </w:t>
      </w:r>
    </w:p>
  </w:footnote>
  <w:footnote w:id="7">
    <w:p w14:paraId="7DC3D8C9" w14:textId="0E1836BF" w:rsidR="00FA419B" w:rsidRPr="00FA419B" w:rsidRDefault="00FA419B" w:rsidP="00A365F9">
      <w:pPr>
        <w:pStyle w:val="Lbjegyzetszveg"/>
        <w:rPr>
          <w:rStyle w:val="Lbjegyzet-hivatkozs"/>
          <w:sz w:val="16"/>
          <w:szCs w:val="16"/>
        </w:rPr>
      </w:pPr>
      <w:r>
        <w:rPr>
          <w:rStyle w:val="Lbjegyzet-hivatkozs"/>
          <w:sz w:val="16"/>
          <w:szCs w:val="16"/>
          <w:lang w:val="en-GB"/>
        </w:rPr>
        <w:footnoteRef/>
      </w:r>
      <w:hyperlink r:id="rId2" w:history="1">
        <w:r w:rsidRPr="00537150">
          <w:rPr>
            <w:sz w:val="13"/>
            <w:szCs w:val="13"/>
          </w:rPr>
          <w:t>https://nmhh.hu/esemeny/207926/Nyilvanos_meghallgatas_a_mobil_halozatok_uzemeltetesere_alkalmas_frekvenciasavok_hasznositasaval_kapcsolatos_szakmai_kerdesekre</w:t>
        </w:r>
      </w:hyperlink>
    </w:p>
  </w:footnote>
  <w:footnote w:id="8">
    <w:p w14:paraId="6D12CB58" w14:textId="444E5284" w:rsidR="00FA419B" w:rsidRPr="00B85A3A" w:rsidRDefault="00FA419B" w:rsidP="004C28EF">
      <w:pPr>
        <w:pStyle w:val="Lbjegyzetszveg"/>
        <w:spacing w:line="276" w:lineRule="auto"/>
        <w:rPr>
          <w:sz w:val="13"/>
          <w:szCs w:val="13"/>
        </w:rPr>
      </w:pPr>
      <w:r>
        <w:rPr>
          <w:rStyle w:val="Lbjegyzet-hivatkozs"/>
          <w:sz w:val="13"/>
          <w:szCs w:val="13"/>
          <w:vertAlign w:val="baseline"/>
          <w:lang w:val="en-GB"/>
        </w:rPr>
        <w:footnoteRef/>
      </w:r>
      <w:r w:rsidRPr="00537150">
        <w:rPr>
          <w:lang w:val="fr-FR"/>
        </w:rPr>
        <w:t xml:space="preserve"> </w:t>
      </w:r>
      <w:r w:rsidRPr="00537150">
        <w:rPr>
          <w:sz w:val="13"/>
          <w:szCs w:val="13"/>
          <w:lang w:val="fr-FR"/>
        </w:rPr>
        <w:t>ITU: International Telecommunication Union</w:t>
      </w:r>
    </w:p>
  </w:footnote>
  <w:footnote w:id="9">
    <w:p w14:paraId="050FE31D" w14:textId="77777777" w:rsidR="00FA419B" w:rsidRPr="00B85A3A" w:rsidRDefault="00FA419B">
      <w:pPr>
        <w:pStyle w:val="Lbjegyzetszveg"/>
        <w:spacing w:line="276" w:lineRule="auto"/>
        <w:rPr>
          <w:sz w:val="13"/>
          <w:szCs w:val="13"/>
        </w:rPr>
      </w:pPr>
      <w:r>
        <w:rPr>
          <w:rStyle w:val="Lbjegyzet-hivatkozs"/>
          <w:sz w:val="13"/>
          <w:szCs w:val="13"/>
          <w:vertAlign w:val="baseline"/>
          <w:lang w:val="en-GB"/>
        </w:rPr>
        <w:footnoteRef/>
      </w:r>
      <w:r w:rsidRPr="00537150">
        <w:rPr>
          <w:sz w:val="13"/>
          <w:szCs w:val="13"/>
          <w:lang w:val="fr-FR"/>
        </w:rPr>
        <w:t xml:space="preserve"> CEPT: Conférence européenne des Administrations des postes et des télécommunications - European Conference of Postal and Telecommunications Administrations</w:t>
      </w:r>
    </w:p>
  </w:footnote>
  <w:footnote w:id="10">
    <w:p w14:paraId="4D8871A1" w14:textId="3764E968" w:rsidR="00FA419B" w:rsidRPr="00B85A3A" w:rsidRDefault="00FA419B" w:rsidP="00FA419B">
      <w:pPr>
        <w:autoSpaceDE w:val="0"/>
        <w:autoSpaceDN w:val="0"/>
        <w:adjustRightInd w:val="0"/>
        <w:spacing w:after="0"/>
        <w:rPr>
          <w:sz w:val="13"/>
          <w:szCs w:val="13"/>
        </w:rPr>
      </w:pPr>
      <w:r>
        <w:rPr>
          <w:rStyle w:val="Lbjegyzet-hivatkozs"/>
          <w:sz w:val="13"/>
          <w:szCs w:val="13"/>
          <w:vertAlign w:val="baseline"/>
          <w:lang w:val="en-GB"/>
        </w:rPr>
        <w:footnoteRef/>
      </w:r>
      <w:r>
        <w:rPr>
          <w:sz w:val="13"/>
          <w:szCs w:val="13"/>
          <w:lang w:val="en-GB"/>
        </w:rPr>
        <w:t xml:space="preserve"> Report ITU-R M.2324: Sharing studies between potential International Mobile Telecommunication systems and aeronautical mobile telemetry systems in the frequency band 1</w:t>
      </w:r>
      <w:r>
        <w:rPr>
          <w:i/>
          <w:iCs/>
          <w:sz w:val="13"/>
          <w:szCs w:val="13"/>
          <w:lang w:val="en-GB"/>
        </w:rPr>
        <w:t> </w:t>
      </w:r>
      <w:r>
        <w:rPr>
          <w:sz w:val="13"/>
          <w:szCs w:val="13"/>
          <w:lang w:val="en-GB"/>
        </w:rPr>
        <w:t>429-1</w:t>
      </w:r>
      <w:r>
        <w:rPr>
          <w:i/>
          <w:iCs/>
          <w:sz w:val="13"/>
          <w:szCs w:val="13"/>
          <w:lang w:val="en-GB"/>
        </w:rPr>
        <w:t> </w:t>
      </w:r>
      <w:r>
        <w:rPr>
          <w:sz w:val="13"/>
          <w:szCs w:val="13"/>
          <w:lang w:val="en-GB"/>
        </w:rPr>
        <w:t>535 MHz</w:t>
      </w:r>
    </w:p>
  </w:footnote>
  <w:footnote w:id="11">
    <w:p w14:paraId="5D29AA98" w14:textId="714E13A9" w:rsidR="00FA419B" w:rsidRPr="00DE62EF" w:rsidRDefault="00FA419B" w:rsidP="001B2C68">
      <w:pPr>
        <w:autoSpaceDE w:val="0"/>
        <w:autoSpaceDN w:val="0"/>
        <w:adjustRightInd w:val="0"/>
        <w:spacing w:after="0"/>
        <w:rPr>
          <w:sz w:val="13"/>
          <w:szCs w:val="13"/>
        </w:rPr>
      </w:pPr>
      <w:r>
        <w:rPr>
          <w:rStyle w:val="Lbjegyzet-hivatkozs"/>
          <w:sz w:val="13"/>
          <w:szCs w:val="13"/>
          <w:vertAlign w:val="baseline"/>
          <w:lang w:val="en-GB"/>
        </w:rPr>
        <w:footnoteRef/>
      </w:r>
      <w:r>
        <w:rPr>
          <w:sz w:val="13"/>
          <w:szCs w:val="13"/>
          <w:lang w:val="en-GB"/>
        </w:rPr>
        <w:t xml:space="preserve"> CEPT REPORT 54 approved 28 November 2014 Report from CEPT to the European Commission in response to the Mandate “To develop harmonised technical conditions in the 1452-1492 MHz frequency band for wireless broadband electronic communications services in the EU”</w:t>
      </w:r>
    </w:p>
  </w:footnote>
  <w:footnote w:id="12">
    <w:p w14:paraId="2282739E" w14:textId="6BF2AFB7" w:rsidR="00FA419B" w:rsidRPr="00DE62EF" w:rsidRDefault="00FA419B" w:rsidP="001B2C68">
      <w:pPr>
        <w:autoSpaceDE w:val="0"/>
        <w:autoSpaceDN w:val="0"/>
        <w:adjustRightInd w:val="0"/>
        <w:spacing w:after="0"/>
        <w:rPr>
          <w:sz w:val="13"/>
          <w:szCs w:val="13"/>
        </w:rPr>
      </w:pPr>
      <w:r>
        <w:rPr>
          <w:rStyle w:val="Lbjegyzet-hivatkozs"/>
          <w:sz w:val="13"/>
          <w:szCs w:val="13"/>
          <w:vertAlign w:val="baseline"/>
          <w:lang w:val="en-GB"/>
        </w:rPr>
        <w:footnoteRef/>
      </w:r>
      <w:r>
        <w:rPr>
          <w:sz w:val="13"/>
          <w:szCs w:val="13"/>
          <w:lang w:val="en-GB"/>
        </w:rPr>
        <w:t xml:space="preserve"> ECC DECISION (ECC/DEC/(13)03) approved 08 November 2013 The harmonised use of the frequency band 1452-1492 MHz for Mobile/Fixed Communications Networks Supplemental Downlink (MFCN SDL) (amended 2 March 2018)</w:t>
      </w:r>
    </w:p>
  </w:footnote>
  <w:footnote w:id="13">
    <w:p w14:paraId="019A4B8B" w14:textId="1F1632CE" w:rsidR="00FA419B" w:rsidRPr="00DE62EF" w:rsidRDefault="00FA419B" w:rsidP="001B2C68">
      <w:pPr>
        <w:autoSpaceDE w:val="0"/>
        <w:autoSpaceDN w:val="0"/>
        <w:adjustRightInd w:val="0"/>
        <w:spacing w:after="0"/>
        <w:rPr>
          <w:sz w:val="13"/>
          <w:szCs w:val="13"/>
        </w:rPr>
      </w:pPr>
      <w:r>
        <w:rPr>
          <w:rStyle w:val="Lbjegyzet-hivatkozs"/>
          <w:sz w:val="13"/>
          <w:szCs w:val="13"/>
          <w:vertAlign w:val="baseline"/>
          <w:lang w:val="en-GB"/>
        </w:rPr>
        <w:footnoteRef/>
      </w:r>
      <w:r>
        <w:rPr>
          <w:sz w:val="13"/>
          <w:szCs w:val="13"/>
          <w:lang w:val="en-GB"/>
        </w:rPr>
        <w:t xml:space="preserve"> ECC Recommendation (15)01 Cross-border coordination for mobile / fixed communications networks (MFCN) in the frequency bands:694-790 MHz, 1452-1492 MHz, 3400-3600 MHz and 3600-3800 MHz Approved 13 February 2015 (amendment on 14 February 2020)</w:t>
      </w:r>
    </w:p>
  </w:footnote>
  <w:footnote w:id="14">
    <w:p w14:paraId="1750D07E" w14:textId="5B553BCB" w:rsidR="00FA419B" w:rsidRPr="00DE62EF" w:rsidRDefault="00FA419B" w:rsidP="001B2C68">
      <w:pPr>
        <w:autoSpaceDE w:val="0"/>
        <w:autoSpaceDN w:val="0"/>
        <w:adjustRightInd w:val="0"/>
        <w:spacing w:after="0"/>
        <w:rPr>
          <w:sz w:val="13"/>
          <w:szCs w:val="13"/>
        </w:rPr>
      </w:pPr>
      <w:r>
        <w:rPr>
          <w:rStyle w:val="Lbjegyzet-hivatkozs"/>
          <w:sz w:val="13"/>
          <w:szCs w:val="13"/>
          <w:vertAlign w:val="baseline"/>
          <w:lang w:val="en-GB"/>
        </w:rPr>
        <w:footnoteRef/>
      </w:r>
      <w:r>
        <w:rPr>
          <w:sz w:val="13"/>
          <w:szCs w:val="13"/>
          <w:lang w:val="en-GB"/>
        </w:rPr>
        <w:t xml:space="preserve"> ECC REPORT 202 Out-of-Band emission limits for Mobile/Fixed Communication Networks (MFCN) Supplemental Downlink (SDL) operating in the 1452-1492 MHz band (approved September 2013)</w:t>
      </w:r>
    </w:p>
  </w:footnote>
  <w:footnote w:id="15">
    <w:p w14:paraId="125B1FB5" w14:textId="0F1F1209" w:rsidR="00FA419B" w:rsidRPr="00DE62EF" w:rsidRDefault="00FA419B" w:rsidP="00FA419B">
      <w:pPr>
        <w:autoSpaceDE w:val="0"/>
        <w:autoSpaceDN w:val="0"/>
        <w:adjustRightInd w:val="0"/>
        <w:spacing w:after="0"/>
        <w:rPr>
          <w:rStyle w:val="Lbjegyzet-hivatkozs"/>
          <w:sz w:val="13"/>
          <w:szCs w:val="13"/>
          <w:vertAlign w:val="baseline"/>
        </w:rPr>
      </w:pPr>
      <w:r>
        <w:rPr>
          <w:rStyle w:val="Lbjegyzet-hivatkozs"/>
          <w:sz w:val="13"/>
          <w:szCs w:val="13"/>
          <w:vertAlign w:val="baseline"/>
          <w:lang w:val="en-GB"/>
        </w:rPr>
        <w:footnoteRef/>
      </w:r>
      <w:r w:rsidRPr="00537150">
        <w:rPr>
          <w:rStyle w:val="Lbjegyzet-hivatkozs"/>
          <w:sz w:val="13"/>
          <w:szCs w:val="13"/>
          <w:vertAlign w:val="baseline"/>
        </w:rPr>
        <w:t xml:space="preserve"> ECC REPORT 227: Compatibility Studies for Mobile/Fixed Communication Networks (MFCN) Supplemental Downlink (SDL) operating in the 1452-1492</w:t>
      </w:r>
      <w:r w:rsidRPr="00537150">
        <w:rPr>
          <w:sz w:val="13"/>
          <w:szCs w:val="13"/>
        </w:rPr>
        <w:t xml:space="preserve"> </w:t>
      </w:r>
      <w:r w:rsidRPr="00537150">
        <w:rPr>
          <w:rStyle w:val="Lbjegyzet-hivatkozs"/>
          <w:sz w:val="13"/>
          <w:szCs w:val="13"/>
          <w:vertAlign w:val="baseline"/>
        </w:rPr>
        <w:t>MHz band (approved January 2015)</w:t>
      </w:r>
    </w:p>
  </w:footnote>
  <w:footnote w:id="16">
    <w:p w14:paraId="4CDC2EFE" w14:textId="56555AC2" w:rsidR="00FA419B" w:rsidRPr="00DE62EF" w:rsidRDefault="00FA419B" w:rsidP="00167CD4">
      <w:pPr>
        <w:autoSpaceDE w:val="0"/>
        <w:autoSpaceDN w:val="0"/>
        <w:adjustRightInd w:val="0"/>
        <w:spacing w:after="0"/>
        <w:rPr>
          <w:sz w:val="13"/>
          <w:szCs w:val="13"/>
        </w:rPr>
      </w:pPr>
      <w:r>
        <w:rPr>
          <w:rStyle w:val="Lbjegyzet-hivatkozs"/>
          <w:sz w:val="13"/>
          <w:szCs w:val="13"/>
          <w:vertAlign w:val="baseline"/>
          <w:lang w:val="en-GB"/>
        </w:rPr>
        <w:footnoteRef/>
      </w:r>
      <w:r>
        <w:rPr>
          <w:sz w:val="13"/>
          <w:szCs w:val="13"/>
          <w:lang w:val="en-GB"/>
        </w:rPr>
        <w:t xml:space="preserve"> ECC/DEC/(17)06: The harmonised use of the frequency bands 1427-1452 MHz and 1492-1518 MHz for Mobile/Fixed Communications Networks Supplemental Downlink (MFCN SDL) approved 17 November 2017, corrected 2 March 2018</w:t>
      </w:r>
    </w:p>
  </w:footnote>
  <w:footnote w:id="17">
    <w:p w14:paraId="3603AC5D" w14:textId="3DD41495" w:rsidR="00FA419B" w:rsidRPr="00DE62EF" w:rsidRDefault="00FA419B" w:rsidP="00167CD4">
      <w:pPr>
        <w:autoSpaceDE w:val="0"/>
        <w:autoSpaceDN w:val="0"/>
        <w:adjustRightInd w:val="0"/>
        <w:spacing w:after="0"/>
        <w:rPr>
          <w:sz w:val="13"/>
          <w:szCs w:val="13"/>
        </w:rPr>
      </w:pPr>
      <w:r>
        <w:rPr>
          <w:rStyle w:val="Lbjegyzet-hivatkozs"/>
          <w:sz w:val="13"/>
          <w:szCs w:val="13"/>
          <w:vertAlign w:val="baseline"/>
          <w:lang w:val="en-GB"/>
        </w:rPr>
        <w:footnoteRef/>
      </w:r>
      <w:r>
        <w:rPr>
          <w:sz w:val="13"/>
          <w:szCs w:val="13"/>
          <w:lang w:val="en-GB"/>
        </w:rPr>
        <w:t xml:space="preserve"> ECC Report 295 Guidance on Cross-border coordination between MFCN and Aeronautical Telemetry Systems in the 1429-1518 MHz, band. Approved 8 March 2019</w:t>
      </w:r>
    </w:p>
  </w:footnote>
  <w:footnote w:id="18">
    <w:p w14:paraId="45F8451A" w14:textId="77777777" w:rsidR="00FA419B" w:rsidRPr="00B85A3A" w:rsidRDefault="00FA419B" w:rsidP="00222B4B">
      <w:pPr>
        <w:autoSpaceDE w:val="0"/>
        <w:autoSpaceDN w:val="0"/>
        <w:adjustRightInd w:val="0"/>
        <w:spacing w:after="0"/>
        <w:rPr>
          <w:sz w:val="13"/>
          <w:szCs w:val="13"/>
        </w:rPr>
      </w:pPr>
      <w:r>
        <w:rPr>
          <w:rStyle w:val="Lbjegyzet-hivatkozs"/>
          <w:sz w:val="13"/>
          <w:szCs w:val="13"/>
          <w:vertAlign w:val="baseline"/>
          <w:lang w:val="en-GB"/>
        </w:rPr>
        <w:footnoteRef/>
      </w:r>
      <w:r>
        <w:rPr>
          <w:sz w:val="13"/>
          <w:szCs w:val="13"/>
          <w:lang w:val="en-GB"/>
        </w:rPr>
        <w:t xml:space="preserve"> Recommendation T/R 13-01 E (Montreux 1993, Revised Rottach-Egern, February 2010) PREFERRED CHANNEL ARRANGEMENTS FOR FIXED SERVICE SYSTEMS OPERATING IN THE FREQUENCY RANGE 1 - 2.3 GHz</w:t>
      </w:r>
    </w:p>
  </w:footnote>
  <w:footnote w:id="19">
    <w:p w14:paraId="607FBDB3" w14:textId="77777777" w:rsidR="00FA419B" w:rsidRPr="00B85A3A" w:rsidRDefault="00FA419B" w:rsidP="00222B4B">
      <w:pPr>
        <w:autoSpaceDE w:val="0"/>
        <w:autoSpaceDN w:val="0"/>
        <w:adjustRightInd w:val="0"/>
        <w:spacing w:after="0"/>
        <w:rPr>
          <w:sz w:val="13"/>
          <w:szCs w:val="13"/>
        </w:rPr>
      </w:pPr>
      <w:r>
        <w:rPr>
          <w:rStyle w:val="Lbjegyzet-hivatkozs"/>
          <w:sz w:val="13"/>
          <w:szCs w:val="13"/>
          <w:vertAlign w:val="baseline"/>
          <w:lang w:val="en-GB"/>
        </w:rPr>
        <w:footnoteRef/>
      </w:r>
      <w:r>
        <w:rPr>
          <w:sz w:val="13"/>
          <w:szCs w:val="13"/>
          <w:lang w:val="en-GB"/>
        </w:rPr>
        <w:t xml:space="preserve"> ERC Recommendation 70-03 Relating to the use of Short Range Devices (SRD) (http://www.erodocdb.dk/Docs/doc98/official/pdf/REC7003E.PDF)</w:t>
      </w:r>
    </w:p>
  </w:footnote>
  <w:footnote w:id="20">
    <w:p w14:paraId="1F9D7244" w14:textId="77777777" w:rsidR="00FA419B" w:rsidRPr="00B85A3A" w:rsidRDefault="00FA419B" w:rsidP="004C28EF">
      <w:pPr>
        <w:pStyle w:val="Lbjegyzetszveg"/>
        <w:spacing w:line="276" w:lineRule="auto"/>
        <w:rPr>
          <w:sz w:val="13"/>
          <w:szCs w:val="13"/>
        </w:rPr>
      </w:pPr>
      <w:r>
        <w:rPr>
          <w:rStyle w:val="Lbjegyzet-hivatkozs"/>
          <w:sz w:val="13"/>
          <w:szCs w:val="13"/>
          <w:vertAlign w:val="baseline"/>
          <w:lang w:val="en-GB"/>
        </w:rPr>
        <w:footnoteRef/>
      </w:r>
      <w:r>
        <w:rPr>
          <w:sz w:val="13"/>
          <w:szCs w:val="13"/>
          <w:lang w:val="en-GB"/>
        </w:rPr>
        <w:t xml:space="preserve"> Short Range Device (SRD)</w:t>
      </w:r>
    </w:p>
  </w:footnote>
  <w:footnote w:id="21">
    <w:p w14:paraId="79A2A2BD" w14:textId="3E1AE38C" w:rsidR="00FA419B" w:rsidRDefault="00FA419B" w:rsidP="00222B4B">
      <w:pPr>
        <w:autoSpaceDE w:val="0"/>
        <w:autoSpaceDN w:val="0"/>
        <w:adjustRightInd w:val="0"/>
        <w:spacing w:after="0"/>
      </w:pPr>
      <w:r>
        <w:rPr>
          <w:rStyle w:val="Lbjegyzet-hivatkozs"/>
          <w:sz w:val="13"/>
          <w:szCs w:val="13"/>
          <w:vertAlign w:val="baseline"/>
          <w:lang w:val="en-GB"/>
        </w:rPr>
        <w:footnoteRef/>
      </w:r>
      <w:r>
        <w:rPr>
          <w:sz w:val="13"/>
          <w:szCs w:val="13"/>
          <w:lang w:val="en-GB"/>
        </w:rPr>
        <w:t xml:space="preserve"> Mandate to CEPT to develop harmonised technical conditions in additional frequency bands in the 1.5 GHz range for their use for terrestrial wireless broadband electronic communications services in the Union </w:t>
      </w:r>
    </w:p>
  </w:footnote>
  <w:footnote w:id="22">
    <w:p w14:paraId="677D23DA" w14:textId="77777777" w:rsidR="00FA419B" w:rsidRPr="003341D7" w:rsidRDefault="00FA419B" w:rsidP="003B669A">
      <w:pPr>
        <w:pStyle w:val="Lbjegyzetszveg"/>
        <w:rPr>
          <w:sz w:val="13"/>
          <w:szCs w:val="13"/>
        </w:rPr>
      </w:pPr>
      <w:r>
        <w:rPr>
          <w:rStyle w:val="Lbjegyzet-hivatkozs"/>
          <w:lang w:val="en-GB"/>
        </w:rPr>
        <w:footnoteRef/>
      </w:r>
      <w:r>
        <w:rPr>
          <w:lang w:val="en-GB"/>
        </w:rPr>
        <w:t xml:space="preserve"> </w:t>
      </w:r>
      <w:r>
        <w:rPr>
          <w:sz w:val="13"/>
          <w:szCs w:val="13"/>
          <w:lang w:val="en-GB"/>
        </w:rPr>
        <w:t xml:space="preserve">5G NR – Fifth Generation New Radio </w:t>
      </w:r>
    </w:p>
  </w:footnote>
  <w:footnote w:id="23">
    <w:p w14:paraId="6F4A15C8" w14:textId="24D4BFEF" w:rsidR="00FA419B" w:rsidRPr="00CB2404" w:rsidRDefault="00FA419B" w:rsidP="00222B4B">
      <w:pPr>
        <w:autoSpaceDE w:val="0"/>
        <w:autoSpaceDN w:val="0"/>
        <w:adjustRightInd w:val="0"/>
        <w:spacing w:after="0"/>
        <w:rPr>
          <w:sz w:val="13"/>
          <w:szCs w:val="13"/>
        </w:rPr>
      </w:pPr>
      <w:r>
        <w:rPr>
          <w:rStyle w:val="Lbjegyzet-hivatkozs"/>
          <w:sz w:val="13"/>
          <w:szCs w:val="13"/>
          <w:vertAlign w:val="baseline"/>
          <w:lang w:val="en-GB"/>
        </w:rPr>
        <w:footnoteRef/>
      </w:r>
      <w:r>
        <w:rPr>
          <w:sz w:val="13"/>
          <w:szCs w:val="13"/>
          <w:lang w:val="en-GB"/>
        </w:rPr>
        <w:t xml:space="preserve"> COMMISSION IMPLEMENTING DECISION </w:t>
      </w:r>
      <w:r w:rsidR="008F386E">
        <w:rPr>
          <w:sz w:val="13"/>
          <w:szCs w:val="13"/>
          <w:lang w:val="en-GB"/>
        </w:rPr>
        <w:t xml:space="preserve">(EU) </w:t>
      </w:r>
      <w:r>
        <w:rPr>
          <w:sz w:val="13"/>
          <w:szCs w:val="13"/>
          <w:lang w:val="en-GB"/>
        </w:rPr>
        <w:t>2015/750 of 8 May 2015 on the harmonisation of the 1452-1492 MHz frequency band for terrestrial systems capable of providing electronic communications services in the Union (notified under document C(2015) 3061)</w:t>
      </w:r>
    </w:p>
  </w:footnote>
  <w:footnote w:id="24">
    <w:p w14:paraId="083293DE" w14:textId="77777777" w:rsidR="00FA419B" w:rsidRPr="00CB2404" w:rsidRDefault="00FA419B" w:rsidP="00222B4B">
      <w:pPr>
        <w:autoSpaceDE w:val="0"/>
        <w:autoSpaceDN w:val="0"/>
        <w:adjustRightInd w:val="0"/>
        <w:spacing w:after="0"/>
        <w:rPr>
          <w:sz w:val="13"/>
          <w:szCs w:val="13"/>
        </w:rPr>
      </w:pPr>
      <w:r>
        <w:rPr>
          <w:rStyle w:val="Lbjegyzet-hivatkozs"/>
          <w:sz w:val="13"/>
          <w:szCs w:val="13"/>
          <w:vertAlign w:val="baseline"/>
          <w:lang w:val="en-GB"/>
        </w:rPr>
        <w:footnoteRef/>
      </w:r>
      <w:r>
        <w:rPr>
          <w:sz w:val="13"/>
          <w:szCs w:val="13"/>
          <w:lang w:val="en-GB"/>
        </w:rPr>
        <w:t xml:space="preserve"> Commission Implementing Decision (EU) 2018/661 of 26 April 2018 amending Implementing Decision (EU) 2015/750 on the harmonisation of the 1452-1492 MHz frequency band for terrestrial systems capable of providing electronic communications services in the Union as regards its extension in the harmonised 1427-1452 MHz and 1492-1517 MHz frequency bands</w:t>
      </w:r>
      <w:r>
        <w:rPr>
          <w:lang w:val="en-GB"/>
        </w:rPr>
        <w:t>.</w:t>
      </w:r>
    </w:p>
  </w:footnote>
  <w:footnote w:id="25">
    <w:p w14:paraId="23006D20" w14:textId="75FEF1DE" w:rsidR="00FA419B" w:rsidRDefault="00FA419B">
      <w:pPr>
        <w:pStyle w:val="Lbjegyzetszveg"/>
      </w:pPr>
      <w:r>
        <w:rPr>
          <w:rStyle w:val="Lbjegyzet-hivatkozs"/>
          <w:lang w:val="en-GB"/>
        </w:rPr>
        <w:footnoteRef/>
      </w:r>
      <w:r>
        <w:rPr>
          <w:lang w:val="en-GB"/>
        </w:rPr>
        <w:t xml:space="preserve"> </w:t>
      </w:r>
      <w:r>
        <w:rPr>
          <w:sz w:val="13"/>
          <w:szCs w:val="13"/>
          <w:lang w:val="en-GB"/>
        </w:rPr>
        <w:t xml:space="preserve">On the basis of a draft </w:t>
      </w:r>
      <w:r w:rsidR="002E6517">
        <w:rPr>
          <w:sz w:val="13"/>
          <w:szCs w:val="13"/>
          <w:lang w:val="en-GB"/>
        </w:rPr>
        <w:t xml:space="preserve">decree </w:t>
      </w:r>
      <w:r>
        <w:rPr>
          <w:sz w:val="13"/>
          <w:szCs w:val="13"/>
          <w:lang w:val="en-GB"/>
        </w:rPr>
        <w:t>currently under EU technical notification</w:t>
      </w:r>
      <w:r w:rsidR="002E6517">
        <w:rPr>
          <w:sz w:val="13"/>
          <w:szCs w:val="13"/>
          <w:lang w:val="en-GB"/>
        </w:rPr>
        <w:t xml:space="preserve"> procedure</w:t>
      </w:r>
      <w:r>
        <w:rPr>
          <w:sz w:val="13"/>
          <w:szCs w:val="13"/>
          <w:lang w:val="en-GB"/>
        </w:rPr>
        <w:t>.</w:t>
      </w:r>
    </w:p>
  </w:footnote>
  <w:footnote w:id="26">
    <w:p w14:paraId="424C8F3A" w14:textId="090F7B67" w:rsidR="00FA419B" w:rsidRPr="00DE62EF" w:rsidRDefault="00FA419B" w:rsidP="00BA7413">
      <w:pPr>
        <w:autoSpaceDE w:val="0"/>
        <w:autoSpaceDN w:val="0"/>
        <w:adjustRightInd w:val="0"/>
        <w:spacing w:after="0"/>
        <w:rPr>
          <w:sz w:val="13"/>
          <w:szCs w:val="13"/>
        </w:rPr>
      </w:pPr>
      <w:r>
        <w:rPr>
          <w:rStyle w:val="Lbjegyzet-hivatkozs"/>
          <w:sz w:val="13"/>
          <w:szCs w:val="13"/>
          <w:vertAlign w:val="baseline"/>
          <w:lang w:val="en-GB"/>
        </w:rPr>
        <w:footnoteRef/>
      </w:r>
      <w:r>
        <w:rPr>
          <w:sz w:val="13"/>
          <w:szCs w:val="13"/>
          <w:lang w:val="en-GB"/>
        </w:rPr>
        <w:t xml:space="preserve"> ECC Recommendation (15)01 Cross-border coordination for mobile / fixed communications networks (MFCN) in the frequency bands:694-790 MHz, 1452-1492 MHz, 3400-3600 MHz and 3600-3800 MHz Approved 13 February 2015 (amendment 14 February 2020)</w:t>
      </w:r>
    </w:p>
  </w:footnote>
  <w:footnote w:id="27">
    <w:p w14:paraId="0E1F7692" w14:textId="367565EF" w:rsidR="00FA419B" w:rsidRPr="00DE62EF" w:rsidRDefault="00FA419B" w:rsidP="00BA7413">
      <w:pPr>
        <w:autoSpaceDE w:val="0"/>
        <w:autoSpaceDN w:val="0"/>
        <w:adjustRightInd w:val="0"/>
        <w:spacing w:after="0"/>
        <w:rPr>
          <w:sz w:val="13"/>
          <w:szCs w:val="13"/>
        </w:rPr>
      </w:pPr>
      <w:r>
        <w:rPr>
          <w:rStyle w:val="Lbjegyzet-hivatkozs"/>
          <w:sz w:val="13"/>
          <w:szCs w:val="13"/>
          <w:vertAlign w:val="baseline"/>
          <w:lang w:val="en-GB"/>
        </w:rPr>
        <w:footnoteRef/>
      </w:r>
      <w:r>
        <w:rPr>
          <w:sz w:val="13"/>
          <w:szCs w:val="13"/>
          <w:lang w:val="en-GB"/>
        </w:rPr>
        <w:t xml:space="preserve"> ECC Report 295 Guidance on Cross-border coordination between MFCN and Aeronautical Telemetry Systems in the 1429-1518 MHz, band. Approved 8 March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CD6FE" w14:textId="4F2F2480" w:rsidR="00681FE6" w:rsidRDefault="00681FE6">
    <w:pPr>
      <w:pStyle w:val="lfej"/>
    </w:pPr>
    <w:r>
      <w:rPr>
        <w:noProof/>
        <w:lang w:eastAsia="hu-HU"/>
      </w:rPr>
      <w:drawing>
        <wp:anchor distT="0" distB="0" distL="114300" distR="114300" simplePos="0" relativeHeight="251662336" behindDoc="1" locked="0" layoutInCell="1" allowOverlap="1" wp14:anchorId="17C5AD74" wp14:editId="20232185">
          <wp:simplePos x="0" y="0"/>
          <wp:positionH relativeFrom="column">
            <wp:posOffset>-895658</wp:posOffset>
          </wp:positionH>
          <wp:positionV relativeFrom="paragraph">
            <wp:posOffset>-895658</wp:posOffset>
          </wp:positionV>
          <wp:extent cx="7559675" cy="3352800"/>
          <wp:effectExtent l="0" t="0" r="3175" b="0"/>
          <wp:wrapTight wrapText="bothSides">
            <wp:wrapPolygon edited="0">
              <wp:start x="0" y="0"/>
              <wp:lineTo x="0" y="21477"/>
              <wp:lineTo x="21555" y="21477"/>
              <wp:lineTo x="21555" y="0"/>
              <wp:lineTo x="0" y="0"/>
            </wp:wrapPolygon>
          </wp:wrapTight>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3352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4534"/>
    <w:multiLevelType w:val="hybridMultilevel"/>
    <w:tmpl w:val="272E63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03A2EF0"/>
    <w:multiLevelType w:val="multilevel"/>
    <w:tmpl w:val="040E0025"/>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2" w15:restartNumberingAfterBreak="0">
    <w:nsid w:val="23064FBD"/>
    <w:multiLevelType w:val="hybridMultilevel"/>
    <w:tmpl w:val="3146AE02"/>
    <w:lvl w:ilvl="0" w:tplc="30F0B694">
      <w:start w:val="1"/>
      <w:numFmt w:val="upperLetter"/>
      <w:pStyle w:val="Felsorols1nmhh"/>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A8A3C1C"/>
    <w:multiLevelType w:val="multilevel"/>
    <w:tmpl w:val="BA6C48F0"/>
    <w:lvl w:ilvl="0">
      <w:start w:val="1"/>
      <w:numFmt w:val="ordinal"/>
      <w:pStyle w:val="Cmsor1szmozottnmhh"/>
      <w:lvlText w:val="%1"/>
      <w:lvlJc w:val="left"/>
      <w:pPr>
        <w:ind w:left="432" w:hanging="432"/>
      </w:pPr>
      <w:rPr>
        <w:rFonts w:hint="default"/>
      </w:rPr>
    </w:lvl>
    <w:lvl w:ilvl="1">
      <w:start w:val="1"/>
      <w:numFmt w:val="ordinal"/>
      <w:pStyle w:val="Cmsor2szmozottnmhh"/>
      <w:lvlText w:val="%1%2"/>
      <w:lvlJc w:val="left"/>
      <w:pPr>
        <w:ind w:left="576" w:hanging="576"/>
      </w:pPr>
      <w:rPr>
        <w:rFonts w:hint="default"/>
      </w:rPr>
    </w:lvl>
    <w:lvl w:ilvl="2">
      <w:start w:val="1"/>
      <w:numFmt w:val="ordinal"/>
      <w:pStyle w:val="Cmsor3szmozottnmhh"/>
      <w:lvlText w:val="%1%2%3"/>
      <w:lvlJc w:val="left"/>
      <w:pPr>
        <w:ind w:left="6249" w:hanging="720"/>
      </w:pPr>
      <w:rPr>
        <w:rFonts w:hint="default"/>
      </w:rPr>
    </w:lvl>
    <w:lvl w:ilvl="3">
      <w:start w:val="1"/>
      <w:numFmt w:val="ordinal"/>
      <w:pStyle w:val="Cmsor4szmozottnmhh"/>
      <w:lvlText w:val="%1%2%3%4"/>
      <w:lvlJc w:val="left"/>
      <w:pPr>
        <w:ind w:left="864" w:hanging="864"/>
      </w:pPr>
      <w:rPr>
        <w:rFonts w:hint="default"/>
      </w:rPr>
    </w:lvl>
    <w:lvl w:ilvl="4">
      <w:start w:val="1"/>
      <w:numFmt w:val="ordinal"/>
      <w:lvlText w:val="%1%2%3%4%5"/>
      <w:lvlJc w:val="left"/>
      <w:pPr>
        <w:ind w:left="1008" w:hanging="1008"/>
      </w:pPr>
      <w:rPr>
        <w:rFonts w:hint="default"/>
      </w:rPr>
    </w:lvl>
    <w:lvl w:ilvl="5">
      <w:start w:val="1"/>
      <w:numFmt w:val="ordinal"/>
      <w:lvlText w:val="%1%2%3%4%5%6"/>
      <w:lvlJc w:val="left"/>
      <w:pPr>
        <w:ind w:left="1152" w:hanging="1152"/>
      </w:pPr>
      <w:rPr>
        <w:rFonts w:hint="default"/>
      </w:rPr>
    </w:lvl>
    <w:lvl w:ilvl="6">
      <w:start w:val="1"/>
      <w:numFmt w:val="ordinal"/>
      <w:lvlText w:val="%1%2%3%4%5%6%7"/>
      <w:lvlJc w:val="left"/>
      <w:pPr>
        <w:ind w:left="1296" w:hanging="1296"/>
      </w:pPr>
      <w:rPr>
        <w:rFonts w:hint="default"/>
      </w:rPr>
    </w:lvl>
    <w:lvl w:ilvl="7">
      <w:start w:val="1"/>
      <w:numFmt w:val="ordinal"/>
      <w:lvlText w:val="%1%2%3%4%5%6%7%8"/>
      <w:lvlJc w:val="left"/>
      <w:pPr>
        <w:ind w:left="1440" w:hanging="1440"/>
      </w:pPr>
      <w:rPr>
        <w:rFonts w:hint="default"/>
      </w:rPr>
    </w:lvl>
    <w:lvl w:ilvl="8">
      <w:start w:val="1"/>
      <w:numFmt w:val="ordinal"/>
      <w:lvlText w:val="%1%2%3%4%5%6%7%8%9"/>
      <w:lvlJc w:val="left"/>
      <w:pPr>
        <w:ind w:left="1584" w:hanging="1584"/>
      </w:pPr>
      <w:rPr>
        <w:rFonts w:hint="default"/>
      </w:rPr>
    </w:lvl>
  </w:abstractNum>
  <w:abstractNum w:abstractNumId="4" w15:restartNumberingAfterBreak="0">
    <w:nsid w:val="325113BE"/>
    <w:multiLevelType w:val="hybridMultilevel"/>
    <w:tmpl w:val="38DA4FC2"/>
    <w:lvl w:ilvl="0" w:tplc="2E90CB8A">
      <w:start w:val="1"/>
      <w:numFmt w:val="bullet"/>
      <w:pStyle w:val="Lista1nmhh"/>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38E038C"/>
    <w:multiLevelType w:val="multilevel"/>
    <w:tmpl w:val="602E1908"/>
    <w:lvl w:ilvl="0">
      <w:start w:val="1"/>
      <w:numFmt w:val="decimal"/>
      <w:pStyle w:val="Felsorols2nmh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6733BA"/>
    <w:multiLevelType w:val="hybridMultilevel"/>
    <w:tmpl w:val="1DEC5400"/>
    <w:lvl w:ilvl="0" w:tplc="FBFEE8A4">
      <w:start w:val="1"/>
      <w:numFmt w:val="bullet"/>
      <w:pStyle w:val="Lista2nmhh"/>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0864F13"/>
    <w:multiLevelType w:val="hybridMultilevel"/>
    <w:tmpl w:val="6E2E6748"/>
    <w:lvl w:ilvl="0" w:tplc="8C6C752A">
      <w:start w:val="1"/>
      <w:numFmt w:val="decimal"/>
      <w:pStyle w:val="Felsorolsnmhh"/>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93139EA"/>
    <w:multiLevelType w:val="hybridMultilevel"/>
    <w:tmpl w:val="B68EF70C"/>
    <w:lvl w:ilvl="0" w:tplc="040E0001">
      <w:start w:val="1"/>
      <w:numFmt w:val="bullet"/>
      <w:lvlText w:val=""/>
      <w:lvlJc w:val="left"/>
      <w:pPr>
        <w:ind w:left="1082" w:hanging="360"/>
      </w:pPr>
      <w:rPr>
        <w:rFonts w:ascii="Symbol" w:hAnsi="Symbol" w:hint="default"/>
      </w:rPr>
    </w:lvl>
    <w:lvl w:ilvl="1" w:tplc="040E0003">
      <w:start w:val="1"/>
      <w:numFmt w:val="bullet"/>
      <w:lvlText w:val="o"/>
      <w:lvlJc w:val="left"/>
      <w:pPr>
        <w:ind w:left="1802" w:hanging="360"/>
      </w:pPr>
      <w:rPr>
        <w:rFonts w:ascii="Courier New" w:hAnsi="Courier New" w:cs="Courier New" w:hint="default"/>
      </w:rPr>
    </w:lvl>
    <w:lvl w:ilvl="2" w:tplc="040E0005">
      <w:start w:val="1"/>
      <w:numFmt w:val="bullet"/>
      <w:lvlText w:val=""/>
      <w:lvlJc w:val="left"/>
      <w:pPr>
        <w:ind w:left="2522" w:hanging="360"/>
      </w:pPr>
      <w:rPr>
        <w:rFonts w:ascii="Wingdings" w:hAnsi="Wingdings" w:hint="default"/>
      </w:rPr>
    </w:lvl>
    <w:lvl w:ilvl="3" w:tplc="040E0001" w:tentative="1">
      <w:start w:val="1"/>
      <w:numFmt w:val="bullet"/>
      <w:lvlText w:val=""/>
      <w:lvlJc w:val="left"/>
      <w:pPr>
        <w:ind w:left="3242" w:hanging="360"/>
      </w:pPr>
      <w:rPr>
        <w:rFonts w:ascii="Symbol" w:hAnsi="Symbol" w:hint="default"/>
      </w:rPr>
    </w:lvl>
    <w:lvl w:ilvl="4" w:tplc="040E0003" w:tentative="1">
      <w:start w:val="1"/>
      <w:numFmt w:val="bullet"/>
      <w:lvlText w:val="o"/>
      <w:lvlJc w:val="left"/>
      <w:pPr>
        <w:ind w:left="3962" w:hanging="360"/>
      </w:pPr>
      <w:rPr>
        <w:rFonts w:ascii="Courier New" w:hAnsi="Courier New" w:cs="Courier New" w:hint="default"/>
      </w:rPr>
    </w:lvl>
    <w:lvl w:ilvl="5" w:tplc="040E0005" w:tentative="1">
      <w:start w:val="1"/>
      <w:numFmt w:val="bullet"/>
      <w:lvlText w:val=""/>
      <w:lvlJc w:val="left"/>
      <w:pPr>
        <w:ind w:left="4682" w:hanging="360"/>
      </w:pPr>
      <w:rPr>
        <w:rFonts w:ascii="Wingdings" w:hAnsi="Wingdings" w:hint="default"/>
      </w:rPr>
    </w:lvl>
    <w:lvl w:ilvl="6" w:tplc="040E0001" w:tentative="1">
      <w:start w:val="1"/>
      <w:numFmt w:val="bullet"/>
      <w:lvlText w:val=""/>
      <w:lvlJc w:val="left"/>
      <w:pPr>
        <w:ind w:left="5402" w:hanging="360"/>
      </w:pPr>
      <w:rPr>
        <w:rFonts w:ascii="Symbol" w:hAnsi="Symbol" w:hint="default"/>
      </w:rPr>
    </w:lvl>
    <w:lvl w:ilvl="7" w:tplc="040E0003" w:tentative="1">
      <w:start w:val="1"/>
      <w:numFmt w:val="bullet"/>
      <w:lvlText w:val="o"/>
      <w:lvlJc w:val="left"/>
      <w:pPr>
        <w:ind w:left="6122" w:hanging="360"/>
      </w:pPr>
      <w:rPr>
        <w:rFonts w:ascii="Courier New" w:hAnsi="Courier New" w:cs="Courier New" w:hint="default"/>
      </w:rPr>
    </w:lvl>
    <w:lvl w:ilvl="8" w:tplc="040E0005" w:tentative="1">
      <w:start w:val="1"/>
      <w:numFmt w:val="bullet"/>
      <w:lvlText w:val=""/>
      <w:lvlJc w:val="left"/>
      <w:pPr>
        <w:ind w:left="6842" w:hanging="360"/>
      </w:pPr>
      <w:rPr>
        <w:rFonts w:ascii="Wingdings" w:hAnsi="Wingdings" w:hint="default"/>
      </w:rPr>
    </w:lvl>
  </w:abstractNum>
  <w:abstractNum w:abstractNumId="9" w15:restartNumberingAfterBreak="0">
    <w:nsid w:val="707E568A"/>
    <w:multiLevelType w:val="hybridMultilevel"/>
    <w:tmpl w:val="383807F4"/>
    <w:lvl w:ilvl="0" w:tplc="32AA15B6">
      <w:start w:val="1"/>
      <w:numFmt w:val="decimal"/>
      <w:pStyle w:val="Irodalomjegyzkfelsorolsnmhh"/>
      <w:lvlText w:val="[%1]"/>
      <w:lvlJc w:val="left"/>
      <w:pPr>
        <w:ind w:left="360" w:hanging="360"/>
      </w:pPr>
      <w:rPr>
        <w:rFonts w:hint="default"/>
      </w:r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num w:numId="1">
    <w:abstractNumId w:val="1"/>
  </w:num>
  <w:num w:numId="2">
    <w:abstractNumId w:val="7"/>
  </w:num>
  <w:num w:numId="3">
    <w:abstractNumId w:val="5"/>
  </w:num>
  <w:num w:numId="4">
    <w:abstractNumId w:val="2"/>
  </w:num>
  <w:num w:numId="5">
    <w:abstractNumId w:val="3"/>
  </w:num>
  <w:num w:numId="6">
    <w:abstractNumId w:val="4"/>
  </w:num>
  <w:num w:numId="7">
    <w:abstractNumId w:val="6"/>
  </w:num>
  <w:num w:numId="8">
    <w:abstractNumId w:val="9"/>
  </w:num>
  <w:num w:numId="9">
    <w:abstractNumId w:val="8"/>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0C0"/>
    <w:rsid w:val="00002DD1"/>
    <w:rsid w:val="00003C8E"/>
    <w:rsid w:val="00011367"/>
    <w:rsid w:val="00014E90"/>
    <w:rsid w:val="0001565B"/>
    <w:rsid w:val="00023D40"/>
    <w:rsid w:val="0002430C"/>
    <w:rsid w:val="0002694A"/>
    <w:rsid w:val="00040091"/>
    <w:rsid w:val="00052FFA"/>
    <w:rsid w:val="00065460"/>
    <w:rsid w:val="00077EAA"/>
    <w:rsid w:val="00087A8F"/>
    <w:rsid w:val="000928AE"/>
    <w:rsid w:val="000960D8"/>
    <w:rsid w:val="000A1EE4"/>
    <w:rsid w:val="000B4AEC"/>
    <w:rsid w:val="000C042F"/>
    <w:rsid w:val="000E0271"/>
    <w:rsid w:val="000E0358"/>
    <w:rsid w:val="000E066F"/>
    <w:rsid w:val="000E4347"/>
    <w:rsid w:val="000E5EFC"/>
    <w:rsid w:val="000E6E57"/>
    <w:rsid w:val="000F14FF"/>
    <w:rsid w:val="000F242E"/>
    <w:rsid w:val="000F4570"/>
    <w:rsid w:val="00103E81"/>
    <w:rsid w:val="00104379"/>
    <w:rsid w:val="00106BAF"/>
    <w:rsid w:val="00113B44"/>
    <w:rsid w:val="00124285"/>
    <w:rsid w:val="00125279"/>
    <w:rsid w:val="00132A14"/>
    <w:rsid w:val="00141929"/>
    <w:rsid w:val="00151938"/>
    <w:rsid w:val="00157317"/>
    <w:rsid w:val="00167CD4"/>
    <w:rsid w:val="00176386"/>
    <w:rsid w:val="0018360B"/>
    <w:rsid w:val="00184A51"/>
    <w:rsid w:val="0018529E"/>
    <w:rsid w:val="001916AE"/>
    <w:rsid w:val="00192F3C"/>
    <w:rsid w:val="00195170"/>
    <w:rsid w:val="00197F12"/>
    <w:rsid w:val="001A1647"/>
    <w:rsid w:val="001A2295"/>
    <w:rsid w:val="001A4BCC"/>
    <w:rsid w:val="001B2C68"/>
    <w:rsid w:val="001C7538"/>
    <w:rsid w:val="001D11E6"/>
    <w:rsid w:val="001D1F16"/>
    <w:rsid w:val="001D61A7"/>
    <w:rsid w:val="001E50C0"/>
    <w:rsid w:val="001F2707"/>
    <w:rsid w:val="00206C59"/>
    <w:rsid w:val="00222B4B"/>
    <w:rsid w:val="002231B1"/>
    <w:rsid w:val="002258CF"/>
    <w:rsid w:val="002327E1"/>
    <w:rsid w:val="00242B49"/>
    <w:rsid w:val="00247E15"/>
    <w:rsid w:val="002556BD"/>
    <w:rsid w:val="00256E82"/>
    <w:rsid w:val="00263505"/>
    <w:rsid w:val="002640D6"/>
    <w:rsid w:val="00266CFB"/>
    <w:rsid w:val="00283552"/>
    <w:rsid w:val="00294DBC"/>
    <w:rsid w:val="002A2653"/>
    <w:rsid w:val="002B2A3F"/>
    <w:rsid w:val="002B4F21"/>
    <w:rsid w:val="002B5A48"/>
    <w:rsid w:val="002C3924"/>
    <w:rsid w:val="002E2DD5"/>
    <w:rsid w:val="002E3D98"/>
    <w:rsid w:val="002E5035"/>
    <w:rsid w:val="002E6517"/>
    <w:rsid w:val="002F0BA9"/>
    <w:rsid w:val="002F0E9E"/>
    <w:rsid w:val="00303A1C"/>
    <w:rsid w:val="00304D0B"/>
    <w:rsid w:val="0031049B"/>
    <w:rsid w:val="00322167"/>
    <w:rsid w:val="003306E2"/>
    <w:rsid w:val="00330E55"/>
    <w:rsid w:val="003405C6"/>
    <w:rsid w:val="0036433F"/>
    <w:rsid w:val="00373F1F"/>
    <w:rsid w:val="00385D95"/>
    <w:rsid w:val="00395C2B"/>
    <w:rsid w:val="003977BC"/>
    <w:rsid w:val="003A0206"/>
    <w:rsid w:val="003A4614"/>
    <w:rsid w:val="003B02C6"/>
    <w:rsid w:val="003B0A1F"/>
    <w:rsid w:val="003B19AD"/>
    <w:rsid w:val="003B57B5"/>
    <w:rsid w:val="003B669A"/>
    <w:rsid w:val="003B7765"/>
    <w:rsid w:val="003C466A"/>
    <w:rsid w:val="003C6474"/>
    <w:rsid w:val="003C6EDF"/>
    <w:rsid w:val="003C71A9"/>
    <w:rsid w:val="003C7DF7"/>
    <w:rsid w:val="003D4E11"/>
    <w:rsid w:val="003D7B93"/>
    <w:rsid w:val="003F4ACF"/>
    <w:rsid w:val="00402749"/>
    <w:rsid w:val="00405E03"/>
    <w:rsid w:val="00410AC8"/>
    <w:rsid w:val="0041359C"/>
    <w:rsid w:val="00415E3E"/>
    <w:rsid w:val="00423699"/>
    <w:rsid w:val="00427468"/>
    <w:rsid w:val="00427EE8"/>
    <w:rsid w:val="0043051F"/>
    <w:rsid w:val="004331B6"/>
    <w:rsid w:val="00433912"/>
    <w:rsid w:val="00435439"/>
    <w:rsid w:val="0045131F"/>
    <w:rsid w:val="00457DAB"/>
    <w:rsid w:val="00463147"/>
    <w:rsid w:val="004845A0"/>
    <w:rsid w:val="00494512"/>
    <w:rsid w:val="00496C35"/>
    <w:rsid w:val="004A311D"/>
    <w:rsid w:val="004C28EF"/>
    <w:rsid w:val="004C6294"/>
    <w:rsid w:val="004D4C82"/>
    <w:rsid w:val="004D7EC2"/>
    <w:rsid w:val="004E0D60"/>
    <w:rsid w:val="004E102D"/>
    <w:rsid w:val="004F2772"/>
    <w:rsid w:val="004F2D3C"/>
    <w:rsid w:val="0050083E"/>
    <w:rsid w:val="00516647"/>
    <w:rsid w:val="00526853"/>
    <w:rsid w:val="0053019E"/>
    <w:rsid w:val="00537150"/>
    <w:rsid w:val="0055107B"/>
    <w:rsid w:val="00552D10"/>
    <w:rsid w:val="00554CAF"/>
    <w:rsid w:val="0057785D"/>
    <w:rsid w:val="00580994"/>
    <w:rsid w:val="00581A80"/>
    <w:rsid w:val="005A60B1"/>
    <w:rsid w:val="005B6A35"/>
    <w:rsid w:val="005D1D26"/>
    <w:rsid w:val="005E4B9F"/>
    <w:rsid w:val="005E5CD5"/>
    <w:rsid w:val="005E62D3"/>
    <w:rsid w:val="005F001D"/>
    <w:rsid w:val="005F6697"/>
    <w:rsid w:val="0060736F"/>
    <w:rsid w:val="00613E22"/>
    <w:rsid w:val="00613F32"/>
    <w:rsid w:val="0061536E"/>
    <w:rsid w:val="006248F0"/>
    <w:rsid w:val="00643A2A"/>
    <w:rsid w:val="00650F28"/>
    <w:rsid w:val="00657919"/>
    <w:rsid w:val="00657AD5"/>
    <w:rsid w:val="00657D6C"/>
    <w:rsid w:val="00671930"/>
    <w:rsid w:val="00675894"/>
    <w:rsid w:val="006779B9"/>
    <w:rsid w:val="00680324"/>
    <w:rsid w:val="00681FE6"/>
    <w:rsid w:val="006A01EF"/>
    <w:rsid w:val="006C0D79"/>
    <w:rsid w:val="006C62E0"/>
    <w:rsid w:val="006D108C"/>
    <w:rsid w:val="006D2E58"/>
    <w:rsid w:val="006D4981"/>
    <w:rsid w:val="006D5A61"/>
    <w:rsid w:val="006F2BF5"/>
    <w:rsid w:val="006F446C"/>
    <w:rsid w:val="00720CD3"/>
    <w:rsid w:val="0072167A"/>
    <w:rsid w:val="00724AEF"/>
    <w:rsid w:val="00734F92"/>
    <w:rsid w:val="00743678"/>
    <w:rsid w:val="0074463B"/>
    <w:rsid w:val="007459D9"/>
    <w:rsid w:val="007470C7"/>
    <w:rsid w:val="00752166"/>
    <w:rsid w:val="007554B7"/>
    <w:rsid w:val="00775834"/>
    <w:rsid w:val="00775ABD"/>
    <w:rsid w:val="00786ED9"/>
    <w:rsid w:val="00797D55"/>
    <w:rsid w:val="007A2EB9"/>
    <w:rsid w:val="007B514E"/>
    <w:rsid w:val="007B6AEC"/>
    <w:rsid w:val="007C1712"/>
    <w:rsid w:val="007C61F0"/>
    <w:rsid w:val="007D7C2E"/>
    <w:rsid w:val="007D7F1C"/>
    <w:rsid w:val="007E0F3C"/>
    <w:rsid w:val="007F4DEA"/>
    <w:rsid w:val="00810A25"/>
    <w:rsid w:val="0081251D"/>
    <w:rsid w:val="00813B31"/>
    <w:rsid w:val="00815983"/>
    <w:rsid w:val="00826340"/>
    <w:rsid w:val="00832828"/>
    <w:rsid w:val="00835F6B"/>
    <w:rsid w:val="0084093E"/>
    <w:rsid w:val="0084221F"/>
    <w:rsid w:val="00853E74"/>
    <w:rsid w:val="00866AB3"/>
    <w:rsid w:val="008809CB"/>
    <w:rsid w:val="008A0BF6"/>
    <w:rsid w:val="008A332C"/>
    <w:rsid w:val="008B7228"/>
    <w:rsid w:val="008B7B27"/>
    <w:rsid w:val="008B7BA0"/>
    <w:rsid w:val="008C365B"/>
    <w:rsid w:val="008D66DE"/>
    <w:rsid w:val="008E1884"/>
    <w:rsid w:val="008E365C"/>
    <w:rsid w:val="008F386E"/>
    <w:rsid w:val="008F5D8D"/>
    <w:rsid w:val="008F76A5"/>
    <w:rsid w:val="00900279"/>
    <w:rsid w:val="0090550A"/>
    <w:rsid w:val="00916B10"/>
    <w:rsid w:val="00921695"/>
    <w:rsid w:val="009221CF"/>
    <w:rsid w:val="00923990"/>
    <w:rsid w:val="00932A47"/>
    <w:rsid w:val="00940F33"/>
    <w:rsid w:val="00942147"/>
    <w:rsid w:val="009500D6"/>
    <w:rsid w:val="0095076A"/>
    <w:rsid w:val="00952809"/>
    <w:rsid w:val="009576D0"/>
    <w:rsid w:val="00961EE1"/>
    <w:rsid w:val="00975998"/>
    <w:rsid w:val="00987C97"/>
    <w:rsid w:val="00990F96"/>
    <w:rsid w:val="00991B94"/>
    <w:rsid w:val="00994AF6"/>
    <w:rsid w:val="00995045"/>
    <w:rsid w:val="00996F5C"/>
    <w:rsid w:val="009A0529"/>
    <w:rsid w:val="009A4724"/>
    <w:rsid w:val="009A6539"/>
    <w:rsid w:val="009A6A65"/>
    <w:rsid w:val="009B1E10"/>
    <w:rsid w:val="009B7567"/>
    <w:rsid w:val="009D0B21"/>
    <w:rsid w:val="009D1E44"/>
    <w:rsid w:val="009D4481"/>
    <w:rsid w:val="009F63F3"/>
    <w:rsid w:val="009F7F60"/>
    <w:rsid w:val="00A013D6"/>
    <w:rsid w:val="00A122F0"/>
    <w:rsid w:val="00A1694A"/>
    <w:rsid w:val="00A22191"/>
    <w:rsid w:val="00A27457"/>
    <w:rsid w:val="00A35AAA"/>
    <w:rsid w:val="00A365F9"/>
    <w:rsid w:val="00A50D1D"/>
    <w:rsid w:val="00A56D74"/>
    <w:rsid w:val="00A60186"/>
    <w:rsid w:val="00A61DBA"/>
    <w:rsid w:val="00A6280C"/>
    <w:rsid w:val="00A6788F"/>
    <w:rsid w:val="00A74BFE"/>
    <w:rsid w:val="00A77FB2"/>
    <w:rsid w:val="00A81A4D"/>
    <w:rsid w:val="00A96587"/>
    <w:rsid w:val="00AA62BB"/>
    <w:rsid w:val="00AB1959"/>
    <w:rsid w:val="00AB4385"/>
    <w:rsid w:val="00AB5B5C"/>
    <w:rsid w:val="00AB775D"/>
    <w:rsid w:val="00AC5C85"/>
    <w:rsid w:val="00AD08FA"/>
    <w:rsid w:val="00AD540F"/>
    <w:rsid w:val="00AF2CEB"/>
    <w:rsid w:val="00AF6E47"/>
    <w:rsid w:val="00AF7692"/>
    <w:rsid w:val="00B003B7"/>
    <w:rsid w:val="00B0352B"/>
    <w:rsid w:val="00B05643"/>
    <w:rsid w:val="00B061E3"/>
    <w:rsid w:val="00B25089"/>
    <w:rsid w:val="00B26052"/>
    <w:rsid w:val="00B33797"/>
    <w:rsid w:val="00B475DF"/>
    <w:rsid w:val="00B52E57"/>
    <w:rsid w:val="00B53ABA"/>
    <w:rsid w:val="00B55E1C"/>
    <w:rsid w:val="00B65EC4"/>
    <w:rsid w:val="00B66219"/>
    <w:rsid w:val="00B66576"/>
    <w:rsid w:val="00B66927"/>
    <w:rsid w:val="00B70BDD"/>
    <w:rsid w:val="00B81DBB"/>
    <w:rsid w:val="00B84F7E"/>
    <w:rsid w:val="00B85A3A"/>
    <w:rsid w:val="00BA5ACA"/>
    <w:rsid w:val="00BA7413"/>
    <w:rsid w:val="00BB417B"/>
    <w:rsid w:val="00BC2C5B"/>
    <w:rsid w:val="00BE3197"/>
    <w:rsid w:val="00BE3D51"/>
    <w:rsid w:val="00BF62E2"/>
    <w:rsid w:val="00C0083F"/>
    <w:rsid w:val="00C02CB9"/>
    <w:rsid w:val="00C04AA2"/>
    <w:rsid w:val="00C0710D"/>
    <w:rsid w:val="00C125EC"/>
    <w:rsid w:val="00C132E7"/>
    <w:rsid w:val="00C14BD9"/>
    <w:rsid w:val="00C16D17"/>
    <w:rsid w:val="00C4139F"/>
    <w:rsid w:val="00C5430D"/>
    <w:rsid w:val="00C57915"/>
    <w:rsid w:val="00C65EE1"/>
    <w:rsid w:val="00C80A73"/>
    <w:rsid w:val="00C910C6"/>
    <w:rsid w:val="00C91A12"/>
    <w:rsid w:val="00CA3CD6"/>
    <w:rsid w:val="00CA77FD"/>
    <w:rsid w:val="00CB2404"/>
    <w:rsid w:val="00CB2F81"/>
    <w:rsid w:val="00CB44B1"/>
    <w:rsid w:val="00CC122E"/>
    <w:rsid w:val="00CC39FE"/>
    <w:rsid w:val="00CC3F46"/>
    <w:rsid w:val="00CC418B"/>
    <w:rsid w:val="00CC7149"/>
    <w:rsid w:val="00CD44C9"/>
    <w:rsid w:val="00CF3A45"/>
    <w:rsid w:val="00D16AC1"/>
    <w:rsid w:val="00D24673"/>
    <w:rsid w:val="00D24EFD"/>
    <w:rsid w:val="00D3524E"/>
    <w:rsid w:val="00D36BFF"/>
    <w:rsid w:val="00D573A6"/>
    <w:rsid w:val="00D642B9"/>
    <w:rsid w:val="00D718EC"/>
    <w:rsid w:val="00D7313E"/>
    <w:rsid w:val="00D75B84"/>
    <w:rsid w:val="00D83799"/>
    <w:rsid w:val="00DA31F6"/>
    <w:rsid w:val="00DA3D97"/>
    <w:rsid w:val="00DB28D0"/>
    <w:rsid w:val="00DB678B"/>
    <w:rsid w:val="00DD306C"/>
    <w:rsid w:val="00DD7790"/>
    <w:rsid w:val="00DE62EF"/>
    <w:rsid w:val="00DF14FF"/>
    <w:rsid w:val="00DF1CAA"/>
    <w:rsid w:val="00E00275"/>
    <w:rsid w:val="00E10844"/>
    <w:rsid w:val="00E1332E"/>
    <w:rsid w:val="00E1672D"/>
    <w:rsid w:val="00E239B8"/>
    <w:rsid w:val="00E44E47"/>
    <w:rsid w:val="00E46E8B"/>
    <w:rsid w:val="00E5507A"/>
    <w:rsid w:val="00E64C22"/>
    <w:rsid w:val="00E726F4"/>
    <w:rsid w:val="00E74783"/>
    <w:rsid w:val="00E83774"/>
    <w:rsid w:val="00E8789E"/>
    <w:rsid w:val="00E92E3F"/>
    <w:rsid w:val="00EA3615"/>
    <w:rsid w:val="00EA3719"/>
    <w:rsid w:val="00EC110A"/>
    <w:rsid w:val="00EC4B6A"/>
    <w:rsid w:val="00ED1D0D"/>
    <w:rsid w:val="00ED555D"/>
    <w:rsid w:val="00EE1099"/>
    <w:rsid w:val="00EE600F"/>
    <w:rsid w:val="00EF0B3A"/>
    <w:rsid w:val="00EF1C96"/>
    <w:rsid w:val="00EF3118"/>
    <w:rsid w:val="00F0196D"/>
    <w:rsid w:val="00F11623"/>
    <w:rsid w:val="00F25C2C"/>
    <w:rsid w:val="00F3428D"/>
    <w:rsid w:val="00F46B02"/>
    <w:rsid w:val="00F552CA"/>
    <w:rsid w:val="00F55E41"/>
    <w:rsid w:val="00F60A55"/>
    <w:rsid w:val="00F61F82"/>
    <w:rsid w:val="00F77A91"/>
    <w:rsid w:val="00F817B7"/>
    <w:rsid w:val="00F8365D"/>
    <w:rsid w:val="00F9566E"/>
    <w:rsid w:val="00FA419B"/>
    <w:rsid w:val="00FA45B2"/>
    <w:rsid w:val="00FB529C"/>
    <w:rsid w:val="00FB7FD3"/>
    <w:rsid w:val="00FC006C"/>
    <w:rsid w:val="00FD3463"/>
    <w:rsid w:val="00FD360A"/>
    <w:rsid w:val="00FD7160"/>
    <w:rsid w:val="00FE2C3A"/>
    <w:rsid w:val="00FF42CE"/>
    <w:rsid w:val="00FF55FE"/>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BE8A4"/>
  <w15:docId w15:val="{73DACBD9-7815-47DE-876E-65618766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Bekezdés"/>
    <w:rsid w:val="00AD08FA"/>
    <w:pPr>
      <w:spacing w:after="120"/>
      <w:jc w:val="both"/>
    </w:pPr>
  </w:style>
  <w:style w:type="paragraph" w:styleId="Cmsor1">
    <w:name w:val="heading 1"/>
    <w:basedOn w:val="Norml"/>
    <w:next w:val="Norml"/>
    <w:link w:val="Cmsor1Char"/>
    <w:uiPriority w:val="9"/>
    <w:rsid w:val="00AD08FA"/>
    <w:pPr>
      <w:keepNext/>
      <w:keepLines/>
      <w:numPr>
        <w:numId w:val="1"/>
      </w:numPr>
      <w:spacing w:after="240"/>
      <w:outlineLvl w:val="0"/>
    </w:pPr>
    <w:rPr>
      <w:rFonts w:asciiTheme="majorHAnsi" w:eastAsiaTheme="majorEastAsia" w:hAnsiTheme="majorHAnsi" w:cstheme="majorBidi"/>
      <w:b/>
      <w:bCs/>
      <w:color w:val="000000" w:themeColor="text2" w:themeShade="BF"/>
      <w:sz w:val="32"/>
      <w:szCs w:val="28"/>
    </w:rPr>
  </w:style>
  <w:style w:type="paragraph" w:styleId="Cmsor2">
    <w:name w:val="heading 2"/>
    <w:basedOn w:val="Norml"/>
    <w:next w:val="Norml"/>
    <w:link w:val="Cmsor2Char"/>
    <w:uiPriority w:val="9"/>
    <w:semiHidden/>
    <w:unhideWhenUsed/>
    <w:rsid w:val="00AD08FA"/>
    <w:pPr>
      <w:keepNext/>
      <w:keepLines/>
      <w:numPr>
        <w:ilvl w:val="1"/>
        <w:numId w:val="1"/>
      </w:numPr>
      <w:spacing w:after="240"/>
      <w:outlineLvl w:val="1"/>
    </w:pPr>
    <w:rPr>
      <w:rFonts w:asciiTheme="majorHAnsi" w:eastAsiaTheme="majorEastAsia" w:hAnsiTheme="majorHAnsi" w:cstheme="majorBidi"/>
      <w:b/>
      <w:bCs/>
      <w:color w:val="666666" w:themeColor="text2" w:themeTint="99"/>
      <w:sz w:val="28"/>
      <w:szCs w:val="26"/>
    </w:rPr>
  </w:style>
  <w:style w:type="paragraph" w:styleId="Cmsor3">
    <w:name w:val="heading 3"/>
    <w:basedOn w:val="Norml"/>
    <w:next w:val="Norml"/>
    <w:link w:val="Cmsor3Char"/>
    <w:uiPriority w:val="9"/>
    <w:semiHidden/>
    <w:unhideWhenUsed/>
    <w:qFormat/>
    <w:rsid w:val="00AD08FA"/>
    <w:pPr>
      <w:keepNext/>
      <w:keepLines/>
      <w:numPr>
        <w:ilvl w:val="2"/>
        <w:numId w:val="1"/>
      </w:numPr>
      <w:spacing w:after="240"/>
      <w:outlineLvl w:val="2"/>
    </w:pPr>
    <w:rPr>
      <w:rFonts w:asciiTheme="majorHAnsi" w:eastAsiaTheme="majorEastAsia" w:hAnsiTheme="majorHAnsi" w:cstheme="majorBidi"/>
      <w:b/>
      <w:bCs/>
      <w:color w:val="999999" w:themeColor="text2" w:themeTint="66"/>
      <w:sz w:val="24"/>
    </w:rPr>
  </w:style>
  <w:style w:type="paragraph" w:styleId="Cmsor4">
    <w:name w:val="heading 4"/>
    <w:basedOn w:val="Norml"/>
    <w:next w:val="Norml"/>
    <w:link w:val="Cmsor4Char"/>
    <w:uiPriority w:val="9"/>
    <w:semiHidden/>
    <w:unhideWhenUsed/>
    <w:qFormat/>
    <w:rsid w:val="00AD08FA"/>
    <w:pPr>
      <w:keepNext/>
      <w:keepLines/>
      <w:numPr>
        <w:ilvl w:val="3"/>
        <w:numId w:val="1"/>
      </w:numPr>
      <w:outlineLvl w:val="3"/>
    </w:pPr>
    <w:rPr>
      <w:rFonts w:asciiTheme="majorHAnsi" w:eastAsiaTheme="majorEastAsia" w:hAnsiTheme="majorHAnsi" w:cstheme="majorBidi"/>
      <w:b/>
      <w:bCs/>
      <w:iCs/>
      <w:color w:val="CCCCCC" w:themeColor="text2" w:themeTint="33"/>
    </w:rPr>
  </w:style>
  <w:style w:type="paragraph" w:styleId="Cmsor5">
    <w:name w:val="heading 5"/>
    <w:basedOn w:val="Norml"/>
    <w:next w:val="Norml"/>
    <w:link w:val="Cmsor5Char"/>
    <w:uiPriority w:val="9"/>
    <w:semiHidden/>
    <w:unhideWhenUsed/>
    <w:rsid w:val="007D7C2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rsid w:val="00AD08F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AD08F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AD08F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iPriority w:val="9"/>
    <w:semiHidden/>
    <w:unhideWhenUsed/>
    <w:qFormat/>
    <w:rsid w:val="00AD08F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D08FA"/>
    <w:rPr>
      <w:rFonts w:asciiTheme="majorHAnsi" w:eastAsiaTheme="majorEastAsia" w:hAnsiTheme="majorHAnsi" w:cstheme="majorBidi"/>
      <w:b/>
      <w:bCs/>
      <w:color w:val="000000" w:themeColor="text2" w:themeShade="BF"/>
      <w:sz w:val="32"/>
      <w:szCs w:val="28"/>
    </w:rPr>
  </w:style>
  <w:style w:type="paragraph" w:styleId="Tartalomjegyzkcmsora">
    <w:name w:val="TOC Heading"/>
    <w:basedOn w:val="Cmsor1"/>
    <w:next w:val="Norml"/>
    <w:link w:val="TartalomjegyzkcmsoraChar"/>
    <w:uiPriority w:val="39"/>
    <w:unhideWhenUsed/>
    <w:rsid w:val="00AD08FA"/>
    <w:pPr>
      <w:numPr>
        <w:numId w:val="0"/>
      </w:numPr>
      <w:outlineLvl w:val="9"/>
    </w:pPr>
  </w:style>
  <w:style w:type="paragraph" w:styleId="lfej">
    <w:name w:val="header"/>
    <w:basedOn w:val="Norml"/>
    <w:link w:val="lfejChar"/>
    <w:uiPriority w:val="99"/>
    <w:unhideWhenUsed/>
    <w:rsid w:val="006F446C"/>
    <w:pPr>
      <w:tabs>
        <w:tab w:val="center" w:pos="4536"/>
        <w:tab w:val="right" w:pos="9072"/>
      </w:tabs>
      <w:spacing w:after="0" w:line="240" w:lineRule="auto"/>
    </w:pPr>
  </w:style>
  <w:style w:type="paragraph" w:styleId="Listaszerbekezds">
    <w:name w:val="List Paragraph"/>
    <w:basedOn w:val="Norml"/>
    <w:link w:val="ListaszerbekezdsChar"/>
    <w:uiPriority w:val="34"/>
    <w:rsid w:val="00CA3CD6"/>
    <w:pPr>
      <w:ind w:left="720"/>
      <w:contextualSpacing/>
    </w:pPr>
  </w:style>
  <w:style w:type="character" w:customStyle="1" w:styleId="lfejChar">
    <w:name w:val="Élőfej Char"/>
    <w:basedOn w:val="Bekezdsalapbettpusa"/>
    <w:link w:val="lfej"/>
    <w:uiPriority w:val="99"/>
    <w:rsid w:val="006F446C"/>
  </w:style>
  <w:style w:type="paragraph" w:styleId="llb">
    <w:name w:val="footer"/>
    <w:basedOn w:val="Norml"/>
    <w:link w:val="llbChar"/>
    <w:uiPriority w:val="99"/>
    <w:unhideWhenUsed/>
    <w:rsid w:val="006F446C"/>
    <w:pPr>
      <w:tabs>
        <w:tab w:val="center" w:pos="4536"/>
        <w:tab w:val="right" w:pos="9072"/>
      </w:tabs>
      <w:spacing w:after="0" w:line="240" w:lineRule="auto"/>
    </w:pPr>
  </w:style>
  <w:style w:type="character" w:customStyle="1" w:styleId="llbChar">
    <w:name w:val="Élőláb Char"/>
    <w:basedOn w:val="Bekezdsalapbettpusa"/>
    <w:link w:val="llb"/>
    <w:uiPriority w:val="99"/>
    <w:rsid w:val="006F446C"/>
  </w:style>
  <w:style w:type="paragraph" w:customStyle="1" w:styleId="Cmnmhh">
    <w:name w:val="Cím_nmhh"/>
    <w:basedOn w:val="Cm"/>
    <w:qFormat/>
    <w:rsid w:val="00BB417B"/>
    <w:pPr>
      <w:pBdr>
        <w:bottom w:val="none" w:sz="0" w:space="0" w:color="auto"/>
      </w:pBdr>
      <w:spacing w:after="480" w:line="720" w:lineRule="exact"/>
      <w:ind w:left="890"/>
      <w:contextualSpacing w:val="0"/>
      <w:jc w:val="left"/>
    </w:pPr>
    <w:rPr>
      <w:b/>
      <w:color w:val="911E6C"/>
      <w:sz w:val="60"/>
    </w:rPr>
  </w:style>
  <w:style w:type="paragraph" w:customStyle="1" w:styleId="Osztlynmhh">
    <w:name w:val="Osztály_nmhh"/>
    <w:basedOn w:val="Norml"/>
    <w:next w:val="Norml"/>
    <w:qFormat/>
    <w:rsid w:val="00BB417B"/>
    <w:pPr>
      <w:spacing w:after="0"/>
      <w:ind w:left="890"/>
      <w:jc w:val="left"/>
    </w:pPr>
    <w:rPr>
      <w:caps/>
      <w:color w:val="465155"/>
      <w:sz w:val="36"/>
    </w:rPr>
  </w:style>
  <w:style w:type="paragraph" w:styleId="Cm">
    <w:name w:val="Title"/>
    <w:basedOn w:val="Norml"/>
    <w:next w:val="Norml"/>
    <w:link w:val="CmChar"/>
    <w:uiPriority w:val="10"/>
    <w:rsid w:val="00A81A4D"/>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CmChar">
    <w:name w:val="Cím Char"/>
    <w:basedOn w:val="Bekezdsalapbettpusa"/>
    <w:link w:val="Cm"/>
    <w:uiPriority w:val="10"/>
    <w:rsid w:val="00A81A4D"/>
    <w:rPr>
      <w:rFonts w:asciiTheme="majorHAnsi" w:eastAsiaTheme="majorEastAsia" w:hAnsiTheme="majorHAnsi" w:cstheme="majorBidi"/>
      <w:color w:val="000000" w:themeColor="text2" w:themeShade="BF"/>
      <w:spacing w:val="5"/>
      <w:kern w:val="28"/>
      <w:sz w:val="52"/>
      <w:szCs w:val="52"/>
    </w:rPr>
  </w:style>
  <w:style w:type="paragraph" w:customStyle="1" w:styleId="Bortlapegybnmhh">
    <w:name w:val="Borítólap egyéb_nmhh"/>
    <w:basedOn w:val="Norml"/>
    <w:link w:val="BortlapegybnmhhChar"/>
    <w:qFormat/>
    <w:rsid w:val="00184A51"/>
    <w:pPr>
      <w:spacing w:after="0"/>
      <w:ind w:left="890"/>
      <w:jc w:val="left"/>
    </w:pPr>
    <w:rPr>
      <w:color w:val="4C5256"/>
      <w:sz w:val="30"/>
    </w:rPr>
  </w:style>
  <w:style w:type="paragraph" w:customStyle="1" w:styleId="Tartalomjegyzkcmsoranmhh">
    <w:name w:val="Tartalomjegyzék_címsora_nmhh"/>
    <w:basedOn w:val="Tartalomjegyzkcmsora"/>
    <w:link w:val="TartalomjegyzkcmsoranmhhChar"/>
    <w:qFormat/>
    <w:rsid w:val="00087A8F"/>
    <w:rPr>
      <w:sz w:val="36"/>
    </w:rPr>
  </w:style>
  <w:style w:type="character" w:customStyle="1" w:styleId="BortlapegybnmhhChar">
    <w:name w:val="Borítólap egyéb_nmhh Char"/>
    <w:basedOn w:val="Bekezdsalapbettpusa"/>
    <w:link w:val="Bortlapegybnmhh"/>
    <w:rsid w:val="00184A51"/>
    <w:rPr>
      <w:color w:val="4C5256"/>
      <w:sz w:val="30"/>
    </w:rPr>
  </w:style>
  <w:style w:type="paragraph" w:customStyle="1" w:styleId="Bekezdsnmhh">
    <w:name w:val="Bekezdés_nmhh"/>
    <w:basedOn w:val="Norml"/>
    <w:link w:val="BekezdsnmhhChar"/>
    <w:qFormat/>
    <w:rsid w:val="00DA31F6"/>
    <w:rPr>
      <w:sz w:val="20"/>
      <w:szCs w:val="20"/>
    </w:rPr>
  </w:style>
  <w:style w:type="character" w:customStyle="1" w:styleId="TartalomjegyzkcmsoraChar">
    <w:name w:val="Tartalomjegyzék címsora Char"/>
    <w:basedOn w:val="Cmsor1Char"/>
    <w:link w:val="Tartalomjegyzkcmsora"/>
    <w:uiPriority w:val="39"/>
    <w:rsid w:val="00087A8F"/>
    <w:rPr>
      <w:rFonts w:asciiTheme="majorHAnsi" w:eastAsiaTheme="majorEastAsia" w:hAnsiTheme="majorHAnsi" w:cstheme="majorBidi"/>
      <w:b/>
      <w:bCs/>
      <w:color w:val="000000" w:themeColor="text2" w:themeShade="BF"/>
      <w:sz w:val="32"/>
      <w:szCs w:val="28"/>
    </w:rPr>
  </w:style>
  <w:style w:type="character" w:customStyle="1" w:styleId="TartalomjegyzkcmsoranmhhChar">
    <w:name w:val="Tartalomjegyzék_címsora_nmhh Char"/>
    <w:basedOn w:val="TartalomjegyzkcmsoraChar"/>
    <w:link w:val="Tartalomjegyzkcmsoranmhh"/>
    <w:rsid w:val="00087A8F"/>
    <w:rPr>
      <w:rFonts w:asciiTheme="majorHAnsi" w:eastAsiaTheme="majorEastAsia" w:hAnsiTheme="majorHAnsi" w:cstheme="majorBidi"/>
      <w:b/>
      <w:bCs/>
      <w:color w:val="000000" w:themeColor="text2" w:themeShade="BF"/>
      <w:sz w:val="36"/>
      <w:szCs w:val="28"/>
    </w:rPr>
  </w:style>
  <w:style w:type="paragraph" w:customStyle="1" w:styleId="Behzottbekezdsnmhh">
    <w:name w:val="Behúzott_bekezdés_nmhh"/>
    <w:basedOn w:val="Norml"/>
    <w:link w:val="BehzottbekezdsnmhhChar"/>
    <w:qFormat/>
    <w:rsid w:val="00CB2F81"/>
    <w:pPr>
      <w:ind w:firstLine="357"/>
    </w:pPr>
    <w:rPr>
      <w:sz w:val="20"/>
      <w:szCs w:val="20"/>
    </w:rPr>
  </w:style>
  <w:style w:type="character" w:customStyle="1" w:styleId="BekezdsnmhhChar">
    <w:name w:val="Bekezdés_nmhh Char"/>
    <w:basedOn w:val="Bekezdsalapbettpusa"/>
    <w:link w:val="Bekezdsnmhh"/>
    <w:rsid w:val="00DA31F6"/>
    <w:rPr>
      <w:sz w:val="20"/>
      <w:szCs w:val="20"/>
    </w:rPr>
  </w:style>
  <w:style w:type="paragraph" w:customStyle="1" w:styleId="Felsorolsbekezdsnmhh">
    <w:name w:val="Felsorolás_bekezdés_nmhh"/>
    <w:basedOn w:val="Norml"/>
    <w:qFormat/>
    <w:rsid w:val="00CB2F81"/>
    <w:pPr>
      <w:ind w:left="709"/>
    </w:pPr>
    <w:rPr>
      <w:sz w:val="20"/>
      <w:szCs w:val="20"/>
    </w:rPr>
  </w:style>
  <w:style w:type="character" w:customStyle="1" w:styleId="BehzottbekezdsnmhhChar">
    <w:name w:val="Behúzott_bekezdés_nmhh Char"/>
    <w:basedOn w:val="Bekezdsalapbettpusa"/>
    <w:link w:val="Behzottbekezdsnmhh"/>
    <w:rsid w:val="00CB2F81"/>
    <w:rPr>
      <w:sz w:val="20"/>
      <w:szCs w:val="20"/>
    </w:rPr>
  </w:style>
  <w:style w:type="paragraph" w:customStyle="1" w:styleId="Felsorolsnmhh">
    <w:name w:val="Felsorolás_nmhh"/>
    <w:basedOn w:val="Listaszerbekezds"/>
    <w:link w:val="FelsorolsnmhhChar"/>
    <w:qFormat/>
    <w:rsid w:val="00CB2F81"/>
    <w:pPr>
      <w:numPr>
        <w:numId w:val="2"/>
      </w:numPr>
      <w:ind w:left="714" w:hanging="357"/>
    </w:pPr>
    <w:rPr>
      <w:b/>
      <w:sz w:val="20"/>
      <w:szCs w:val="20"/>
    </w:rPr>
  </w:style>
  <w:style w:type="paragraph" w:customStyle="1" w:styleId="Felsorols1nmhh">
    <w:name w:val="Felsorolás1_nmhh"/>
    <w:basedOn w:val="Listaszerbekezds"/>
    <w:link w:val="Felsorols1nmhhChar"/>
    <w:qFormat/>
    <w:rsid w:val="002B2A3F"/>
    <w:pPr>
      <w:numPr>
        <w:numId w:val="4"/>
      </w:numPr>
      <w:ind w:left="357" w:hanging="357"/>
      <w:contextualSpacing w:val="0"/>
    </w:pPr>
    <w:rPr>
      <w:b/>
      <w:sz w:val="20"/>
      <w:szCs w:val="20"/>
    </w:rPr>
  </w:style>
  <w:style w:type="character" w:customStyle="1" w:styleId="ListaszerbekezdsChar">
    <w:name w:val="Listaszerű bekezdés Char"/>
    <w:basedOn w:val="Bekezdsalapbettpusa"/>
    <w:link w:val="Listaszerbekezds"/>
    <w:uiPriority w:val="34"/>
    <w:rsid w:val="00CB2F81"/>
  </w:style>
  <w:style w:type="character" w:customStyle="1" w:styleId="FelsorolsnmhhChar">
    <w:name w:val="Felsorolás_nmhh Char"/>
    <w:basedOn w:val="ListaszerbekezdsChar"/>
    <w:link w:val="Felsorolsnmhh"/>
    <w:rsid w:val="00CB2F81"/>
    <w:rPr>
      <w:b/>
      <w:sz w:val="20"/>
      <w:szCs w:val="20"/>
    </w:rPr>
  </w:style>
  <w:style w:type="character" w:customStyle="1" w:styleId="Cmsor5Char">
    <w:name w:val="Címsor 5 Char"/>
    <w:basedOn w:val="Bekezdsalapbettpusa"/>
    <w:link w:val="Cmsor5"/>
    <w:uiPriority w:val="9"/>
    <w:semiHidden/>
    <w:rsid w:val="007D7C2E"/>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semiHidden/>
    <w:rsid w:val="00AD08FA"/>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semiHidden/>
    <w:rsid w:val="00AD08FA"/>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rsid w:val="00AD08FA"/>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rsid w:val="00AD08FA"/>
    <w:rPr>
      <w:rFonts w:asciiTheme="majorHAnsi" w:eastAsiaTheme="majorEastAsia" w:hAnsiTheme="majorHAnsi" w:cstheme="majorBidi"/>
      <w:i/>
      <w:iCs/>
      <w:color w:val="404040" w:themeColor="text1" w:themeTint="BF"/>
      <w:sz w:val="20"/>
      <w:szCs w:val="20"/>
    </w:rPr>
  </w:style>
  <w:style w:type="paragraph" w:styleId="Kpalrs">
    <w:name w:val="caption"/>
    <w:basedOn w:val="Norml"/>
    <w:next w:val="Norml"/>
    <w:uiPriority w:val="35"/>
    <w:unhideWhenUsed/>
    <w:qFormat/>
    <w:rsid w:val="00AD08FA"/>
    <w:pPr>
      <w:spacing w:line="240" w:lineRule="auto"/>
    </w:pPr>
    <w:rPr>
      <w:b/>
      <w:bCs/>
      <w:color w:val="4F81BD" w:themeColor="accent1"/>
      <w:sz w:val="18"/>
      <w:szCs w:val="18"/>
    </w:rPr>
  </w:style>
  <w:style w:type="paragraph" w:customStyle="1" w:styleId="Felsorols2nmhh">
    <w:name w:val="Felsorolás2_nmhh"/>
    <w:basedOn w:val="Listaszerbekezds"/>
    <w:link w:val="Felsorols2nmhhChar"/>
    <w:qFormat/>
    <w:rsid w:val="002B2A3F"/>
    <w:pPr>
      <w:numPr>
        <w:numId w:val="3"/>
      </w:numPr>
      <w:ind w:left="357" w:hanging="357"/>
    </w:pPr>
    <w:rPr>
      <w:b/>
      <w:sz w:val="20"/>
      <w:szCs w:val="20"/>
    </w:rPr>
  </w:style>
  <w:style w:type="character" w:customStyle="1" w:styleId="Felsorols1nmhhChar">
    <w:name w:val="Felsorolás1_nmhh Char"/>
    <w:basedOn w:val="ListaszerbekezdsChar"/>
    <w:link w:val="Felsorols1nmhh"/>
    <w:rsid w:val="002B2A3F"/>
    <w:rPr>
      <w:b/>
      <w:sz w:val="20"/>
      <w:szCs w:val="20"/>
    </w:rPr>
  </w:style>
  <w:style w:type="paragraph" w:customStyle="1" w:styleId="Lista1nmhh">
    <w:name w:val="Lista1_nmhh"/>
    <w:basedOn w:val="Listaszerbekezds"/>
    <w:link w:val="Lista1nmhhChar"/>
    <w:qFormat/>
    <w:rsid w:val="002B2A3F"/>
    <w:pPr>
      <w:numPr>
        <w:numId w:val="6"/>
      </w:numPr>
      <w:spacing w:after="0"/>
      <w:ind w:left="714" w:hanging="357"/>
    </w:pPr>
    <w:rPr>
      <w:sz w:val="20"/>
      <w:szCs w:val="20"/>
    </w:rPr>
  </w:style>
  <w:style w:type="character" w:customStyle="1" w:styleId="Felsorols2nmhhChar">
    <w:name w:val="Felsorolás2_nmhh Char"/>
    <w:basedOn w:val="ListaszerbekezdsChar"/>
    <w:link w:val="Felsorols2nmhh"/>
    <w:rsid w:val="002B2A3F"/>
    <w:rPr>
      <w:b/>
      <w:sz w:val="20"/>
      <w:szCs w:val="20"/>
    </w:rPr>
  </w:style>
  <w:style w:type="paragraph" w:customStyle="1" w:styleId="Lista2nmhh">
    <w:name w:val="Lista2_nmhh"/>
    <w:basedOn w:val="Listaszerbekezds"/>
    <w:link w:val="Lista2nmhhChar"/>
    <w:qFormat/>
    <w:rsid w:val="002B2A3F"/>
    <w:pPr>
      <w:numPr>
        <w:numId w:val="7"/>
      </w:numPr>
      <w:spacing w:after="0"/>
    </w:pPr>
    <w:rPr>
      <w:sz w:val="20"/>
      <w:szCs w:val="20"/>
    </w:rPr>
  </w:style>
  <w:style w:type="character" w:customStyle="1" w:styleId="Lista1nmhhChar">
    <w:name w:val="Lista1_nmhh Char"/>
    <w:basedOn w:val="ListaszerbekezdsChar"/>
    <w:link w:val="Lista1nmhh"/>
    <w:rsid w:val="002B2A3F"/>
    <w:rPr>
      <w:sz w:val="20"/>
      <w:szCs w:val="20"/>
    </w:rPr>
  </w:style>
  <w:style w:type="paragraph" w:customStyle="1" w:styleId="Cmsorszmozatlannmhh">
    <w:name w:val="Címsor_számozatlan_nmhh"/>
    <w:basedOn w:val="Norml"/>
    <w:next w:val="Behzottbekezdsnmhh"/>
    <w:link w:val="CmsorszmozatlannmhhChar"/>
    <w:qFormat/>
    <w:rsid w:val="002B2A3F"/>
    <w:pPr>
      <w:pageBreakBefore/>
      <w:tabs>
        <w:tab w:val="left" w:pos="6564"/>
      </w:tabs>
      <w:spacing w:after="240"/>
      <w:jc w:val="left"/>
    </w:pPr>
    <w:rPr>
      <w:rFonts w:asciiTheme="majorHAnsi" w:hAnsiTheme="majorHAnsi" w:cstheme="majorHAnsi"/>
      <w:b/>
      <w:sz w:val="36"/>
      <w:szCs w:val="36"/>
    </w:rPr>
  </w:style>
  <w:style w:type="character" w:customStyle="1" w:styleId="Lista2nmhhChar">
    <w:name w:val="Lista2_nmhh Char"/>
    <w:basedOn w:val="ListaszerbekezdsChar"/>
    <w:link w:val="Lista2nmhh"/>
    <w:rsid w:val="002B2A3F"/>
    <w:rPr>
      <w:sz w:val="20"/>
      <w:szCs w:val="20"/>
    </w:rPr>
  </w:style>
  <w:style w:type="paragraph" w:customStyle="1" w:styleId="Cmsor1szmozottnmhh">
    <w:name w:val="Címsor1_számozott_nmhh"/>
    <w:basedOn w:val="Listaszerbekezds"/>
    <w:next w:val="Behzottbekezdsnmhh"/>
    <w:link w:val="Cmsor1szmozottnmhhChar"/>
    <w:qFormat/>
    <w:rsid w:val="002B2A3F"/>
    <w:pPr>
      <w:pageBreakBefore/>
      <w:numPr>
        <w:numId w:val="5"/>
      </w:numPr>
      <w:spacing w:after="240"/>
      <w:contextualSpacing w:val="0"/>
      <w:jc w:val="left"/>
      <w:outlineLvl w:val="0"/>
    </w:pPr>
    <w:rPr>
      <w:rFonts w:asciiTheme="majorHAnsi" w:hAnsiTheme="majorHAnsi" w:cstheme="majorHAnsi"/>
      <w:b/>
      <w:sz w:val="36"/>
      <w:szCs w:val="36"/>
    </w:rPr>
  </w:style>
  <w:style w:type="character" w:customStyle="1" w:styleId="CmsorszmozatlannmhhChar">
    <w:name w:val="Címsor_számozatlan_nmhh Char"/>
    <w:basedOn w:val="Bekezdsalapbettpusa"/>
    <w:link w:val="Cmsorszmozatlannmhh"/>
    <w:rsid w:val="002B2A3F"/>
    <w:rPr>
      <w:rFonts w:asciiTheme="majorHAnsi" w:hAnsiTheme="majorHAnsi" w:cstheme="majorHAnsi"/>
      <w:b/>
      <w:sz w:val="36"/>
      <w:szCs w:val="36"/>
    </w:rPr>
  </w:style>
  <w:style w:type="paragraph" w:customStyle="1" w:styleId="Cmsor2szmozottnmhh">
    <w:name w:val="Címsor2_számozott_nmhh"/>
    <w:basedOn w:val="Listaszerbekezds"/>
    <w:next w:val="Behzottbekezdsnmhh"/>
    <w:link w:val="Cmsor2szmozottnmhhChar"/>
    <w:qFormat/>
    <w:rsid w:val="002B2A3F"/>
    <w:pPr>
      <w:numPr>
        <w:ilvl w:val="1"/>
        <w:numId w:val="5"/>
      </w:numPr>
      <w:spacing w:after="240"/>
      <w:contextualSpacing w:val="0"/>
      <w:jc w:val="left"/>
      <w:outlineLvl w:val="1"/>
    </w:pPr>
    <w:rPr>
      <w:rFonts w:asciiTheme="majorHAnsi" w:hAnsiTheme="majorHAnsi" w:cstheme="majorHAnsi"/>
      <w:b/>
      <w:sz w:val="32"/>
      <w:szCs w:val="32"/>
    </w:rPr>
  </w:style>
  <w:style w:type="character" w:customStyle="1" w:styleId="Cmsor1szmozottnmhhChar">
    <w:name w:val="Címsor1_számozott_nmhh Char"/>
    <w:basedOn w:val="ListaszerbekezdsChar"/>
    <w:link w:val="Cmsor1szmozottnmhh"/>
    <w:rsid w:val="002B2A3F"/>
    <w:rPr>
      <w:rFonts w:asciiTheme="majorHAnsi" w:hAnsiTheme="majorHAnsi" w:cstheme="majorHAnsi"/>
      <w:b/>
      <w:sz w:val="36"/>
      <w:szCs w:val="36"/>
    </w:rPr>
  </w:style>
  <w:style w:type="paragraph" w:customStyle="1" w:styleId="Cmsor3szmozottnmhh">
    <w:name w:val="Címsor3_számozott_nmhh"/>
    <w:basedOn w:val="Listaszerbekezds"/>
    <w:next w:val="Behzottbekezdsnmhh"/>
    <w:link w:val="Cmsor3szmozottnmhhChar"/>
    <w:qFormat/>
    <w:rsid w:val="002B2A3F"/>
    <w:pPr>
      <w:numPr>
        <w:ilvl w:val="2"/>
        <w:numId w:val="5"/>
      </w:numPr>
      <w:spacing w:after="240"/>
      <w:contextualSpacing w:val="0"/>
      <w:jc w:val="left"/>
      <w:outlineLvl w:val="2"/>
    </w:pPr>
    <w:rPr>
      <w:rFonts w:asciiTheme="majorHAnsi" w:hAnsiTheme="majorHAnsi" w:cstheme="majorHAnsi"/>
      <w:b/>
      <w:sz w:val="28"/>
      <w:szCs w:val="28"/>
    </w:rPr>
  </w:style>
  <w:style w:type="character" w:customStyle="1" w:styleId="Cmsor2szmozottnmhhChar">
    <w:name w:val="Címsor2_számozott_nmhh Char"/>
    <w:basedOn w:val="ListaszerbekezdsChar"/>
    <w:link w:val="Cmsor2szmozottnmhh"/>
    <w:rsid w:val="002B2A3F"/>
    <w:rPr>
      <w:rFonts w:asciiTheme="majorHAnsi" w:hAnsiTheme="majorHAnsi" w:cstheme="majorHAnsi"/>
      <w:b/>
      <w:sz w:val="32"/>
      <w:szCs w:val="32"/>
    </w:rPr>
  </w:style>
  <w:style w:type="paragraph" w:customStyle="1" w:styleId="Cmsor4szmozottnmhh">
    <w:name w:val="Címsor4_számozott_nmhh"/>
    <w:basedOn w:val="Listaszerbekezds"/>
    <w:next w:val="Behzottbekezdsnmhh"/>
    <w:link w:val="Cmsor4szmozottnmhhChar"/>
    <w:qFormat/>
    <w:rsid w:val="002B2A3F"/>
    <w:pPr>
      <w:numPr>
        <w:ilvl w:val="3"/>
        <w:numId w:val="5"/>
      </w:numPr>
      <w:spacing w:after="240"/>
      <w:contextualSpacing w:val="0"/>
      <w:jc w:val="left"/>
      <w:outlineLvl w:val="3"/>
    </w:pPr>
    <w:rPr>
      <w:rFonts w:asciiTheme="majorHAnsi" w:hAnsiTheme="majorHAnsi" w:cstheme="majorHAnsi"/>
      <w:b/>
      <w:sz w:val="24"/>
      <w:szCs w:val="24"/>
    </w:rPr>
  </w:style>
  <w:style w:type="character" w:customStyle="1" w:styleId="Cmsor3szmozottnmhhChar">
    <w:name w:val="Címsor3_számozott_nmhh Char"/>
    <w:basedOn w:val="ListaszerbekezdsChar"/>
    <w:link w:val="Cmsor3szmozottnmhh"/>
    <w:rsid w:val="002B2A3F"/>
    <w:rPr>
      <w:rFonts w:asciiTheme="majorHAnsi" w:hAnsiTheme="majorHAnsi" w:cstheme="majorHAnsi"/>
      <w:b/>
      <w:sz w:val="28"/>
      <w:szCs w:val="28"/>
    </w:rPr>
  </w:style>
  <w:style w:type="paragraph" w:customStyle="1" w:styleId="Irodalomjegyzkfelsorolsnmhh">
    <w:name w:val="Irodalomjegyzék_felsorolás_nmhh"/>
    <w:basedOn w:val="Bekezdsnmhh"/>
    <w:link w:val="IrodalomjegyzkfelsorolsnmhhChar"/>
    <w:qFormat/>
    <w:rsid w:val="0018360B"/>
    <w:pPr>
      <w:numPr>
        <w:numId w:val="8"/>
      </w:numPr>
      <w:jc w:val="left"/>
    </w:pPr>
  </w:style>
  <w:style w:type="character" w:customStyle="1" w:styleId="Cmsor4szmozottnmhhChar">
    <w:name w:val="Címsor4_számozott_nmhh Char"/>
    <w:basedOn w:val="ListaszerbekezdsChar"/>
    <w:link w:val="Cmsor4szmozottnmhh"/>
    <w:rsid w:val="002B2A3F"/>
    <w:rPr>
      <w:rFonts w:asciiTheme="majorHAnsi" w:hAnsiTheme="majorHAnsi" w:cstheme="majorHAnsi"/>
      <w:b/>
      <w:sz w:val="24"/>
      <w:szCs w:val="24"/>
    </w:rPr>
  </w:style>
  <w:style w:type="paragraph" w:styleId="TJ1">
    <w:name w:val="toc 1"/>
    <w:basedOn w:val="Norml"/>
    <w:next w:val="Norml"/>
    <w:autoRedefine/>
    <w:uiPriority w:val="39"/>
    <w:unhideWhenUsed/>
    <w:rsid w:val="0018360B"/>
    <w:pPr>
      <w:spacing w:after="100"/>
    </w:pPr>
  </w:style>
  <w:style w:type="character" w:customStyle="1" w:styleId="IrodalomjegyzkfelsorolsnmhhChar">
    <w:name w:val="Irodalomjegyzék_felsorolás_nmhh Char"/>
    <w:basedOn w:val="BekezdsnmhhChar"/>
    <w:link w:val="Irodalomjegyzkfelsorolsnmhh"/>
    <w:rsid w:val="0018360B"/>
    <w:rPr>
      <w:sz w:val="20"/>
      <w:szCs w:val="20"/>
    </w:rPr>
  </w:style>
  <w:style w:type="character" w:customStyle="1" w:styleId="Cmsor2Char">
    <w:name w:val="Címsor 2 Char"/>
    <w:basedOn w:val="Bekezdsalapbettpusa"/>
    <w:link w:val="Cmsor2"/>
    <w:uiPriority w:val="9"/>
    <w:semiHidden/>
    <w:rsid w:val="00AD08FA"/>
    <w:rPr>
      <w:rFonts w:asciiTheme="majorHAnsi" w:eastAsiaTheme="majorEastAsia" w:hAnsiTheme="majorHAnsi" w:cstheme="majorBidi"/>
      <w:b/>
      <w:bCs/>
      <w:color w:val="666666" w:themeColor="text2" w:themeTint="99"/>
      <w:sz w:val="28"/>
      <w:szCs w:val="26"/>
    </w:rPr>
  </w:style>
  <w:style w:type="character" w:customStyle="1" w:styleId="Cmsor3Char">
    <w:name w:val="Címsor 3 Char"/>
    <w:basedOn w:val="Bekezdsalapbettpusa"/>
    <w:link w:val="Cmsor3"/>
    <w:uiPriority w:val="9"/>
    <w:semiHidden/>
    <w:rsid w:val="00AD08FA"/>
    <w:rPr>
      <w:rFonts w:asciiTheme="majorHAnsi" w:eastAsiaTheme="majorEastAsia" w:hAnsiTheme="majorHAnsi" w:cstheme="majorBidi"/>
      <w:b/>
      <w:bCs/>
      <w:color w:val="999999" w:themeColor="text2" w:themeTint="66"/>
      <w:sz w:val="24"/>
    </w:rPr>
  </w:style>
  <w:style w:type="character" w:customStyle="1" w:styleId="Cmsor4Char">
    <w:name w:val="Címsor 4 Char"/>
    <w:basedOn w:val="Bekezdsalapbettpusa"/>
    <w:link w:val="Cmsor4"/>
    <w:uiPriority w:val="9"/>
    <w:semiHidden/>
    <w:rsid w:val="00AD08FA"/>
    <w:rPr>
      <w:rFonts w:asciiTheme="majorHAnsi" w:eastAsiaTheme="majorEastAsia" w:hAnsiTheme="majorHAnsi" w:cstheme="majorBidi"/>
      <w:b/>
      <w:bCs/>
      <w:iCs/>
      <w:color w:val="CCCCCC" w:themeColor="text2" w:themeTint="33"/>
    </w:rPr>
  </w:style>
  <w:style w:type="paragraph" w:styleId="TJ2">
    <w:name w:val="toc 2"/>
    <w:basedOn w:val="Norml"/>
    <w:next w:val="Norml"/>
    <w:autoRedefine/>
    <w:uiPriority w:val="39"/>
    <w:unhideWhenUsed/>
    <w:rsid w:val="0018360B"/>
    <w:pPr>
      <w:spacing w:after="100"/>
      <w:ind w:left="220"/>
    </w:pPr>
  </w:style>
  <w:style w:type="paragraph" w:styleId="TJ3">
    <w:name w:val="toc 3"/>
    <w:basedOn w:val="Norml"/>
    <w:next w:val="Norml"/>
    <w:autoRedefine/>
    <w:uiPriority w:val="39"/>
    <w:unhideWhenUsed/>
    <w:rsid w:val="0018360B"/>
    <w:pPr>
      <w:spacing w:after="100"/>
      <w:ind w:left="440"/>
    </w:pPr>
  </w:style>
  <w:style w:type="paragraph" w:customStyle="1" w:styleId="BasicParagraph">
    <w:name w:val="[Basic Paragraph]"/>
    <w:basedOn w:val="Norml"/>
    <w:uiPriority w:val="99"/>
    <w:rsid w:val="00AD08FA"/>
    <w:pPr>
      <w:autoSpaceDE w:val="0"/>
      <w:autoSpaceDN w:val="0"/>
      <w:adjustRightInd w:val="0"/>
      <w:spacing w:after="0" w:line="288" w:lineRule="auto"/>
      <w:jc w:val="left"/>
      <w:textAlignment w:val="center"/>
    </w:pPr>
    <w:rPr>
      <w:rFonts w:ascii="Minion Pro" w:hAnsi="Minion Pro" w:cs="Minion Pro"/>
      <w:color w:val="000000"/>
      <w:sz w:val="24"/>
      <w:szCs w:val="24"/>
      <w:lang w:val="en-GB"/>
    </w:rPr>
  </w:style>
  <w:style w:type="paragraph" w:customStyle="1" w:styleId="Style2">
    <w:name w:val="Style2"/>
    <w:basedOn w:val="Norml"/>
    <w:rsid w:val="006F446C"/>
    <w:pPr>
      <w:spacing w:after="240" w:line="720" w:lineRule="exact"/>
      <w:jc w:val="left"/>
    </w:pPr>
    <w:rPr>
      <w:rFonts w:ascii="Arial" w:hAnsi="Arial" w:cstheme="minorBidi"/>
      <w:b/>
      <w:color w:val="911E6C"/>
      <w:sz w:val="60"/>
      <w:szCs w:val="60"/>
    </w:rPr>
  </w:style>
  <w:style w:type="paragraph" w:customStyle="1" w:styleId="Style3">
    <w:name w:val="Style3"/>
    <w:basedOn w:val="Norml"/>
    <w:rsid w:val="00AD08FA"/>
    <w:pPr>
      <w:spacing w:after="160" w:line="440" w:lineRule="exact"/>
      <w:jc w:val="left"/>
    </w:pPr>
    <w:rPr>
      <w:rFonts w:ascii="Arial" w:hAnsi="Arial" w:cstheme="minorBidi"/>
      <w:color w:val="465155"/>
      <w:sz w:val="36"/>
      <w:szCs w:val="36"/>
    </w:rPr>
  </w:style>
  <w:style w:type="table" w:styleId="Rcsostblzat">
    <w:name w:val="Table Grid"/>
    <w:basedOn w:val="Normltblzat"/>
    <w:uiPriority w:val="59"/>
    <w:rsid w:val="00AD0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lyrzszveg">
    <w:name w:val="Placeholder Text"/>
    <w:basedOn w:val="Bekezdsalapbettpusa"/>
    <w:uiPriority w:val="99"/>
    <w:semiHidden/>
    <w:rsid w:val="00AD08FA"/>
    <w:rPr>
      <w:color w:val="808080"/>
    </w:rPr>
  </w:style>
  <w:style w:type="character" w:styleId="Hiperhivatkozs">
    <w:name w:val="Hyperlink"/>
    <w:basedOn w:val="Bekezdsalapbettpusa"/>
    <w:uiPriority w:val="99"/>
    <w:unhideWhenUsed/>
    <w:rsid w:val="00AD08FA"/>
    <w:rPr>
      <w:color w:val="0000FF" w:themeColor="hyperlink"/>
      <w:u w:val="single"/>
    </w:rPr>
  </w:style>
  <w:style w:type="paragraph" w:styleId="Buborkszveg">
    <w:name w:val="Balloon Text"/>
    <w:basedOn w:val="Norml"/>
    <w:link w:val="BuborkszvegChar"/>
    <w:uiPriority w:val="99"/>
    <w:semiHidden/>
    <w:unhideWhenUsed/>
    <w:rsid w:val="00AD08F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D08FA"/>
    <w:rPr>
      <w:rFonts w:ascii="Tahoma" w:hAnsi="Tahoma" w:cs="Tahoma"/>
      <w:sz w:val="16"/>
      <w:szCs w:val="16"/>
    </w:rPr>
  </w:style>
  <w:style w:type="paragraph" w:styleId="Lbjegyzetszveg">
    <w:name w:val="footnote text"/>
    <w:aliases w:val=" Char,Char,DNV-FT Char,DNV-FT,DNV-FT Char Char Char,Char1,Footnote Text Char Char1,Footnote Text Char4 Char Char,Footnote Text Char1 Char1 Char1 Char,Footnote Text Char Char1 Char1 Char Char,ABA Footnote Text,DNV-,ALTS FOOTNOTE Char"/>
    <w:basedOn w:val="Norml"/>
    <w:link w:val="LbjegyzetszvegChar"/>
    <w:uiPriority w:val="99"/>
    <w:unhideWhenUsed/>
    <w:qFormat/>
    <w:rsid w:val="003D4E11"/>
    <w:pPr>
      <w:spacing w:after="0" w:line="240" w:lineRule="auto"/>
    </w:pPr>
    <w:rPr>
      <w:sz w:val="20"/>
      <w:szCs w:val="20"/>
    </w:rPr>
  </w:style>
  <w:style w:type="character" w:customStyle="1" w:styleId="LbjegyzetszvegChar">
    <w:name w:val="Lábjegyzetszöveg Char"/>
    <w:aliases w:val=" Char Char,Char Char,DNV-FT Char Char,DNV-FT Char1,DNV-FT Char Char Char Char,Char1 Char,Footnote Text Char Char1 Char,Footnote Text Char4 Char Char Char,Footnote Text Char1 Char1 Char1 Char Char,ABA Footnote Text Char,DNV- Char"/>
    <w:basedOn w:val="Bekezdsalapbettpusa"/>
    <w:link w:val="Lbjegyzetszveg"/>
    <w:uiPriority w:val="99"/>
    <w:rsid w:val="003D4E11"/>
    <w:rPr>
      <w:sz w:val="20"/>
      <w:szCs w:val="20"/>
    </w:rPr>
  </w:style>
  <w:style w:type="character" w:styleId="Lbjegyzet-hivatkozs">
    <w:name w:val="footnote reference"/>
    <w:aliases w:val="Footnote symbol,Footnote,Nota,Footnote Reference/,Appel note de bas de p,Style 12,(NECG) Footnote Reference,Style 124,o,Style 13,FR,Style 17,Style 3,Appel note de bas de p + 11 pt,Italic,Appel note de bas de p1,Times 10 Point"/>
    <w:basedOn w:val="Bekezdsalapbettpusa"/>
    <w:uiPriority w:val="99"/>
    <w:unhideWhenUsed/>
    <w:rsid w:val="003D4E11"/>
    <w:rPr>
      <w:vertAlign w:val="superscript"/>
    </w:rPr>
  </w:style>
  <w:style w:type="paragraph" w:customStyle="1" w:styleId="Default">
    <w:name w:val="Default"/>
    <w:rsid w:val="00DE62EF"/>
    <w:pPr>
      <w:widowControl w:val="0"/>
      <w:autoSpaceDE w:val="0"/>
      <w:autoSpaceDN w:val="0"/>
      <w:adjustRightInd w:val="0"/>
      <w:spacing w:after="0" w:line="240" w:lineRule="auto"/>
    </w:pPr>
    <w:rPr>
      <w:rFonts w:ascii="Arial" w:eastAsiaTheme="minorEastAsia" w:hAnsi="Arial" w:cs="Arial"/>
      <w:color w:val="000000"/>
      <w:sz w:val="24"/>
      <w:szCs w:val="24"/>
      <w:lang w:eastAsia="hu-HU"/>
    </w:rPr>
  </w:style>
  <w:style w:type="paragraph" w:customStyle="1" w:styleId="CM14">
    <w:name w:val="CM14"/>
    <w:basedOn w:val="Default"/>
    <w:next w:val="Default"/>
    <w:uiPriority w:val="99"/>
    <w:rsid w:val="00DE62EF"/>
    <w:rPr>
      <w:color w:val="auto"/>
    </w:rPr>
  </w:style>
  <w:style w:type="paragraph" w:customStyle="1" w:styleId="CM21">
    <w:name w:val="CM21"/>
    <w:basedOn w:val="Default"/>
    <w:next w:val="Default"/>
    <w:uiPriority w:val="99"/>
    <w:rsid w:val="00DE62EF"/>
    <w:rPr>
      <w:color w:val="auto"/>
    </w:rPr>
  </w:style>
  <w:style w:type="paragraph" w:customStyle="1" w:styleId="CM20">
    <w:name w:val="CM20"/>
    <w:basedOn w:val="Default"/>
    <w:next w:val="Default"/>
    <w:uiPriority w:val="99"/>
    <w:rsid w:val="00B85A3A"/>
    <w:rPr>
      <w:color w:val="auto"/>
    </w:rPr>
  </w:style>
  <w:style w:type="paragraph" w:customStyle="1" w:styleId="mellekletpontformazott">
    <w:name w:val="melleklet_pont_formazott"/>
    <w:basedOn w:val="Norml"/>
    <w:rsid w:val="009A4724"/>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unhideWhenUsed/>
    <w:rsid w:val="003B0A1F"/>
    <w:rPr>
      <w:sz w:val="16"/>
      <w:szCs w:val="16"/>
    </w:rPr>
  </w:style>
  <w:style w:type="paragraph" w:styleId="Jegyzetszveg">
    <w:name w:val="annotation text"/>
    <w:basedOn w:val="Norml"/>
    <w:link w:val="JegyzetszvegChar"/>
    <w:uiPriority w:val="99"/>
    <w:semiHidden/>
    <w:unhideWhenUsed/>
    <w:rsid w:val="003B0A1F"/>
    <w:pPr>
      <w:spacing w:line="240" w:lineRule="auto"/>
    </w:pPr>
    <w:rPr>
      <w:sz w:val="20"/>
      <w:szCs w:val="20"/>
    </w:rPr>
  </w:style>
  <w:style w:type="character" w:customStyle="1" w:styleId="JegyzetszvegChar">
    <w:name w:val="Jegyzetszöveg Char"/>
    <w:basedOn w:val="Bekezdsalapbettpusa"/>
    <w:link w:val="Jegyzetszveg"/>
    <w:uiPriority w:val="99"/>
    <w:semiHidden/>
    <w:rsid w:val="003B0A1F"/>
    <w:rPr>
      <w:sz w:val="20"/>
      <w:szCs w:val="20"/>
    </w:rPr>
  </w:style>
  <w:style w:type="paragraph" w:styleId="Megjegyzstrgya">
    <w:name w:val="annotation subject"/>
    <w:basedOn w:val="Jegyzetszveg"/>
    <w:next w:val="Jegyzetszveg"/>
    <w:link w:val="MegjegyzstrgyaChar"/>
    <w:uiPriority w:val="99"/>
    <w:semiHidden/>
    <w:unhideWhenUsed/>
    <w:rsid w:val="003B0A1F"/>
    <w:rPr>
      <w:b/>
      <w:bCs/>
    </w:rPr>
  </w:style>
  <w:style w:type="character" w:customStyle="1" w:styleId="MegjegyzstrgyaChar">
    <w:name w:val="Megjegyzés tárgya Char"/>
    <w:basedOn w:val="JegyzetszvegChar"/>
    <w:link w:val="Megjegyzstrgya"/>
    <w:uiPriority w:val="99"/>
    <w:semiHidden/>
    <w:rsid w:val="003B0A1F"/>
    <w:rPr>
      <w:b/>
      <w:bCs/>
      <w:sz w:val="20"/>
      <w:szCs w:val="20"/>
    </w:rPr>
  </w:style>
  <w:style w:type="character" w:styleId="Mrltotthiperhivatkozs">
    <w:name w:val="FollowedHyperlink"/>
    <w:basedOn w:val="Bekezdsalapbettpusa"/>
    <w:uiPriority w:val="99"/>
    <w:semiHidden/>
    <w:unhideWhenUsed/>
    <w:rsid w:val="00680324"/>
    <w:rPr>
      <w:color w:val="800080" w:themeColor="followedHyperlink"/>
      <w:u w:val="single"/>
    </w:rPr>
  </w:style>
  <w:style w:type="character" w:customStyle="1" w:styleId="UnresolvedMention">
    <w:name w:val="Unresolved Mention"/>
    <w:basedOn w:val="Bekezdsalapbettpusa"/>
    <w:uiPriority w:val="99"/>
    <w:semiHidden/>
    <w:unhideWhenUsed/>
    <w:rsid w:val="00304D0B"/>
    <w:rPr>
      <w:color w:val="605E5C"/>
      <w:shd w:val="clear" w:color="auto" w:fill="E1DFDD"/>
    </w:rPr>
  </w:style>
  <w:style w:type="paragraph" w:styleId="Vltozat">
    <w:name w:val="Revision"/>
    <w:hidden/>
    <w:uiPriority w:val="99"/>
    <w:semiHidden/>
    <w:rsid w:val="00EA36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6689">
      <w:bodyDiv w:val="1"/>
      <w:marLeft w:val="0"/>
      <w:marRight w:val="0"/>
      <w:marTop w:val="0"/>
      <w:marBottom w:val="0"/>
      <w:divBdr>
        <w:top w:val="none" w:sz="0" w:space="0" w:color="auto"/>
        <w:left w:val="none" w:sz="0" w:space="0" w:color="auto"/>
        <w:bottom w:val="none" w:sz="0" w:space="0" w:color="auto"/>
        <w:right w:val="none" w:sz="0" w:space="0" w:color="auto"/>
      </w:divBdr>
    </w:div>
    <w:div w:id="519121046">
      <w:bodyDiv w:val="1"/>
      <w:marLeft w:val="0"/>
      <w:marRight w:val="0"/>
      <w:marTop w:val="0"/>
      <w:marBottom w:val="0"/>
      <w:divBdr>
        <w:top w:val="none" w:sz="0" w:space="0" w:color="auto"/>
        <w:left w:val="none" w:sz="0" w:space="0" w:color="auto"/>
        <w:bottom w:val="none" w:sz="0" w:space="0" w:color="auto"/>
        <w:right w:val="none" w:sz="0" w:space="0" w:color="auto"/>
      </w:divBdr>
    </w:div>
    <w:div w:id="532115601">
      <w:bodyDiv w:val="1"/>
      <w:marLeft w:val="0"/>
      <w:marRight w:val="0"/>
      <w:marTop w:val="0"/>
      <w:marBottom w:val="0"/>
      <w:divBdr>
        <w:top w:val="none" w:sz="0" w:space="0" w:color="auto"/>
        <w:left w:val="none" w:sz="0" w:space="0" w:color="auto"/>
        <w:bottom w:val="none" w:sz="0" w:space="0" w:color="auto"/>
        <w:right w:val="none" w:sz="0" w:space="0" w:color="auto"/>
      </w:divBdr>
    </w:div>
    <w:div w:id="1018579614">
      <w:bodyDiv w:val="1"/>
      <w:marLeft w:val="0"/>
      <w:marRight w:val="0"/>
      <w:marTop w:val="0"/>
      <w:marBottom w:val="0"/>
      <w:divBdr>
        <w:top w:val="none" w:sz="0" w:space="0" w:color="auto"/>
        <w:left w:val="none" w:sz="0" w:space="0" w:color="auto"/>
        <w:bottom w:val="none" w:sz="0" w:space="0" w:color="auto"/>
        <w:right w:val="none" w:sz="0" w:space="0" w:color="auto"/>
      </w:divBdr>
    </w:div>
    <w:div w:id="1139684520">
      <w:bodyDiv w:val="1"/>
      <w:marLeft w:val="0"/>
      <w:marRight w:val="0"/>
      <w:marTop w:val="0"/>
      <w:marBottom w:val="0"/>
      <w:divBdr>
        <w:top w:val="none" w:sz="0" w:space="0" w:color="auto"/>
        <w:left w:val="none" w:sz="0" w:space="0" w:color="auto"/>
        <w:bottom w:val="none" w:sz="0" w:space="0" w:color="auto"/>
        <w:right w:val="none" w:sz="0" w:space="0" w:color="auto"/>
      </w:divBdr>
    </w:div>
    <w:div w:id="1856113550">
      <w:bodyDiv w:val="1"/>
      <w:marLeft w:val="0"/>
      <w:marRight w:val="0"/>
      <w:marTop w:val="0"/>
      <w:marBottom w:val="0"/>
      <w:divBdr>
        <w:top w:val="none" w:sz="0" w:space="0" w:color="auto"/>
        <w:left w:val="none" w:sz="0" w:space="0" w:color="auto"/>
        <w:bottom w:val="none" w:sz="0" w:space="0" w:color="auto"/>
        <w:right w:val="none" w:sz="0" w:space="0" w:color="auto"/>
      </w:divBdr>
    </w:div>
    <w:div w:id="195489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nmhh.hu/esemeny/207926/Nyilvanos_meghallgatas_a_mobil_halozatok_uzemeltetesere_alkalmas_frekvenciasavok_hasznositasaval_kapcsolatos_szakmai_kerdesekre" TargetMode="External"/><Relationship Id="rId1" Type="http://schemas.openxmlformats.org/officeDocument/2006/relationships/hyperlink" Target="http://nmhh.hu/esemeny/207926/Nyilvanos_meghallgatas_a_mobil_halozatok_uzemeltetesere_alkalmas_frekvenciasavok_hasznositasaval_kapcsolatos_szakmai_kerdesek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Munka\Documents\toth_laszlo\Adminisztracio\Sablonok\SGO_sablon\new_2016\NEW_SGO_sablon_2017.dotx" TargetMode="External"/></Relationships>
</file>

<file path=word/theme/theme1.xml><?xml version="1.0" encoding="utf-8"?>
<a:theme xmlns:a="http://schemas.openxmlformats.org/drawingml/2006/main" name="Office-téma">
  <a:themeElements>
    <a:clrScheme name="Egyéni 1. séma">
      <a:dk1>
        <a:sysClr val="windowText" lastClr="000000"/>
      </a:dk1>
      <a:lt1>
        <a:sysClr val="window" lastClr="FFFFFF"/>
      </a:lt1>
      <a:dk2>
        <a:srgbClr val="000000"/>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MHH">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61169-DA31-4825-8ED1-FE3EDE6D5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NEW_SGO_sablon_2017</Template>
  <TotalTime>35</TotalTime>
  <Pages>1</Pages>
  <Words>3268</Words>
  <Characters>22551</Characters>
  <Application>Microsoft Office Word</Application>
  <DocSecurity>0</DocSecurity>
  <Lines>187</Lines>
  <Paragraphs>51</Paragraphs>
  <ScaleCrop>false</ScaleCrop>
  <HeadingPairs>
    <vt:vector size="2" baseType="variant">
      <vt:variant>
        <vt:lpstr>Cím</vt:lpstr>
      </vt:variant>
      <vt:variant>
        <vt:i4>1</vt:i4>
      </vt:variant>
    </vt:vector>
  </HeadingPairs>
  <TitlesOfParts>
    <vt:vector size="1" baseType="lpstr">
      <vt:lpstr/>
    </vt:vector>
  </TitlesOfParts>
  <Company>NCA</Company>
  <LinksUpToDate>false</LinksUpToDate>
  <CharactersWithSpaces>25768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Bálint Irén</dc:creator>
  <cp:lastModifiedBy>Ulelay Emília dr.</cp:lastModifiedBy>
  <cp:revision>5</cp:revision>
  <dcterms:created xsi:type="dcterms:W3CDTF">2022-05-09T13:37:00Z</dcterms:created>
  <dcterms:modified xsi:type="dcterms:W3CDTF">2022-05-09T14:12:00Z</dcterms:modified>
</cp:coreProperties>
</file>