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2E92CFCD" w14:textId="77777777" w:rsidR="00121BE6" w:rsidRDefault="00121BE6" w:rsidP="00EF7841">
          <w:pPr>
            <w:pStyle w:val="Cmnmhh"/>
            <w:jc w:val="center"/>
          </w:pPr>
          <w:r>
            <w:rPr>
              <w:b w:val="0"/>
              <w:noProof/>
              <w:lang w:eastAsia="hu-HU"/>
            </w:rPr>
            <w:drawing>
              <wp:anchor distT="0" distB="1011555" distL="114300" distR="114300" simplePos="0" relativeHeight="251662336" behindDoc="1" locked="0" layoutInCell="1" allowOverlap="1" wp14:anchorId="44333DFC" wp14:editId="7CDDC99B">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523521023"/>
              <w:placeholder>
                <w:docPart w:val="060F1B3B340945E8AC20E073004A5FB4"/>
              </w:placeholder>
            </w:sdtPr>
            <w:sdtContent>
              <w:sdt>
                <w:sdtPr>
                  <w:alias w:val="Cím"/>
                  <w:tag w:val="Cím"/>
                  <w:id w:val="463394509"/>
                </w:sdtPr>
                <w:sdtContent>
                  <w:r>
                    <w:rPr>
                      <w:bCs/>
                      <w:lang w:val="en-GB"/>
                    </w:rPr>
                    <w:t xml:space="preserve">Band overview </w:t>
                  </w:r>
                  <w:r>
                    <w:rPr>
                      <w:b w:val="0"/>
                      <w:lang w:val="en-GB"/>
                    </w:rPr>
                    <w:br/>
                  </w:r>
                  <w:r>
                    <w:rPr>
                      <w:bCs/>
                      <w:lang w:val="en-GB"/>
                    </w:rPr>
                    <w:t>2300 MHz frequency band</w:t>
                  </w:r>
                </w:sdtContent>
              </w:sdt>
            </w:sdtContent>
          </w:sdt>
        </w:p>
        <w:p w14:paraId="513AA77D" w14:textId="77777777" w:rsidR="00121BE6" w:rsidRDefault="00121BE6" w:rsidP="00121BE6">
          <w:pPr>
            <w:pStyle w:val="Osztlynmhh"/>
          </w:pPr>
        </w:p>
        <w:p w14:paraId="52385335" w14:textId="77777777" w:rsidR="00121BE6" w:rsidRDefault="00121BE6" w:rsidP="00121BE6">
          <w:pPr>
            <w:pStyle w:val="Bortlapegybnmhh"/>
            <w:spacing w:before="3480"/>
            <w:rPr>
              <w:rStyle w:val="Helyrzszveg"/>
              <w:color w:val="4C5256"/>
            </w:rPr>
          </w:pPr>
        </w:p>
        <w:p w14:paraId="55DCE834" w14:textId="77777777" w:rsidR="00121BE6" w:rsidRDefault="001D2AD7" w:rsidP="00EF7841">
          <w:pPr>
            <w:pStyle w:val="Bortlapegybnmhh"/>
            <w:spacing w:before="240"/>
            <w:jc w:val="center"/>
          </w:pPr>
          <w:sdt>
            <w:sdtPr>
              <w:rPr>
                <w:rStyle w:val="BortlapegybnmhhChar"/>
              </w:rPr>
              <w:alias w:val="Dátum"/>
              <w:tag w:val="Dátum"/>
              <w:id w:val="217647746"/>
              <w:date w:fullDate="2021-02-15T00:00:00Z">
                <w:dateFormat w:val="yyyy. MMMM d."/>
                <w:lid w:val="hu-HU"/>
                <w:storeMappedDataAs w:val="dateTime"/>
                <w:calendar w:val="gregorian"/>
              </w:date>
            </w:sdtPr>
            <w:sdtEndPr>
              <w:rPr>
                <w:rStyle w:val="Bekezdsalapbettpusa"/>
              </w:rPr>
            </w:sdtEndPr>
            <w:sdtContent>
              <w:r w:rsidR="002C22DF">
                <w:rPr>
                  <w:rStyle w:val="BortlapegybnmhhChar"/>
                  <w:lang w:val="en-GB"/>
                </w:rPr>
                <w:t>15 February 2021</w:t>
              </w:r>
            </w:sdtContent>
          </w:sdt>
        </w:p>
        <w:p w14:paraId="16C4E577" w14:textId="77777777" w:rsidR="00121BE6" w:rsidRDefault="001D2AD7" w:rsidP="00121BE6">
          <w:pPr>
            <w:spacing w:after="200"/>
            <w:jc w:val="left"/>
            <w:rPr>
              <w:b/>
              <w:bCs/>
            </w:rPr>
            <w:sectPr w:rsidR="00121BE6">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bookmarkStart w:id="0" w:name="_Toc98846416" w:displacedByCustomXml="nex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Content>
        <w:p w14:paraId="1AA3C027" w14:textId="77777777" w:rsidR="00DA31F6" w:rsidRPr="00D86540" w:rsidRDefault="00DA31F6" w:rsidP="00DA31F6">
          <w:pPr>
            <w:pStyle w:val="Tartalomjegyzkcmsoranmhh"/>
          </w:pPr>
          <w:r>
            <w:rPr>
              <w:lang w:val="en-GB"/>
            </w:rPr>
            <w:t>Table of contents</w:t>
          </w:r>
          <w:bookmarkEnd w:id="0"/>
        </w:p>
        <w:p w14:paraId="170F5B4E" w14:textId="77777777" w:rsidR="000F6840" w:rsidRDefault="00292C54">
          <w:pPr>
            <w:pStyle w:val="TJ1"/>
            <w:tabs>
              <w:tab w:val="right" w:leader="dot" w:pos="9062"/>
            </w:tabs>
            <w:rPr>
              <w:rFonts w:eastAsiaTheme="minorEastAsia" w:cstheme="minorBidi"/>
              <w:noProof/>
              <w:lang w:val="en-US" w:bidi="he-IL"/>
            </w:rPr>
          </w:pPr>
          <w:r>
            <w:rPr>
              <w:lang w:val="en-GB"/>
            </w:rPr>
            <w:fldChar w:fldCharType="begin"/>
          </w:r>
          <w:r>
            <w:instrText xml:space="preserve"> TOC \o "1-3" \h \z \u </w:instrText>
          </w:r>
          <w:r>
            <w:fldChar w:fldCharType="separate"/>
          </w:r>
          <w:hyperlink w:anchor="_Toc98846416" w:history="1">
            <w:r w:rsidR="000F6840" w:rsidRPr="00874A28">
              <w:rPr>
                <w:rStyle w:val="Hiperhivatkozs"/>
                <w:noProof/>
                <w:lang w:val="en-GB"/>
              </w:rPr>
              <w:t>Table of contents</w:t>
            </w:r>
            <w:r w:rsidR="000F6840">
              <w:rPr>
                <w:noProof/>
                <w:webHidden/>
              </w:rPr>
              <w:tab/>
            </w:r>
            <w:r w:rsidR="000F6840">
              <w:rPr>
                <w:noProof/>
                <w:webHidden/>
              </w:rPr>
              <w:fldChar w:fldCharType="begin"/>
            </w:r>
            <w:r w:rsidR="000F6840">
              <w:rPr>
                <w:noProof/>
                <w:webHidden/>
              </w:rPr>
              <w:instrText xml:space="preserve"> PAGEREF _Toc98846416 \h </w:instrText>
            </w:r>
            <w:r w:rsidR="000F6840">
              <w:rPr>
                <w:noProof/>
                <w:webHidden/>
              </w:rPr>
            </w:r>
            <w:r w:rsidR="000F6840">
              <w:rPr>
                <w:noProof/>
                <w:webHidden/>
              </w:rPr>
              <w:fldChar w:fldCharType="separate"/>
            </w:r>
            <w:r w:rsidR="000F6840">
              <w:rPr>
                <w:noProof/>
                <w:webHidden/>
              </w:rPr>
              <w:t>2</w:t>
            </w:r>
            <w:r w:rsidR="000F6840">
              <w:rPr>
                <w:noProof/>
                <w:webHidden/>
              </w:rPr>
              <w:fldChar w:fldCharType="end"/>
            </w:r>
          </w:hyperlink>
        </w:p>
        <w:p w14:paraId="432E8F96" w14:textId="77777777" w:rsidR="000F6840" w:rsidRDefault="001D2AD7">
          <w:pPr>
            <w:pStyle w:val="TJ1"/>
            <w:tabs>
              <w:tab w:val="left" w:pos="440"/>
              <w:tab w:val="right" w:leader="dot" w:pos="9062"/>
            </w:tabs>
            <w:rPr>
              <w:rFonts w:eastAsiaTheme="minorEastAsia" w:cstheme="minorBidi"/>
              <w:noProof/>
              <w:lang w:val="en-US" w:bidi="he-IL"/>
            </w:rPr>
          </w:pPr>
          <w:hyperlink w:anchor="_Toc98846417" w:history="1">
            <w:r w:rsidR="000F6840" w:rsidRPr="00874A28">
              <w:rPr>
                <w:rStyle w:val="Hiperhivatkozs"/>
                <w:noProof/>
              </w:rPr>
              <w:t>1</w:t>
            </w:r>
            <w:r w:rsidR="000F6840">
              <w:rPr>
                <w:rFonts w:eastAsiaTheme="minorEastAsia" w:cstheme="minorBidi"/>
                <w:noProof/>
                <w:lang w:val="en-US" w:bidi="he-IL"/>
              </w:rPr>
              <w:tab/>
            </w:r>
            <w:r w:rsidR="000F6840" w:rsidRPr="00874A28">
              <w:rPr>
                <w:rStyle w:val="Hiperhivatkozs"/>
                <w:bCs/>
                <w:noProof/>
                <w:lang w:val="en-GB"/>
              </w:rPr>
              <w:t>Summary</w:t>
            </w:r>
            <w:r w:rsidR="000F6840">
              <w:rPr>
                <w:noProof/>
                <w:webHidden/>
              </w:rPr>
              <w:tab/>
            </w:r>
            <w:r w:rsidR="000F6840">
              <w:rPr>
                <w:noProof/>
                <w:webHidden/>
              </w:rPr>
              <w:fldChar w:fldCharType="begin"/>
            </w:r>
            <w:r w:rsidR="000F6840">
              <w:rPr>
                <w:noProof/>
                <w:webHidden/>
              </w:rPr>
              <w:instrText xml:space="preserve"> PAGEREF _Toc98846417 \h </w:instrText>
            </w:r>
            <w:r w:rsidR="000F6840">
              <w:rPr>
                <w:noProof/>
                <w:webHidden/>
              </w:rPr>
            </w:r>
            <w:r w:rsidR="000F6840">
              <w:rPr>
                <w:noProof/>
                <w:webHidden/>
              </w:rPr>
              <w:fldChar w:fldCharType="separate"/>
            </w:r>
            <w:r w:rsidR="000F6840">
              <w:rPr>
                <w:noProof/>
                <w:webHidden/>
              </w:rPr>
              <w:t>4</w:t>
            </w:r>
            <w:r w:rsidR="000F6840">
              <w:rPr>
                <w:noProof/>
                <w:webHidden/>
              </w:rPr>
              <w:fldChar w:fldCharType="end"/>
            </w:r>
          </w:hyperlink>
        </w:p>
        <w:p w14:paraId="6C473592" w14:textId="77777777" w:rsidR="000F6840" w:rsidRDefault="001D2AD7">
          <w:pPr>
            <w:pStyle w:val="TJ1"/>
            <w:tabs>
              <w:tab w:val="left" w:pos="440"/>
              <w:tab w:val="right" w:leader="dot" w:pos="9062"/>
            </w:tabs>
            <w:rPr>
              <w:rFonts w:eastAsiaTheme="minorEastAsia" w:cstheme="minorBidi"/>
              <w:noProof/>
              <w:lang w:val="en-US" w:bidi="he-IL"/>
            </w:rPr>
          </w:pPr>
          <w:hyperlink w:anchor="_Toc98846418" w:history="1">
            <w:r w:rsidR="000F6840" w:rsidRPr="00874A28">
              <w:rPr>
                <w:rStyle w:val="Hiperhivatkozs"/>
                <w:noProof/>
              </w:rPr>
              <w:t>2</w:t>
            </w:r>
            <w:r w:rsidR="000F6840">
              <w:rPr>
                <w:rFonts w:eastAsiaTheme="minorEastAsia" w:cstheme="minorBidi"/>
                <w:noProof/>
                <w:lang w:val="en-US" w:bidi="he-IL"/>
              </w:rPr>
              <w:tab/>
            </w:r>
            <w:r w:rsidR="000F6840" w:rsidRPr="00874A28">
              <w:rPr>
                <w:rStyle w:val="Hiperhivatkozs"/>
                <w:bCs/>
                <w:noProof/>
                <w:lang w:val="en-GB"/>
              </w:rPr>
              <w:t>Introduction</w:t>
            </w:r>
            <w:r w:rsidR="000F6840">
              <w:rPr>
                <w:noProof/>
                <w:webHidden/>
              </w:rPr>
              <w:tab/>
            </w:r>
            <w:r w:rsidR="000F6840">
              <w:rPr>
                <w:noProof/>
                <w:webHidden/>
              </w:rPr>
              <w:fldChar w:fldCharType="begin"/>
            </w:r>
            <w:r w:rsidR="000F6840">
              <w:rPr>
                <w:noProof/>
                <w:webHidden/>
              </w:rPr>
              <w:instrText xml:space="preserve"> PAGEREF _Toc98846418 \h </w:instrText>
            </w:r>
            <w:r w:rsidR="000F6840">
              <w:rPr>
                <w:noProof/>
                <w:webHidden/>
              </w:rPr>
            </w:r>
            <w:r w:rsidR="000F6840">
              <w:rPr>
                <w:noProof/>
                <w:webHidden/>
              </w:rPr>
              <w:fldChar w:fldCharType="separate"/>
            </w:r>
            <w:r w:rsidR="000F6840">
              <w:rPr>
                <w:noProof/>
                <w:webHidden/>
              </w:rPr>
              <w:t>5</w:t>
            </w:r>
            <w:r w:rsidR="000F6840">
              <w:rPr>
                <w:noProof/>
                <w:webHidden/>
              </w:rPr>
              <w:fldChar w:fldCharType="end"/>
            </w:r>
          </w:hyperlink>
        </w:p>
        <w:p w14:paraId="02DF1834" w14:textId="77777777" w:rsidR="000F6840" w:rsidRDefault="001D2AD7">
          <w:pPr>
            <w:pStyle w:val="TJ1"/>
            <w:tabs>
              <w:tab w:val="left" w:pos="440"/>
              <w:tab w:val="right" w:leader="dot" w:pos="9062"/>
            </w:tabs>
            <w:rPr>
              <w:rFonts w:eastAsiaTheme="minorEastAsia" w:cstheme="minorBidi"/>
              <w:noProof/>
              <w:lang w:val="en-US" w:bidi="he-IL"/>
            </w:rPr>
          </w:pPr>
          <w:hyperlink w:anchor="_Toc98846419" w:history="1">
            <w:r w:rsidR="000F6840" w:rsidRPr="00874A28">
              <w:rPr>
                <w:rStyle w:val="Hiperhivatkozs"/>
                <w:noProof/>
              </w:rPr>
              <w:t>3</w:t>
            </w:r>
            <w:r w:rsidR="000F6840">
              <w:rPr>
                <w:rFonts w:eastAsiaTheme="minorEastAsia" w:cstheme="minorBidi"/>
                <w:noProof/>
                <w:lang w:val="en-US" w:bidi="he-IL"/>
              </w:rPr>
              <w:tab/>
            </w:r>
            <w:r w:rsidR="000F6840" w:rsidRPr="00874A28">
              <w:rPr>
                <w:rStyle w:val="Hiperhivatkozs"/>
                <w:bCs/>
                <w:noProof/>
                <w:lang w:val="en-GB"/>
              </w:rPr>
              <w:t>Regulation of 2300-2400 frequency band</w:t>
            </w:r>
            <w:r w:rsidR="000F6840">
              <w:rPr>
                <w:noProof/>
                <w:webHidden/>
              </w:rPr>
              <w:tab/>
            </w:r>
            <w:r w:rsidR="000F6840">
              <w:rPr>
                <w:noProof/>
                <w:webHidden/>
              </w:rPr>
              <w:fldChar w:fldCharType="begin"/>
            </w:r>
            <w:r w:rsidR="000F6840">
              <w:rPr>
                <w:noProof/>
                <w:webHidden/>
              </w:rPr>
              <w:instrText xml:space="preserve"> PAGEREF _Toc98846419 \h </w:instrText>
            </w:r>
            <w:r w:rsidR="000F6840">
              <w:rPr>
                <w:noProof/>
                <w:webHidden/>
              </w:rPr>
            </w:r>
            <w:r w:rsidR="000F6840">
              <w:rPr>
                <w:noProof/>
                <w:webHidden/>
              </w:rPr>
              <w:fldChar w:fldCharType="separate"/>
            </w:r>
            <w:r w:rsidR="000F6840">
              <w:rPr>
                <w:noProof/>
                <w:webHidden/>
              </w:rPr>
              <w:t>6</w:t>
            </w:r>
            <w:r w:rsidR="000F6840">
              <w:rPr>
                <w:noProof/>
                <w:webHidden/>
              </w:rPr>
              <w:fldChar w:fldCharType="end"/>
            </w:r>
          </w:hyperlink>
        </w:p>
        <w:p w14:paraId="43B0479A" w14:textId="77777777" w:rsidR="000F6840" w:rsidRDefault="001D2AD7">
          <w:pPr>
            <w:pStyle w:val="TJ2"/>
            <w:tabs>
              <w:tab w:val="left" w:pos="880"/>
              <w:tab w:val="right" w:leader="dot" w:pos="9062"/>
            </w:tabs>
            <w:rPr>
              <w:rFonts w:eastAsiaTheme="minorEastAsia" w:cstheme="minorBidi"/>
              <w:noProof/>
              <w:lang w:val="en-US" w:bidi="he-IL"/>
            </w:rPr>
          </w:pPr>
          <w:hyperlink w:anchor="_Toc98846420" w:history="1">
            <w:r w:rsidR="000F6840" w:rsidRPr="00874A28">
              <w:rPr>
                <w:rStyle w:val="Hiperhivatkozs"/>
                <w:noProof/>
              </w:rPr>
              <w:t>3.1</w:t>
            </w:r>
            <w:r w:rsidR="000F6840">
              <w:rPr>
                <w:rFonts w:eastAsiaTheme="minorEastAsia" w:cstheme="minorBidi"/>
                <w:noProof/>
                <w:lang w:val="en-US" w:bidi="he-IL"/>
              </w:rPr>
              <w:tab/>
            </w:r>
            <w:r w:rsidR="000F6840" w:rsidRPr="00874A28">
              <w:rPr>
                <w:rStyle w:val="Hiperhivatkozs"/>
                <w:bCs/>
                <w:noProof/>
                <w:lang w:val="en-GB"/>
              </w:rPr>
              <w:t>International regulation</w:t>
            </w:r>
            <w:r w:rsidR="000F6840">
              <w:rPr>
                <w:noProof/>
                <w:webHidden/>
              </w:rPr>
              <w:tab/>
            </w:r>
            <w:r w:rsidR="000F6840">
              <w:rPr>
                <w:noProof/>
                <w:webHidden/>
              </w:rPr>
              <w:fldChar w:fldCharType="begin"/>
            </w:r>
            <w:r w:rsidR="000F6840">
              <w:rPr>
                <w:noProof/>
                <w:webHidden/>
              </w:rPr>
              <w:instrText xml:space="preserve"> PAGEREF _Toc98846420 \h </w:instrText>
            </w:r>
            <w:r w:rsidR="000F6840">
              <w:rPr>
                <w:noProof/>
                <w:webHidden/>
              </w:rPr>
            </w:r>
            <w:r w:rsidR="000F6840">
              <w:rPr>
                <w:noProof/>
                <w:webHidden/>
              </w:rPr>
              <w:fldChar w:fldCharType="separate"/>
            </w:r>
            <w:r w:rsidR="000F6840">
              <w:rPr>
                <w:noProof/>
                <w:webHidden/>
              </w:rPr>
              <w:t>6</w:t>
            </w:r>
            <w:r w:rsidR="000F6840">
              <w:rPr>
                <w:noProof/>
                <w:webHidden/>
              </w:rPr>
              <w:fldChar w:fldCharType="end"/>
            </w:r>
          </w:hyperlink>
        </w:p>
        <w:p w14:paraId="5CB7A814" w14:textId="77777777" w:rsidR="000F6840" w:rsidRDefault="001D2AD7">
          <w:pPr>
            <w:pStyle w:val="TJ3"/>
            <w:tabs>
              <w:tab w:val="left" w:pos="1320"/>
              <w:tab w:val="right" w:leader="dot" w:pos="9062"/>
            </w:tabs>
            <w:rPr>
              <w:rFonts w:eastAsiaTheme="minorEastAsia" w:cstheme="minorBidi"/>
              <w:noProof/>
              <w:lang w:val="en-US" w:bidi="he-IL"/>
            </w:rPr>
          </w:pPr>
          <w:hyperlink w:anchor="_Toc98846421" w:history="1">
            <w:r w:rsidR="000F6840" w:rsidRPr="00874A28">
              <w:rPr>
                <w:rStyle w:val="Hiperhivatkozs"/>
                <w:noProof/>
              </w:rPr>
              <w:t>3.1.1</w:t>
            </w:r>
            <w:r w:rsidR="000F6840">
              <w:rPr>
                <w:rFonts w:eastAsiaTheme="minorEastAsia" w:cstheme="minorBidi"/>
                <w:noProof/>
                <w:lang w:val="en-US" w:bidi="he-IL"/>
              </w:rPr>
              <w:tab/>
            </w:r>
            <w:r w:rsidR="000F6840" w:rsidRPr="00874A28">
              <w:rPr>
                <w:rStyle w:val="Hiperhivatkozs"/>
                <w:bCs/>
                <w:noProof/>
                <w:lang w:val="en-GB"/>
              </w:rPr>
              <w:t>ITU</w:t>
            </w:r>
            <w:r w:rsidR="000F6840">
              <w:rPr>
                <w:noProof/>
                <w:webHidden/>
              </w:rPr>
              <w:tab/>
            </w:r>
            <w:r w:rsidR="000F6840">
              <w:rPr>
                <w:noProof/>
                <w:webHidden/>
              </w:rPr>
              <w:fldChar w:fldCharType="begin"/>
            </w:r>
            <w:r w:rsidR="000F6840">
              <w:rPr>
                <w:noProof/>
                <w:webHidden/>
              </w:rPr>
              <w:instrText xml:space="preserve"> PAGEREF _Toc98846421 \h </w:instrText>
            </w:r>
            <w:r w:rsidR="000F6840">
              <w:rPr>
                <w:noProof/>
                <w:webHidden/>
              </w:rPr>
            </w:r>
            <w:r w:rsidR="000F6840">
              <w:rPr>
                <w:noProof/>
                <w:webHidden/>
              </w:rPr>
              <w:fldChar w:fldCharType="separate"/>
            </w:r>
            <w:r w:rsidR="000F6840">
              <w:rPr>
                <w:noProof/>
                <w:webHidden/>
              </w:rPr>
              <w:t>6</w:t>
            </w:r>
            <w:r w:rsidR="000F6840">
              <w:rPr>
                <w:noProof/>
                <w:webHidden/>
              </w:rPr>
              <w:fldChar w:fldCharType="end"/>
            </w:r>
          </w:hyperlink>
        </w:p>
        <w:p w14:paraId="0CB7DC8A" w14:textId="77777777" w:rsidR="000F6840" w:rsidRDefault="001D2AD7">
          <w:pPr>
            <w:pStyle w:val="TJ3"/>
            <w:tabs>
              <w:tab w:val="left" w:pos="1320"/>
              <w:tab w:val="right" w:leader="dot" w:pos="9062"/>
            </w:tabs>
            <w:rPr>
              <w:rFonts w:eastAsiaTheme="minorEastAsia" w:cstheme="minorBidi"/>
              <w:noProof/>
              <w:lang w:val="en-US" w:bidi="he-IL"/>
            </w:rPr>
          </w:pPr>
          <w:hyperlink w:anchor="_Toc98846422" w:history="1">
            <w:r w:rsidR="000F6840" w:rsidRPr="00874A28">
              <w:rPr>
                <w:rStyle w:val="Hiperhivatkozs"/>
                <w:noProof/>
              </w:rPr>
              <w:t>3.1.2</w:t>
            </w:r>
            <w:r w:rsidR="000F6840">
              <w:rPr>
                <w:rFonts w:eastAsiaTheme="minorEastAsia" w:cstheme="minorBidi"/>
                <w:noProof/>
                <w:lang w:val="en-US" w:bidi="he-IL"/>
              </w:rPr>
              <w:tab/>
            </w:r>
            <w:r w:rsidR="000F6840" w:rsidRPr="00874A28">
              <w:rPr>
                <w:rStyle w:val="Hiperhivatkozs"/>
                <w:bCs/>
                <w:noProof/>
                <w:lang w:val="en-GB"/>
              </w:rPr>
              <w:t>CEPT</w:t>
            </w:r>
            <w:r w:rsidR="000F6840">
              <w:rPr>
                <w:noProof/>
                <w:webHidden/>
              </w:rPr>
              <w:tab/>
            </w:r>
            <w:r w:rsidR="000F6840">
              <w:rPr>
                <w:noProof/>
                <w:webHidden/>
              </w:rPr>
              <w:fldChar w:fldCharType="begin"/>
            </w:r>
            <w:r w:rsidR="000F6840">
              <w:rPr>
                <w:noProof/>
                <w:webHidden/>
              </w:rPr>
              <w:instrText xml:space="preserve"> PAGEREF _Toc98846422 \h </w:instrText>
            </w:r>
            <w:r w:rsidR="000F6840">
              <w:rPr>
                <w:noProof/>
                <w:webHidden/>
              </w:rPr>
            </w:r>
            <w:r w:rsidR="000F6840">
              <w:rPr>
                <w:noProof/>
                <w:webHidden/>
              </w:rPr>
              <w:fldChar w:fldCharType="separate"/>
            </w:r>
            <w:r w:rsidR="000F6840">
              <w:rPr>
                <w:noProof/>
                <w:webHidden/>
              </w:rPr>
              <w:t>7</w:t>
            </w:r>
            <w:r w:rsidR="000F6840">
              <w:rPr>
                <w:noProof/>
                <w:webHidden/>
              </w:rPr>
              <w:fldChar w:fldCharType="end"/>
            </w:r>
          </w:hyperlink>
        </w:p>
        <w:p w14:paraId="04944260" w14:textId="77777777" w:rsidR="000F6840" w:rsidRDefault="001D2AD7">
          <w:pPr>
            <w:pStyle w:val="TJ3"/>
            <w:tabs>
              <w:tab w:val="left" w:pos="1320"/>
              <w:tab w:val="right" w:leader="dot" w:pos="9062"/>
            </w:tabs>
            <w:rPr>
              <w:rFonts w:eastAsiaTheme="minorEastAsia" w:cstheme="minorBidi"/>
              <w:noProof/>
              <w:lang w:val="en-US" w:bidi="he-IL"/>
            </w:rPr>
          </w:pPr>
          <w:hyperlink w:anchor="_Toc98846423" w:history="1">
            <w:r w:rsidR="000F6840" w:rsidRPr="00874A28">
              <w:rPr>
                <w:rStyle w:val="Hiperhivatkozs"/>
                <w:noProof/>
              </w:rPr>
              <w:t>3.1.3</w:t>
            </w:r>
            <w:r w:rsidR="000F6840">
              <w:rPr>
                <w:rFonts w:eastAsiaTheme="minorEastAsia" w:cstheme="minorBidi"/>
                <w:noProof/>
                <w:lang w:val="en-US" w:bidi="he-IL"/>
              </w:rPr>
              <w:tab/>
            </w:r>
            <w:r w:rsidR="000F6840" w:rsidRPr="00874A28">
              <w:rPr>
                <w:rStyle w:val="Hiperhivatkozs"/>
                <w:bCs/>
                <w:noProof/>
                <w:lang w:val="en-GB"/>
              </w:rPr>
              <w:t>EU</w:t>
            </w:r>
            <w:r w:rsidR="000F6840">
              <w:rPr>
                <w:noProof/>
                <w:webHidden/>
              </w:rPr>
              <w:tab/>
            </w:r>
            <w:r w:rsidR="000F6840">
              <w:rPr>
                <w:noProof/>
                <w:webHidden/>
              </w:rPr>
              <w:fldChar w:fldCharType="begin"/>
            </w:r>
            <w:r w:rsidR="000F6840">
              <w:rPr>
                <w:noProof/>
                <w:webHidden/>
              </w:rPr>
              <w:instrText xml:space="preserve"> PAGEREF _Toc98846423 \h </w:instrText>
            </w:r>
            <w:r w:rsidR="000F6840">
              <w:rPr>
                <w:noProof/>
                <w:webHidden/>
              </w:rPr>
            </w:r>
            <w:r w:rsidR="000F6840">
              <w:rPr>
                <w:noProof/>
                <w:webHidden/>
              </w:rPr>
              <w:fldChar w:fldCharType="separate"/>
            </w:r>
            <w:r w:rsidR="000F6840">
              <w:rPr>
                <w:noProof/>
                <w:webHidden/>
              </w:rPr>
              <w:t>8</w:t>
            </w:r>
            <w:r w:rsidR="000F6840">
              <w:rPr>
                <w:noProof/>
                <w:webHidden/>
              </w:rPr>
              <w:fldChar w:fldCharType="end"/>
            </w:r>
          </w:hyperlink>
        </w:p>
        <w:p w14:paraId="46C2FEBE" w14:textId="77777777" w:rsidR="000F6840" w:rsidRDefault="001D2AD7">
          <w:pPr>
            <w:pStyle w:val="TJ3"/>
            <w:tabs>
              <w:tab w:val="left" w:pos="1320"/>
              <w:tab w:val="right" w:leader="dot" w:pos="9062"/>
            </w:tabs>
            <w:rPr>
              <w:rFonts w:eastAsiaTheme="minorEastAsia" w:cstheme="minorBidi"/>
              <w:noProof/>
              <w:lang w:val="en-US" w:bidi="he-IL"/>
            </w:rPr>
          </w:pPr>
          <w:hyperlink w:anchor="_Toc98846424" w:history="1">
            <w:r w:rsidR="000F6840" w:rsidRPr="00874A28">
              <w:rPr>
                <w:rStyle w:val="Hiperhivatkozs"/>
                <w:noProof/>
              </w:rPr>
              <w:t>3.1.4</w:t>
            </w:r>
            <w:r w:rsidR="000F6840">
              <w:rPr>
                <w:rFonts w:eastAsiaTheme="minorEastAsia" w:cstheme="minorBidi"/>
                <w:noProof/>
                <w:lang w:val="en-US" w:bidi="he-IL"/>
              </w:rPr>
              <w:tab/>
            </w:r>
            <w:r w:rsidR="000F6840" w:rsidRPr="00874A28">
              <w:rPr>
                <w:rStyle w:val="Hiperhivatkozs"/>
                <w:bCs/>
                <w:noProof/>
                <w:lang w:val="en-GB"/>
              </w:rPr>
              <w:t>Standards</w:t>
            </w:r>
            <w:r w:rsidR="000F6840">
              <w:rPr>
                <w:noProof/>
                <w:webHidden/>
              </w:rPr>
              <w:tab/>
            </w:r>
            <w:r w:rsidR="000F6840">
              <w:rPr>
                <w:noProof/>
                <w:webHidden/>
              </w:rPr>
              <w:fldChar w:fldCharType="begin"/>
            </w:r>
            <w:r w:rsidR="000F6840">
              <w:rPr>
                <w:noProof/>
                <w:webHidden/>
              </w:rPr>
              <w:instrText xml:space="preserve"> PAGEREF _Toc98846424 \h </w:instrText>
            </w:r>
            <w:r w:rsidR="000F6840">
              <w:rPr>
                <w:noProof/>
                <w:webHidden/>
              </w:rPr>
            </w:r>
            <w:r w:rsidR="000F6840">
              <w:rPr>
                <w:noProof/>
                <w:webHidden/>
              </w:rPr>
              <w:fldChar w:fldCharType="separate"/>
            </w:r>
            <w:r w:rsidR="000F6840">
              <w:rPr>
                <w:noProof/>
                <w:webHidden/>
              </w:rPr>
              <w:t>8</w:t>
            </w:r>
            <w:r w:rsidR="000F6840">
              <w:rPr>
                <w:noProof/>
                <w:webHidden/>
              </w:rPr>
              <w:fldChar w:fldCharType="end"/>
            </w:r>
          </w:hyperlink>
        </w:p>
        <w:p w14:paraId="41B39CC2" w14:textId="77777777" w:rsidR="000F6840" w:rsidRDefault="001D2AD7">
          <w:pPr>
            <w:pStyle w:val="TJ2"/>
            <w:tabs>
              <w:tab w:val="left" w:pos="880"/>
              <w:tab w:val="right" w:leader="dot" w:pos="9062"/>
            </w:tabs>
            <w:rPr>
              <w:rFonts w:eastAsiaTheme="minorEastAsia" w:cstheme="minorBidi"/>
              <w:noProof/>
              <w:lang w:val="en-US" w:bidi="he-IL"/>
            </w:rPr>
          </w:pPr>
          <w:hyperlink w:anchor="_Toc98846425" w:history="1">
            <w:r w:rsidR="000F6840" w:rsidRPr="00874A28">
              <w:rPr>
                <w:rStyle w:val="Hiperhivatkozs"/>
                <w:noProof/>
              </w:rPr>
              <w:t>3.2</w:t>
            </w:r>
            <w:r w:rsidR="000F6840">
              <w:rPr>
                <w:rFonts w:eastAsiaTheme="minorEastAsia" w:cstheme="minorBidi"/>
                <w:noProof/>
                <w:lang w:val="en-US" w:bidi="he-IL"/>
              </w:rPr>
              <w:tab/>
            </w:r>
            <w:r w:rsidR="000F6840" w:rsidRPr="00874A28">
              <w:rPr>
                <w:rStyle w:val="Hiperhivatkozs"/>
                <w:bCs/>
                <w:noProof/>
                <w:lang w:val="en-GB"/>
              </w:rPr>
              <w:t>National regulation</w:t>
            </w:r>
            <w:r w:rsidR="000F6840">
              <w:rPr>
                <w:noProof/>
                <w:webHidden/>
              </w:rPr>
              <w:tab/>
            </w:r>
            <w:r w:rsidR="000F6840">
              <w:rPr>
                <w:noProof/>
                <w:webHidden/>
              </w:rPr>
              <w:fldChar w:fldCharType="begin"/>
            </w:r>
            <w:r w:rsidR="000F6840">
              <w:rPr>
                <w:noProof/>
                <w:webHidden/>
              </w:rPr>
              <w:instrText xml:space="preserve"> PAGEREF _Toc98846425 \h </w:instrText>
            </w:r>
            <w:r w:rsidR="000F6840">
              <w:rPr>
                <w:noProof/>
                <w:webHidden/>
              </w:rPr>
            </w:r>
            <w:r w:rsidR="000F6840">
              <w:rPr>
                <w:noProof/>
                <w:webHidden/>
              </w:rPr>
              <w:fldChar w:fldCharType="separate"/>
            </w:r>
            <w:r w:rsidR="000F6840">
              <w:rPr>
                <w:noProof/>
                <w:webHidden/>
              </w:rPr>
              <w:t>9</w:t>
            </w:r>
            <w:r w:rsidR="000F6840">
              <w:rPr>
                <w:noProof/>
                <w:webHidden/>
              </w:rPr>
              <w:fldChar w:fldCharType="end"/>
            </w:r>
          </w:hyperlink>
        </w:p>
        <w:p w14:paraId="2291A13C" w14:textId="77777777" w:rsidR="000F6840" w:rsidRDefault="001D2AD7">
          <w:pPr>
            <w:pStyle w:val="TJ3"/>
            <w:tabs>
              <w:tab w:val="left" w:pos="1320"/>
              <w:tab w:val="right" w:leader="dot" w:pos="9062"/>
            </w:tabs>
            <w:rPr>
              <w:rFonts w:eastAsiaTheme="minorEastAsia" w:cstheme="minorBidi"/>
              <w:noProof/>
              <w:lang w:val="en-US" w:bidi="he-IL"/>
            </w:rPr>
          </w:pPr>
          <w:hyperlink w:anchor="_Toc98846426" w:history="1">
            <w:r w:rsidR="000F6840" w:rsidRPr="00874A28">
              <w:rPr>
                <w:rStyle w:val="Hiperhivatkozs"/>
                <w:noProof/>
              </w:rPr>
              <w:t>3.2.1</w:t>
            </w:r>
            <w:r w:rsidR="000F6840">
              <w:rPr>
                <w:rFonts w:eastAsiaTheme="minorEastAsia" w:cstheme="minorBidi"/>
                <w:noProof/>
                <w:lang w:val="en-US" w:bidi="he-IL"/>
              </w:rPr>
              <w:tab/>
            </w:r>
            <w:r w:rsidR="000F6840" w:rsidRPr="00874A28">
              <w:rPr>
                <w:rStyle w:val="Hiperhivatkozs"/>
                <w:bCs/>
                <w:noProof/>
                <w:lang w:val="en-GB"/>
              </w:rPr>
              <w:t>Provisions of NFFF Decree</w:t>
            </w:r>
            <w:r w:rsidR="000F6840">
              <w:rPr>
                <w:noProof/>
                <w:webHidden/>
              </w:rPr>
              <w:tab/>
            </w:r>
            <w:r w:rsidR="000F6840">
              <w:rPr>
                <w:noProof/>
                <w:webHidden/>
              </w:rPr>
              <w:fldChar w:fldCharType="begin"/>
            </w:r>
            <w:r w:rsidR="000F6840">
              <w:rPr>
                <w:noProof/>
                <w:webHidden/>
              </w:rPr>
              <w:instrText xml:space="preserve"> PAGEREF _Toc98846426 \h </w:instrText>
            </w:r>
            <w:r w:rsidR="000F6840">
              <w:rPr>
                <w:noProof/>
                <w:webHidden/>
              </w:rPr>
            </w:r>
            <w:r w:rsidR="000F6840">
              <w:rPr>
                <w:noProof/>
                <w:webHidden/>
              </w:rPr>
              <w:fldChar w:fldCharType="separate"/>
            </w:r>
            <w:r w:rsidR="000F6840">
              <w:rPr>
                <w:noProof/>
                <w:webHidden/>
              </w:rPr>
              <w:t>9</w:t>
            </w:r>
            <w:r w:rsidR="000F6840">
              <w:rPr>
                <w:noProof/>
                <w:webHidden/>
              </w:rPr>
              <w:fldChar w:fldCharType="end"/>
            </w:r>
          </w:hyperlink>
        </w:p>
        <w:p w14:paraId="47E33DB5" w14:textId="77777777" w:rsidR="000F6840" w:rsidRDefault="001D2AD7">
          <w:pPr>
            <w:pStyle w:val="TJ3"/>
            <w:tabs>
              <w:tab w:val="left" w:pos="1320"/>
              <w:tab w:val="right" w:leader="dot" w:pos="9062"/>
            </w:tabs>
            <w:rPr>
              <w:rFonts w:eastAsiaTheme="minorEastAsia" w:cstheme="minorBidi"/>
              <w:noProof/>
              <w:lang w:val="en-US" w:bidi="he-IL"/>
            </w:rPr>
          </w:pPr>
          <w:hyperlink w:anchor="_Toc98846427" w:history="1">
            <w:r w:rsidR="000F6840" w:rsidRPr="00874A28">
              <w:rPr>
                <w:rStyle w:val="Hiperhivatkozs"/>
                <w:noProof/>
              </w:rPr>
              <w:t>3.2.2</w:t>
            </w:r>
            <w:r w:rsidR="000F6840">
              <w:rPr>
                <w:rFonts w:eastAsiaTheme="minorEastAsia" w:cstheme="minorBidi"/>
                <w:noProof/>
                <w:lang w:val="en-US" w:bidi="he-IL"/>
              </w:rPr>
              <w:tab/>
            </w:r>
            <w:r w:rsidR="000F6840" w:rsidRPr="00874A28">
              <w:rPr>
                <w:rStyle w:val="Hiperhivatkozs"/>
                <w:bCs/>
                <w:noProof/>
                <w:lang w:val="en-GB"/>
              </w:rPr>
              <w:t>Conditions of use of non-civil terrestrial electronic communications networks in the 2370-2400 MHz frequency band</w:t>
            </w:r>
            <w:r w:rsidR="000F6840">
              <w:rPr>
                <w:noProof/>
                <w:webHidden/>
              </w:rPr>
              <w:tab/>
            </w:r>
            <w:r w:rsidR="000F6840">
              <w:rPr>
                <w:noProof/>
                <w:webHidden/>
              </w:rPr>
              <w:fldChar w:fldCharType="begin"/>
            </w:r>
            <w:r w:rsidR="000F6840">
              <w:rPr>
                <w:noProof/>
                <w:webHidden/>
              </w:rPr>
              <w:instrText xml:space="preserve"> PAGEREF _Toc98846427 \h </w:instrText>
            </w:r>
            <w:r w:rsidR="000F6840">
              <w:rPr>
                <w:noProof/>
                <w:webHidden/>
              </w:rPr>
            </w:r>
            <w:r w:rsidR="000F6840">
              <w:rPr>
                <w:noProof/>
                <w:webHidden/>
              </w:rPr>
              <w:fldChar w:fldCharType="separate"/>
            </w:r>
            <w:r w:rsidR="000F6840">
              <w:rPr>
                <w:noProof/>
                <w:webHidden/>
              </w:rPr>
              <w:t>10</w:t>
            </w:r>
            <w:r w:rsidR="000F6840">
              <w:rPr>
                <w:noProof/>
                <w:webHidden/>
              </w:rPr>
              <w:fldChar w:fldCharType="end"/>
            </w:r>
          </w:hyperlink>
        </w:p>
        <w:p w14:paraId="73C32A75" w14:textId="77777777" w:rsidR="000F6840" w:rsidRDefault="001D2AD7">
          <w:pPr>
            <w:pStyle w:val="TJ3"/>
            <w:tabs>
              <w:tab w:val="left" w:pos="1320"/>
              <w:tab w:val="right" w:leader="dot" w:pos="9062"/>
            </w:tabs>
            <w:rPr>
              <w:rFonts w:eastAsiaTheme="minorEastAsia" w:cstheme="minorBidi"/>
              <w:noProof/>
              <w:lang w:val="en-US" w:bidi="he-IL"/>
            </w:rPr>
          </w:pPr>
          <w:hyperlink w:anchor="_Toc98846428" w:history="1">
            <w:r w:rsidR="000F6840" w:rsidRPr="00874A28">
              <w:rPr>
                <w:rStyle w:val="Hiperhivatkozs"/>
                <w:noProof/>
              </w:rPr>
              <w:t>3.2.3</w:t>
            </w:r>
            <w:r w:rsidR="000F6840">
              <w:rPr>
                <w:rFonts w:eastAsiaTheme="minorEastAsia" w:cstheme="minorBidi"/>
                <w:noProof/>
                <w:lang w:val="en-US" w:bidi="he-IL"/>
              </w:rPr>
              <w:tab/>
            </w:r>
            <w:r w:rsidR="000F6840" w:rsidRPr="00874A28">
              <w:rPr>
                <w:rStyle w:val="Hiperhivatkozs"/>
                <w:bCs/>
                <w:noProof/>
                <w:lang w:val="en-GB"/>
              </w:rPr>
              <w:t>Other applications in the 2300–2400 MHz frequency band</w:t>
            </w:r>
            <w:r w:rsidR="000F6840">
              <w:rPr>
                <w:noProof/>
                <w:webHidden/>
              </w:rPr>
              <w:tab/>
            </w:r>
            <w:r w:rsidR="000F6840">
              <w:rPr>
                <w:noProof/>
                <w:webHidden/>
              </w:rPr>
              <w:fldChar w:fldCharType="begin"/>
            </w:r>
            <w:r w:rsidR="000F6840">
              <w:rPr>
                <w:noProof/>
                <w:webHidden/>
              </w:rPr>
              <w:instrText xml:space="preserve"> PAGEREF _Toc98846428 \h </w:instrText>
            </w:r>
            <w:r w:rsidR="000F6840">
              <w:rPr>
                <w:noProof/>
                <w:webHidden/>
              </w:rPr>
            </w:r>
            <w:r w:rsidR="000F6840">
              <w:rPr>
                <w:noProof/>
                <w:webHidden/>
              </w:rPr>
              <w:fldChar w:fldCharType="separate"/>
            </w:r>
            <w:r w:rsidR="000F6840">
              <w:rPr>
                <w:noProof/>
                <w:webHidden/>
              </w:rPr>
              <w:t>11</w:t>
            </w:r>
            <w:r w:rsidR="000F6840">
              <w:rPr>
                <w:noProof/>
                <w:webHidden/>
              </w:rPr>
              <w:fldChar w:fldCharType="end"/>
            </w:r>
          </w:hyperlink>
        </w:p>
        <w:p w14:paraId="2140C550" w14:textId="77777777" w:rsidR="000F6840" w:rsidRDefault="001D2AD7">
          <w:pPr>
            <w:pStyle w:val="TJ1"/>
            <w:tabs>
              <w:tab w:val="left" w:pos="440"/>
              <w:tab w:val="right" w:leader="dot" w:pos="9062"/>
            </w:tabs>
            <w:rPr>
              <w:rFonts w:eastAsiaTheme="minorEastAsia" w:cstheme="minorBidi"/>
              <w:noProof/>
              <w:lang w:val="en-US" w:bidi="he-IL"/>
            </w:rPr>
          </w:pPr>
          <w:hyperlink w:anchor="_Toc98846429" w:history="1">
            <w:r w:rsidR="000F6840" w:rsidRPr="00874A28">
              <w:rPr>
                <w:rStyle w:val="Hiperhivatkozs"/>
                <w:noProof/>
              </w:rPr>
              <w:t>4</w:t>
            </w:r>
            <w:r w:rsidR="000F6840">
              <w:rPr>
                <w:rFonts w:eastAsiaTheme="minorEastAsia" w:cstheme="minorBidi"/>
                <w:noProof/>
                <w:lang w:val="en-US" w:bidi="he-IL"/>
              </w:rPr>
              <w:tab/>
            </w:r>
            <w:r w:rsidR="000F6840" w:rsidRPr="00874A28">
              <w:rPr>
                <w:rStyle w:val="Hiperhivatkozs"/>
                <w:bCs/>
                <w:noProof/>
                <w:lang w:val="en-GB"/>
              </w:rPr>
              <w:t>Current use</w:t>
            </w:r>
            <w:r w:rsidR="000F6840">
              <w:rPr>
                <w:noProof/>
                <w:webHidden/>
              </w:rPr>
              <w:tab/>
            </w:r>
            <w:r w:rsidR="000F6840">
              <w:rPr>
                <w:noProof/>
                <w:webHidden/>
              </w:rPr>
              <w:fldChar w:fldCharType="begin"/>
            </w:r>
            <w:r w:rsidR="000F6840">
              <w:rPr>
                <w:noProof/>
                <w:webHidden/>
              </w:rPr>
              <w:instrText xml:space="preserve"> PAGEREF _Toc98846429 \h </w:instrText>
            </w:r>
            <w:r w:rsidR="000F6840">
              <w:rPr>
                <w:noProof/>
                <w:webHidden/>
              </w:rPr>
            </w:r>
            <w:r w:rsidR="000F6840">
              <w:rPr>
                <w:noProof/>
                <w:webHidden/>
              </w:rPr>
              <w:fldChar w:fldCharType="separate"/>
            </w:r>
            <w:r w:rsidR="000F6840">
              <w:rPr>
                <w:noProof/>
                <w:webHidden/>
              </w:rPr>
              <w:t>11</w:t>
            </w:r>
            <w:r w:rsidR="000F6840">
              <w:rPr>
                <w:noProof/>
                <w:webHidden/>
              </w:rPr>
              <w:fldChar w:fldCharType="end"/>
            </w:r>
          </w:hyperlink>
        </w:p>
        <w:p w14:paraId="4CDE5CD0" w14:textId="77777777" w:rsidR="000F6840" w:rsidRDefault="001D2AD7">
          <w:pPr>
            <w:pStyle w:val="TJ1"/>
            <w:tabs>
              <w:tab w:val="left" w:pos="440"/>
              <w:tab w:val="right" w:leader="dot" w:pos="9062"/>
            </w:tabs>
            <w:rPr>
              <w:rFonts w:eastAsiaTheme="minorEastAsia" w:cstheme="minorBidi"/>
              <w:noProof/>
              <w:lang w:val="en-US" w:bidi="he-IL"/>
            </w:rPr>
          </w:pPr>
          <w:hyperlink w:anchor="_Toc98846430" w:history="1">
            <w:r w:rsidR="000F6840" w:rsidRPr="00874A28">
              <w:rPr>
                <w:rStyle w:val="Hiperhivatkozs"/>
                <w:noProof/>
              </w:rPr>
              <w:t>5</w:t>
            </w:r>
            <w:r w:rsidR="000F6840">
              <w:rPr>
                <w:rFonts w:eastAsiaTheme="minorEastAsia" w:cstheme="minorBidi"/>
                <w:noProof/>
                <w:lang w:val="en-US" w:bidi="he-IL"/>
              </w:rPr>
              <w:tab/>
            </w:r>
            <w:r w:rsidR="000F6840" w:rsidRPr="00874A28">
              <w:rPr>
                <w:rStyle w:val="Hiperhivatkozs"/>
                <w:bCs/>
                <w:noProof/>
                <w:lang w:val="en-GB"/>
              </w:rPr>
              <w:t>National regulatory plans</w:t>
            </w:r>
            <w:r w:rsidR="000F6840">
              <w:rPr>
                <w:noProof/>
                <w:webHidden/>
              </w:rPr>
              <w:tab/>
            </w:r>
            <w:r w:rsidR="000F6840">
              <w:rPr>
                <w:noProof/>
                <w:webHidden/>
              </w:rPr>
              <w:fldChar w:fldCharType="begin"/>
            </w:r>
            <w:r w:rsidR="000F6840">
              <w:rPr>
                <w:noProof/>
                <w:webHidden/>
              </w:rPr>
              <w:instrText xml:space="preserve"> PAGEREF _Toc98846430 \h </w:instrText>
            </w:r>
            <w:r w:rsidR="000F6840">
              <w:rPr>
                <w:noProof/>
                <w:webHidden/>
              </w:rPr>
            </w:r>
            <w:r w:rsidR="000F6840">
              <w:rPr>
                <w:noProof/>
                <w:webHidden/>
              </w:rPr>
              <w:fldChar w:fldCharType="separate"/>
            </w:r>
            <w:r w:rsidR="000F6840">
              <w:rPr>
                <w:noProof/>
                <w:webHidden/>
              </w:rPr>
              <w:t>11</w:t>
            </w:r>
            <w:r w:rsidR="000F6840">
              <w:rPr>
                <w:noProof/>
                <w:webHidden/>
              </w:rPr>
              <w:fldChar w:fldCharType="end"/>
            </w:r>
          </w:hyperlink>
        </w:p>
        <w:p w14:paraId="099B6DBC" w14:textId="77777777" w:rsidR="000F6840" w:rsidRDefault="001D2AD7">
          <w:pPr>
            <w:pStyle w:val="TJ2"/>
            <w:tabs>
              <w:tab w:val="left" w:pos="880"/>
              <w:tab w:val="right" w:leader="dot" w:pos="9062"/>
            </w:tabs>
            <w:rPr>
              <w:rFonts w:eastAsiaTheme="minorEastAsia" w:cstheme="minorBidi"/>
              <w:noProof/>
              <w:lang w:val="en-US" w:bidi="he-IL"/>
            </w:rPr>
          </w:pPr>
          <w:hyperlink w:anchor="_Toc98846431" w:history="1">
            <w:r w:rsidR="000F6840" w:rsidRPr="00874A28">
              <w:rPr>
                <w:rStyle w:val="Hiperhivatkozs"/>
                <w:noProof/>
              </w:rPr>
              <w:t>5.1</w:t>
            </w:r>
            <w:r w:rsidR="000F6840">
              <w:rPr>
                <w:rFonts w:eastAsiaTheme="minorEastAsia" w:cstheme="minorBidi"/>
                <w:noProof/>
                <w:lang w:val="en-US" w:bidi="he-IL"/>
              </w:rPr>
              <w:tab/>
            </w:r>
            <w:r w:rsidR="000F6840" w:rsidRPr="00874A28">
              <w:rPr>
                <w:rStyle w:val="Hiperhivatkozs"/>
                <w:bCs/>
                <w:noProof/>
                <w:lang w:val="en-GB"/>
              </w:rPr>
              <w:t>Options for future use</w:t>
            </w:r>
            <w:r w:rsidR="000F6840">
              <w:rPr>
                <w:noProof/>
                <w:webHidden/>
              </w:rPr>
              <w:tab/>
            </w:r>
            <w:r w:rsidR="000F6840">
              <w:rPr>
                <w:noProof/>
                <w:webHidden/>
              </w:rPr>
              <w:fldChar w:fldCharType="begin"/>
            </w:r>
            <w:r w:rsidR="000F6840">
              <w:rPr>
                <w:noProof/>
                <w:webHidden/>
              </w:rPr>
              <w:instrText xml:space="preserve"> PAGEREF _Toc98846431 \h </w:instrText>
            </w:r>
            <w:r w:rsidR="000F6840">
              <w:rPr>
                <w:noProof/>
                <w:webHidden/>
              </w:rPr>
            </w:r>
            <w:r w:rsidR="000F6840">
              <w:rPr>
                <w:noProof/>
                <w:webHidden/>
              </w:rPr>
              <w:fldChar w:fldCharType="separate"/>
            </w:r>
            <w:r w:rsidR="000F6840">
              <w:rPr>
                <w:noProof/>
                <w:webHidden/>
              </w:rPr>
              <w:t>12</w:t>
            </w:r>
            <w:r w:rsidR="000F6840">
              <w:rPr>
                <w:noProof/>
                <w:webHidden/>
              </w:rPr>
              <w:fldChar w:fldCharType="end"/>
            </w:r>
          </w:hyperlink>
        </w:p>
        <w:p w14:paraId="2ACD746E" w14:textId="77777777" w:rsidR="000F6840" w:rsidRDefault="001D2AD7">
          <w:pPr>
            <w:pStyle w:val="TJ1"/>
            <w:tabs>
              <w:tab w:val="left" w:pos="440"/>
              <w:tab w:val="right" w:leader="dot" w:pos="9062"/>
            </w:tabs>
            <w:rPr>
              <w:rFonts w:eastAsiaTheme="minorEastAsia" w:cstheme="minorBidi"/>
              <w:noProof/>
              <w:lang w:val="en-US" w:bidi="he-IL"/>
            </w:rPr>
          </w:pPr>
          <w:hyperlink w:anchor="_Toc98846432" w:history="1">
            <w:r w:rsidR="000F6840" w:rsidRPr="00874A28">
              <w:rPr>
                <w:rStyle w:val="Hiperhivatkozs"/>
                <w:noProof/>
              </w:rPr>
              <w:t>6</w:t>
            </w:r>
            <w:r w:rsidR="000F6840">
              <w:rPr>
                <w:rFonts w:eastAsiaTheme="minorEastAsia" w:cstheme="minorBidi"/>
                <w:noProof/>
                <w:lang w:val="en-US" w:bidi="he-IL"/>
              </w:rPr>
              <w:tab/>
            </w:r>
            <w:r w:rsidR="000F6840" w:rsidRPr="00874A28">
              <w:rPr>
                <w:rStyle w:val="Hiperhivatkozs"/>
                <w:bCs/>
                <w:noProof/>
                <w:lang w:val="en-GB"/>
              </w:rPr>
              <w:t>Radio spectrum use in border areas</w:t>
            </w:r>
            <w:r w:rsidR="000F6840">
              <w:rPr>
                <w:noProof/>
                <w:webHidden/>
              </w:rPr>
              <w:tab/>
            </w:r>
            <w:r w:rsidR="000F6840">
              <w:rPr>
                <w:noProof/>
                <w:webHidden/>
              </w:rPr>
              <w:fldChar w:fldCharType="begin"/>
            </w:r>
            <w:r w:rsidR="000F6840">
              <w:rPr>
                <w:noProof/>
                <w:webHidden/>
              </w:rPr>
              <w:instrText xml:space="preserve"> PAGEREF _Toc98846432 \h </w:instrText>
            </w:r>
            <w:r w:rsidR="000F6840">
              <w:rPr>
                <w:noProof/>
                <w:webHidden/>
              </w:rPr>
            </w:r>
            <w:r w:rsidR="000F6840">
              <w:rPr>
                <w:noProof/>
                <w:webHidden/>
              </w:rPr>
              <w:fldChar w:fldCharType="separate"/>
            </w:r>
            <w:r w:rsidR="000F6840">
              <w:rPr>
                <w:noProof/>
                <w:webHidden/>
              </w:rPr>
              <w:t>13</w:t>
            </w:r>
            <w:r w:rsidR="000F6840">
              <w:rPr>
                <w:noProof/>
                <w:webHidden/>
              </w:rPr>
              <w:fldChar w:fldCharType="end"/>
            </w:r>
          </w:hyperlink>
        </w:p>
        <w:p w14:paraId="26F85D1B" w14:textId="77777777" w:rsidR="000F6840" w:rsidRDefault="001D2AD7">
          <w:pPr>
            <w:pStyle w:val="TJ1"/>
            <w:tabs>
              <w:tab w:val="left" w:pos="440"/>
              <w:tab w:val="right" w:leader="dot" w:pos="9062"/>
            </w:tabs>
            <w:rPr>
              <w:rFonts w:eastAsiaTheme="minorEastAsia" w:cstheme="minorBidi"/>
              <w:noProof/>
              <w:lang w:val="en-US" w:bidi="he-IL"/>
            </w:rPr>
          </w:pPr>
          <w:hyperlink w:anchor="_Toc98846433" w:history="1">
            <w:r w:rsidR="000F6840" w:rsidRPr="00874A28">
              <w:rPr>
                <w:rStyle w:val="Hiperhivatkozs"/>
                <w:noProof/>
              </w:rPr>
              <w:t>7</w:t>
            </w:r>
            <w:r w:rsidR="000F6840">
              <w:rPr>
                <w:rFonts w:eastAsiaTheme="minorEastAsia" w:cstheme="minorBidi"/>
                <w:noProof/>
                <w:lang w:val="en-US" w:bidi="he-IL"/>
              </w:rPr>
              <w:tab/>
            </w:r>
            <w:r w:rsidR="000F6840" w:rsidRPr="00874A28">
              <w:rPr>
                <w:rStyle w:val="Hiperhivatkozs"/>
                <w:bCs/>
                <w:noProof/>
                <w:lang w:val="en-GB"/>
              </w:rPr>
              <w:t>Radio spectrum fees</w:t>
            </w:r>
            <w:r w:rsidR="000F6840">
              <w:rPr>
                <w:noProof/>
                <w:webHidden/>
              </w:rPr>
              <w:tab/>
            </w:r>
            <w:r w:rsidR="000F6840">
              <w:rPr>
                <w:noProof/>
                <w:webHidden/>
              </w:rPr>
              <w:fldChar w:fldCharType="begin"/>
            </w:r>
            <w:r w:rsidR="000F6840">
              <w:rPr>
                <w:noProof/>
                <w:webHidden/>
              </w:rPr>
              <w:instrText xml:space="preserve"> PAGEREF _Toc98846433 \h </w:instrText>
            </w:r>
            <w:r w:rsidR="000F6840">
              <w:rPr>
                <w:noProof/>
                <w:webHidden/>
              </w:rPr>
            </w:r>
            <w:r w:rsidR="000F6840">
              <w:rPr>
                <w:noProof/>
                <w:webHidden/>
              </w:rPr>
              <w:fldChar w:fldCharType="separate"/>
            </w:r>
            <w:r w:rsidR="000F6840">
              <w:rPr>
                <w:noProof/>
                <w:webHidden/>
              </w:rPr>
              <w:t>13</w:t>
            </w:r>
            <w:r w:rsidR="000F6840">
              <w:rPr>
                <w:noProof/>
                <w:webHidden/>
              </w:rPr>
              <w:fldChar w:fldCharType="end"/>
            </w:r>
          </w:hyperlink>
        </w:p>
        <w:p w14:paraId="211890AE" w14:textId="77777777" w:rsidR="00DA31F6" w:rsidRPr="00D86540" w:rsidRDefault="00292C54">
          <w:r>
            <w:fldChar w:fldCharType="end"/>
          </w:r>
        </w:p>
      </w:sdtContent>
    </w:sdt>
    <w:p w14:paraId="46731BB5" w14:textId="77777777" w:rsidR="001F2707" w:rsidRPr="00D86540" w:rsidRDefault="001F2707">
      <w:pPr>
        <w:spacing w:after="200"/>
        <w:jc w:val="left"/>
      </w:pPr>
      <w:r>
        <w:rPr>
          <w:lang w:val="en-GB"/>
        </w:rPr>
        <w:br w:type="page"/>
      </w:r>
    </w:p>
    <w:p w14:paraId="48FAC6F2" w14:textId="77777777" w:rsidR="00966F4D" w:rsidRDefault="0065666F" w:rsidP="0065666F">
      <w:pPr>
        <w:pStyle w:val="Cmsor1szmozottnmhh"/>
        <w:ind w:left="431"/>
      </w:pPr>
      <w:bookmarkStart w:id="1" w:name="_Toc98846417"/>
      <w:r>
        <w:rPr>
          <w:bCs/>
          <w:lang w:val="en-GB"/>
        </w:rPr>
        <w:lastRenderedPageBreak/>
        <w:t>Summary</w:t>
      </w:r>
      <w:bookmarkEnd w:id="1"/>
    </w:p>
    <w:p w14:paraId="57AF03BC" w14:textId="1655E349" w:rsidR="00946ED5" w:rsidRDefault="002106B3" w:rsidP="002106B3">
      <w:pPr>
        <w:pStyle w:val="Behzottbekezdsnmhh"/>
      </w:pPr>
      <w:r>
        <w:rPr>
          <w:lang w:val="en-GB"/>
        </w:rPr>
        <w:t>The 2300-2400 MHz frequency band (hereinafter referred to as the 2300 MHz frequency band) is one of the less used bands, and opportunities to increase efficiency have been sought at European level. At the initiative of the European Commission, a harmonisation process was launched in 2014 to define the least restrictive technical requirements at EU level. Based on the results of CEPT</w:t>
      </w:r>
      <w:r>
        <w:rPr>
          <w:rStyle w:val="Lbjegyzet-hivatkozs"/>
          <w:lang w:val="en-GB"/>
        </w:rPr>
        <w:footnoteReference w:id="1"/>
      </w:r>
      <w:r>
        <w:rPr>
          <w:lang w:val="en-GB"/>
        </w:rPr>
        <w:t xml:space="preserve"> investigations, shared use could allow the introduction of broadband radio applications and the use of the 2300 MHz frequency band for terrestrial electronic communications networks (MFCNs</w:t>
      </w:r>
      <w:r>
        <w:rPr>
          <w:rStyle w:val="Lbjegyzet-hivatkozs"/>
          <w:lang w:val="en-GB"/>
        </w:rPr>
        <w:footnoteReference w:id="2"/>
      </w:r>
      <w:r>
        <w:rPr>
          <w:lang w:val="en-GB"/>
        </w:rPr>
        <w:t xml:space="preserve">) </w:t>
      </w:r>
      <w:r w:rsidR="00B17DB7" w:rsidRPr="00B17DB7">
        <w:rPr>
          <w:lang w:val="en-GB"/>
        </w:rPr>
        <w:t xml:space="preserve">allowing broadband data transmission </w:t>
      </w:r>
      <w:r>
        <w:rPr>
          <w:lang w:val="en-GB"/>
        </w:rPr>
        <w:t xml:space="preserve">on a non-exclusive basis, while protecting existing services. </w:t>
      </w:r>
    </w:p>
    <w:p w14:paraId="702F2A9F" w14:textId="56159D11" w:rsidR="00946ED5" w:rsidRDefault="002106B3" w:rsidP="002106B3">
      <w:pPr>
        <w:pStyle w:val="Behzottbekezdsnmhh"/>
      </w:pPr>
      <w:r>
        <w:rPr>
          <w:lang w:val="en-GB"/>
        </w:rPr>
        <w:t xml:space="preserve">Due to the widely differing use of </w:t>
      </w:r>
      <w:r w:rsidR="00203A31">
        <w:rPr>
          <w:lang w:val="en-GB"/>
        </w:rPr>
        <w:t xml:space="preserve">the band </w:t>
      </w:r>
      <w:r>
        <w:rPr>
          <w:lang w:val="en-GB"/>
        </w:rPr>
        <w:t xml:space="preserve">in the Member States of the European Union (hereinafter: EU), the harmonisation process has stalled and no EU legislation has been adopted to impose obligations on Member States. However, CEPT investigation results and the resulting CEPT documents (report, decision) are available. Some European countries have already made the 2300 MHz frequency band available for wireless broadband networks. CEPT is currently examining the most appropriate regulatory and harmonised technical conditions to enable the use of 5G. </w:t>
      </w:r>
    </w:p>
    <w:p w14:paraId="5C83021B" w14:textId="49237289" w:rsidR="00D74CD5" w:rsidRPr="007C2162" w:rsidRDefault="0059329E" w:rsidP="002106B3">
      <w:pPr>
        <w:pStyle w:val="Behzottbekezdsnmhh"/>
      </w:pPr>
      <w:r>
        <w:rPr>
          <w:lang w:val="en-GB"/>
        </w:rPr>
        <w:t xml:space="preserve">According to domestic legislation, the 2300-2370 MHz (70 MHz) </w:t>
      </w:r>
      <w:r w:rsidR="00203A31">
        <w:rPr>
          <w:lang w:val="en-GB"/>
        </w:rPr>
        <w:t>sub-</w:t>
      </w:r>
      <w:r>
        <w:rPr>
          <w:lang w:val="en-GB"/>
        </w:rPr>
        <w:t xml:space="preserve">band can be used for civil purposes in Hungary, while the 2370-2400 MHz (30 MHz) </w:t>
      </w:r>
      <w:r w:rsidR="00203A31">
        <w:rPr>
          <w:lang w:val="en-GB"/>
        </w:rPr>
        <w:t>sub-</w:t>
      </w:r>
      <w:r>
        <w:rPr>
          <w:lang w:val="en-GB"/>
        </w:rPr>
        <w:t>band is for non-civil purposes. The 70 MHz part of the spectrum available for civil use has a planned status for terrestrial electronic communications networks with TDD</w:t>
      </w:r>
      <w:r>
        <w:rPr>
          <w:rStyle w:val="Lbjegyzet-hivatkozs"/>
          <w:lang w:val="en-GB"/>
        </w:rPr>
        <w:footnoteReference w:id="3"/>
      </w:r>
      <w:r>
        <w:rPr>
          <w:lang w:val="en-GB"/>
        </w:rPr>
        <w:t xml:space="preserve"> access. The non-civil sub-band is already </w:t>
      </w:r>
      <w:r w:rsidR="006F116B">
        <w:rPr>
          <w:lang w:val="en-GB"/>
        </w:rPr>
        <w:t xml:space="preserve">designated </w:t>
      </w:r>
      <w:r>
        <w:rPr>
          <w:lang w:val="en-GB"/>
        </w:rPr>
        <w:t xml:space="preserve">to similar TDD access systems; in addition, military telemetry and </w:t>
      </w:r>
      <w:r w:rsidR="004E3BB2">
        <w:rPr>
          <w:lang w:val="en-GB"/>
        </w:rPr>
        <w:t>telecommand</w:t>
      </w:r>
      <w:r>
        <w:rPr>
          <w:lang w:val="en-GB"/>
        </w:rPr>
        <w:t xml:space="preserve"> as well as military mobile systems can still operate in this </w:t>
      </w:r>
      <w:r w:rsidR="00B52F66">
        <w:rPr>
          <w:lang w:val="en-GB"/>
        </w:rPr>
        <w:t>sub-</w:t>
      </w:r>
      <w:r>
        <w:rPr>
          <w:lang w:val="en-GB"/>
        </w:rPr>
        <w:t>band.</w:t>
      </w:r>
    </w:p>
    <w:p w14:paraId="28F4B8D3" w14:textId="7D54FD2C" w:rsidR="0079672B" w:rsidRDefault="00A7108C" w:rsidP="0079672B">
      <w:pPr>
        <w:pStyle w:val="Behzottbekezdsnmhh"/>
      </w:pPr>
      <w:r>
        <w:rPr>
          <w:lang w:val="en-GB"/>
        </w:rPr>
        <w:t xml:space="preserve">In line with international efforts, </w:t>
      </w:r>
      <w:r w:rsidR="00966A94" w:rsidRPr="00966A94">
        <w:rPr>
          <w:lang w:val="en-GB"/>
        </w:rPr>
        <w:t xml:space="preserve">ensuring </w:t>
      </w:r>
      <w:r>
        <w:rPr>
          <w:lang w:val="en-GB"/>
        </w:rPr>
        <w:t>the radio spectrum needed for the further development of mobile broadband services and making it available on demand, as well as ensuring efficient use of radio spectrum and supporting innovative solutions are among the NMHH’s priority strategic objectives. It is important to understand the needs and ideas for the MFCN in order to develop regulations for the future use of the 2300-2370 MHz frequency band for civil use and to make decisions on its use, including the detailed technical conditions of use and the method of</w:t>
      </w:r>
      <w:r w:rsidR="00966A94" w:rsidRPr="00966A94">
        <w:rPr>
          <w:rFonts w:ascii="Arial" w:hAnsi="Arial" w:cstheme="minorBidi"/>
          <w:sz w:val="22"/>
          <w:szCs w:val="22"/>
          <w:lang w:val="en-GB"/>
        </w:rPr>
        <w:t xml:space="preserve"> </w:t>
      </w:r>
      <w:r w:rsidR="00966A94" w:rsidRPr="00966A94">
        <w:rPr>
          <w:lang w:val="en-GB"/>
        </w:rPr>
        <w:t>distribution</w:t>
      </w:r>
      <w:r>
        <w:rPr>
          <w:lang w:val="en-GB"/>
        </w:rPr>
        <w:t xml:space="preserve">. The issue of the utilisation of the 2300 MHz frequency band has been raised at previous public </w:t>
      </w:r>
      <w:r w:rsidR="00586C02" w:rsidRPr="00586C02">
        <w:rPr>
          <w:lang w:val="en-GB"/>
        </w:rPr>
        <w:t xml:space="preserve">consultations </w:t>
      </w:r>
      <w:r>
        <w:rPr>
          <w:lang w:val="en-GB"/>
        </w:rPr>
        <w:t xml:space="preserve">(most recently in December 2019), but no substantiated market demand was expressed at that time. It is also possible to deploy a </w:t>
      </w:r>
      <w:r w:rsidR="00772957" w:rsidRPr="00772957">
        <w:rPr>
          <w:lang w:val="en-GB"/>
        </w:rPr>
        <w:t xml:space="preserve">nationwide </w:t>
      </w:r>
      <w:r>
        <w:rPr>
          <w:lang w:val="en-GB"/>
        </w:rPr>
        <w:t xml:space="preserve">system in the band. In this respect, the NMHH is investigating the competitive procedure as a possible distribution method, at least for </w:t>
      </w:r>
      <w:r w:rsidR="00D61F84">
        <w:rPr>
          <w:lang w:val="en-GB"/>
        </w:rPr>
        <w:t xml:space="preserve">a </w:t>
      </w:r>
      <w:r>
        <w:rPr>
          <w:lang w:val="en-GB"/>
        </w:rPr>
        <w:t>part of the frequency band.</w:t>
      </w:r>
    </w:p>
    <w:p w14:paraId="4F634986" w14:textId="77777777" w:rsidR="0055102E" w:rsidRPr="008D3E07" w:rsidRDefault="0055102E">
      <w:pPr>
        <w:spacing w:after="200"/>
        <w:jc w:val="left"/>
        <w:rPr>
          <w:sz w:val="20"/>
          <w:szCs w:val="20"/>
        </w:rPr>
      </w:pPr>
      <w:r>
        <w:rPr>
          <w:sz w:val="20"/>
          <w:szCs w:val="20"/>
          <w:lang w:val="en-GB"/>
        </w:rPr>
        <w:br w:type="page"/>
      </w:r>
    </w:p>
    <w:p w14:paraId="2F086F79" w14:textId="77777777" w:rsidR="001F2707" w:rsidRPr="00D86540" w:rsidRDefault="005D09CC" w:rsidP="002246C2">
      <w:pPr>
        <w:pStyle w:val="Cmsor1szmozottnmhh"/>
        <w:ind w:left="431"/>
      </w:pPr>
      <w:bookmarkStart w:id="2" w:name="_Toc98846418"/>
      <w:r>
        <w:rPr>
          <w:bCs/>
          <w:lang w:val="en-GB"/>
        </w:rPr>
        <w:lastRenderedPageBreak/>
        <w:t>Introduction</w:t>
      </w:r>
      <w:bookmarkEnd w:id="2"/>
    </w:p>
    <w:p w14:paraId="71A94DF8" w14:textId="77777777" w:rsidR="00C7538E" w:rsidRDefault="00F001D2" w:rsidP="002A10E8">
      <w:pPr>
        <w:pStyle w:val="Behzottbekezdsnmhh"/>
      </w:pPr>
      <w:r>
        <w:rPr>
          <w:lang w:val="en-GB"/>
        </w:rPr>
        <w:t>In Hungary the 2300-2400 MHz frequency band is allocated for civil purposes in the 2300-2370 MHz range, and for non-civil purposes above it up to 2400 MHz.</w:t>
      </w:r>
    </w:p>
    <w:p w14:paraId="07211B35" w14:textId="47FC4D57" w:rsidR="00C7538E" w:rsidRDefault="00F001D2" w:rsidP="007A51DE">
      <w:pPr>
        <w:pStyle w:val="Behzottbekezdsnmhh"/>
      </w:pPr>
      <w:r>
        <w:rPr>
          <w:lang w:val="en-GB"/>
        </w:rPr>
        <w:t>Pursuant to Decree No. 7/2015 (XI. 13.) NMHH on the national frequency allocation and the rules of using frequency bands (hereinafter: NFFF Decree), the 70 MHz sub-band available for civil purposes has a planned status for mobile/fixed communication networks (MFCN) of terrestrial electronic communications networks. The civil part of the band is designated for amateur radio and short-range radiodetermination applications. Occasional use based on short-term licenses is typical.</w:t>
      </w:r>
    </w:p>
    <w:p w14:paraId="1C1D7A53" w14:textId="77777777" w:rsidR="005A42B2" w:rsidRDefault="00386FFD" w:rsidP="007A51DE">
      <w:pPr>
        <w:pStyle w:val="Behzottbekezdsnmhh"/>
      </w:pPr>
      <w:r>
        <w:rPr>
          <w:lang w:val="en-GB"/>
        </w:rPr>
        <w:t>Radio licences issued for longer term are typical in the sub-band designated for non-civil use on the basis of the NFFF Decree, and the intensity of frequency band use have already started to increase, and a further increase can be expected.</w:t>
      </w:r>
    </w:p>
    <w:p w14:paraId="31EA933A" w14:textId="0379FFC9" w:rsidR="0031066C" w:rsidRDefault="00F001D2" w:rsidP="007A51DE">
      <w:pPr>
        <w:pStyle w:val="Behzottbekezdsnmhh"/>
      </w:pPr>
      <w:r>
        <w:rPr>
          <w:lang w:val="en-GB"/>
        </w:rPr>
        <w:t>The civil part of the band has so far been used for video PMSE</w:t>
      </w:r>
      <w:r>
        <w:rPr>
          <w:rStyle w:val="Lbjegyzet-hivatkozs"/>
          <w:lang w:val="en-GB"/>
        </w:rPr>
        <w:footnoteReference w:id="4"/>
      </w:r>
      <w:r>
        <w:rPr>
          <w:lang w:val="en-GB"/>
        </w:rPr>
        <w:t xml:space="preserve"> purposes, which the EU considers to be a particularly important application. The general objective of the RSPP</w:t>
      </w:r>
      <w:r>
        <w:rPr>
          <w:rStyle w:val="Lbjegyzet-hivatkozs"/>
          <w:lang w:val="en-GB"/>
        </w:rPr>
        <w:footnoteReference w:id="5"/>
      </w:r>
      <w:r>
        <w:rPr>
          <w:lang w:val="en-GB"/>
        </w:rPr>
        <w:t xml:space="preserve"> is to provide PMSE with the necessary frequencies. A harmonised rule for PMSE purposes has been established twice since the creation of the RSPP</w:t>
      </w:r>
      <w:r>
        <w:rPr>
          <w:rStyle w:val="Lbjegyzet-hivatkozs"/>
          <w:lang w:val="en-GB"/>
        </w:rPr>
        <w:footnoteReference w:id="6"/>
      </w:r>
      <w:r>
        <w:rPr>
          <w:lang w:val="en-GB"/>
        </w:rPr>
        <w:t>. The RSPG</w:t>
      </w:r>
      <w:r>
        <w:rPr>
          <w:rStyle w:val="Lbjegyzet-hivatkozs"/>
          <w:lang w:val="en-GB"/>
        </w:rPr>
        <w:footnoteReference w:id="7"/>
      </w:r>
      <w:r>
        <w:rPr>
          <w:lang w:val="en-GB"/>
        </w:rPr>
        <w:t xml:space="preserve"> aimed at creating a long-term PMSE strategy, and in its comprehensive opinion adopted in November 2017, the RSPG concluded that there was no need for harmonisation of </w:t>
      </w:r>
      <w:r w:rsidR="007E24DE">
        <w:rPr>
          <w:lang w:val="en-GB"/>
        </w:rPr>
        <w:t xml:space="preserve">additional </w:t>
      </w:r>
      <w:r>
        <w:rPr>
          <w:lang w:val="en-GB"/>
        </w:rPr>
        <w:t>bands for video PMSE</w:t>
      </w:r>
      <w:r w:rsidR="007E24DE">
        <w:rPr>
          <w:lang w:val="en-GB"/>
        </w:rPr>
        <w:t xml:space="preserve"> yet</w:t>
      </w:r>
      <w:r>
        <w:rPr>
          <w:lang w:val="en-GB"/>
        </w:rPr>
        <w:t xml:space="preserve">, and that the </w:t>
      </w:r>
      <w:r w:rsidR="00144B8F">
        <w:rPr>
          <w:lang w:val="en-GB"/>
        </w:rPr>
        <w:t xml:space="preserve">demand </w:t>
      </w:r>
      <w:r>
        <w:rPr>
          <w:lang w:val="en-GB"/>
        </w:rPr>
        <w:t>needed to be addressed at member state level.</w:t>
      </w:r>
    </w:p>
    <w:p w14:paraId="0F1EE014" w14:textId="2D0907E4" w:rsidR="00227955" w:rsidRDefault="001A2F59" w:rsidP="006D56B2">
      <w:pPr>
        <w:autoSpaceDE w:val="0"/>
        <w:autoSpaceDN w:val="0"/>
        <w:adjustRightInd w:val="0"/>
        <w:ind w:firstLine="357"/>
        <w:rPr>
          <w:sz w:val="20"/>
          <w:szCs w:val="20"/>
        </w:rPr>
      </w:pPr>
      <w:r>
        <w:rPr>
          <w:sz w:val="20"/>
          <w:szCs w:val="20"/>
          <w:lang w:val="en-GB"/>
        </w:rPr>
        <w:t>The EU gave a mandate to the CEPT in March 2014 to develop harmonised conditions for the use of the band.</w:t>
      </w:r>
      <w:r>
        <w:rPr>
          <w:rStyle w:val="Lbjegyzet-hivatkozs"/>
          <w:sz w:val="20"/>
          <w:szCs w:val="20"/>
          <w:lang w:val="en-GB"/>
        </w:rPr>
        <w:footnoteReference w:id="8"/>
      </w:r>
      <w:r>
        <w:rPr>
          <w:sz w:val="20"/>
          <w:szCs w:val="20"/>
          <w:lang w:val="en-GB"/>
        </w:rPr>
        <w:t xml:space="preserve"> On the basis of the reports prepared, the shared use of the band between radio services is feasible, but Member States use the band significantly differently and the harmonisation process has been stopped at committee procedural (comitology) level. In theory, existing CEPT regulations and relevant ETSI standards allow the use of both MFCN and PMSE, and test results of various pilot projects are now available, all of which promise good results and easy deployment. In the CEPT, in the spring of 2020, a revision of Decision ECC/DEC/(14)02</w:t>
      </w:r>
      <w:r>
        <w:rPr>
          <w:rStyle w:val="Lbjegyzet-hivatkozs"/>
          <w:sz w:val="20"/>
          <w:szCs w:val="20"/>
          <w:lang w:val="en-GB"/>
        </w:rPr>
        <w:footnoteReference w:id="9"/>
      </w:r>
      <w:r>
        <w:rPr>
          <w:sz w:val="20"/>
          <w:szCs w:val="20"/>
          <w:lang w:val="en-GB"/>
        </w:rPr>
        <w:t xml:space="preserve"> on harmonised conditions for the use of </w:t>
      </w:r>
      <w:r w:rsidR="000409C2">
        <w:rPr>
          <w:sz w:val="20"/>
          <w:szCs w:val="20"/>
          <w:lang w:val="en-GB"/>
        </w:rPr>
        <w:t xml:space="preserve">spectrum </w:t>
      </w:r>
      <w:r>
        <w:rPr>
          <w:sz w:val="20"/>
          <w:szCs w:val="20"/>
          <w:lang w:val="en-GB"/>
        </w:rPr>
        <w:t xml:space="preserve">was launched in order to lay down the technical conditions for the use of next generation </w:t>
      </w:r>
      <w:r w:rsidRPr="00412143">
        <w:rPr>
          <w:sz w:val="20"/>
          <w:szCs w:val="20"/>
          <w:lang w:val="en-GB"/>
        </w:rPr>
        <w:t>mobile systems (</w:t>
      </w:r>
      <w:r w:rsidRPr="003A0631">
        <w:rPr>
          <w:sz w:val="20"/>
          <w:szCs w:val="20"/>
          <w:lang w:val="en-GB"/>
        </w:rPr>
        <w:t>5G NR</w:t>
      </w:r>
      <w:r w:rsidRPr="003A0631">
        <w:rPr>
          <w:rStyle w:val="Lbjegyzet-hivatkozs"/>
          <w:sz w:val="20"/>
          <w:szCs w:val="20"/>
          <w:lang w:val="en-GB"/>
        </w:rPr>
        <w:footnoteReference w:id="10"/>
      </w:r>
      <w:r w:rsidRPr="00412143">
        <w:rPr>
          <w:sz w:val="20"/>
          <w:szCs w:val="20"/>
          <w:lang w:val="en-GB"/>
        </w:rPr>
        <w:t>), including the possibility of using active antenna systems, with appropriate</w:t>
      </w:r>
      <w:r>
        <w:rPr>
          <w:sz w:val="20"/>
          <w:szCs w:val="20"/>
          <w:lang w:val="en-GB"/>
        </w:rPr>
        <w:t xml:space="preserve"> protection for other services and applications.</w:t>
      </w:r>
    </w:p>
    <w:p w14:paraId="2E872819" w14:textId="29B782AB" w:rsidR="008D695D" w:rsidRPr="007E7030" w:rsidRDefault="008D3E07" w:rsidP="005A027E">
      <w:pPr>
        <w:pStyle w:val="Behzottbekezdsnmhh"/>
        <w:rPr>
          <w:lang w:val="en-GB"/>
        </w:rPr>
      </w:pPr>
      <w:r>
        <w:rPr>
          <w:lang w:val="en-GB"/>
        </w:rPr>
        <w:t xml:space="preserve">In order to develop detailed domestic regulation of the 2300-2370 MHz sub-band for civil use, it is necessary to know the needs of spectrum use. As a result of a public consultation, a decision can be taken, inter alia, on the method of distribution, that is, on the type </w:t>
      </w:r>
      <w:r w:rsidR="00813184">
        <w:rPr>
          <w:lang w:val="en-GB"/>
        </w:rPr>
        <w:t xml:space="preserve">of licensing </w:t>
      </w:r>
      <w:r>
        <w:rPr>
          <w:lang w:val="en-GB"/>
        </w:rPr>
        <w:t xml:space="preserve">and </w:t>
      </w:r>
      <w:r w:rsidR="00813184">
        <w:rPr>
          <w:lang w:val="en-GB"/>
        </w:rPr>
        <w:t xml:space="preserve">on </w:t>
      </w:r>
      <w:r>
        <w:rPr>
          <w:lang w:val="en-GB"/>
        </w:rPr>
        <w:t>possible limitations. So far, there has been no established market demand for use of the frequency band.</w:t>
      </w:r>
      <w:r>
        <w:rPr>
          <w:lang w:val="en-GB"/>
        </w:rPr>
        <w:br w:type="page"/>
      </w:r>
    </w:p>
    <w:p w14:paraId="121A0FD7" w14:textId="77777777" w:rsidR="005D09CC" w:rsidRPr="00D86540" w:rsidRDefault="00CD093D" w:rsidP="00D04CAD">
      <w:pPr>
        <w:pStyle w:val="Cmsor1szmozottnmhh"/>
        <w:spacing w:before="360"/>
        <w:ind w:left="431" w:hanging="431"/>
      </w:pPr>
      <w:bookmarkStart w:id="3" w:name="_Toc98846419"/>
      <w:r>
        <w:rPr>
          <w:bCs/>
          <w:lang w:val="en-GB"/>
        </w:rPr>
        <w:lastRenderedPageBreak/>
        <w:t>Regulation of 2300-2400 frequency band</w:t>
      </w:r>
      <w:bookmarkEnd w:id="3"/>
    </w:p>
    <w:p w14:paraId="0CDE6CE5" w14:textId="77777777" w:rsidR="005D09CC" w:rsidRPr="00D86540" w:rsidRDefault="005D09CC" w:rsidP="002A10E8">
      <w:pPr>
        <w:pStyle w:val="Cmsor2szmozottnmhh"/>
        <w:ind w:left="567"/>
      </w:pPr>
      <w:bookmarkStart w:id="4" w:name="_Toc98846420"/>
      <w:r>
        <w:rPr>
          <w:bCs/>
          <w:lang w:val="en-GB"/>
        </w:rPr>
        <w:t>International regulation</w:t>
      </w:r>
      <w:bookmarkEnd w:id="4"/>
    </w:p>
    <w:p w14:paraId="4C045319" w14:textId="6D42D8E3" w:rsidR="00E04D6B" w:rsidRPr="00186107" w:rsidRDefault="00E04D6B" w:rsidP="00186107">
      <w:pPr>
        <w:pStyle w:val="Behzottbekezdsnmhh"/>
      </w:pPr>
      <w:r>
        <w:rPr>
          <w:lang w:val="en-GB"/>
        </w:rPr>
        <w:t>International regulations on</w:t>
      </w:r>
      <w:r w:rsidR="000409C2">
        <w:rPr>
          <w:lang w:val="en-GB"/>
        </w:rPr>
        <w:t xml:space="preserve"> the</w:t>
      </w:r>
      <w:r>
        <w:rPr>
          <w:lang w:val="en-GB"/>
        </w:rPr>
        <w:t xml:space="preserve"> frequency band have recently changed mainly to facilitate the use of the band for MFCN purposes, while taking into account the very different radio spectrum uses at European level, thereby facilitating more efficient use of the band.</w:t>
      </w:r>
    </w:p>
    <w:p w14:paraId="5CF4D1FA" w14:textId="77777777" w:rsidR="008E3AAF" w:rsidRPr="00D86540" w:rsidRDefault="008E3AAF" w:rsidP="002A10E8">
      <w:pPr>
        <w:pStyle w:val="Behzottbekezdsnmhh"/>
      </w:pPr>
      <w:r>
        <w:rPr>
          <w:lang w:val="en-GB"/>
        </w:rPr>
        <w:t>Typically, the following systems and services operate in the band in the CEPT countries:</w:t>
      </w:r>
    </w:p>
    <w:p w14:paraId="3728533D" w14:textId="77777777" w:rsidR="008E3AAF" w:rsidRPr="00D86540" w:rsidRDefault="0060499A" w:rsidP="008E3AAF">
      <w:pPr>
        <w:pStyle w:val="ECCParBulleted"/>
      </w:pPr>
      <w:r>
        <w:t>telemetry (terrestrial/aeronautical);</w:t>
      </w:r>
    </w:p>
    <w:p w14:paraId="210E28D3" w14:textId="77777777" w:rsidR="008E3AAF" w:rsidRPr="00D86540" w:rsidRDefault="0060499A" w:rsidP="008E3AAF">
      <w:pPr>
        <w:pStyle w:val="ECCParBulleted"/>
      </w:pPr>
      <w:r>
        <w:t>military use (e.g. UAS</w:t>
      </w:r>
      <w:r>
        <w:rPr>
          <w:rStyle w:val="Lbjegyzet-hivatkozs"/>
        </w:rPr>
        <w:footnoteReference w:id="11"/>
      </w:r>
      <w:r>
        <w:t>);</w:t>
      </w:r>
    </w:p>
    <w:p w14:paraId="3740DC14" w14:textId="77777777" w:rsidR="008E3AAF" w:rsidRPr="00D86540" w:rsidRDefault="0060499A" w:rsidP="008E3AAF">
      <w:pPr>
        <w:pStyle w:val="ECCParBulleted"/>
      </w:pPr>
      <w:r>
        <w:t>video-PMSE;</w:t>
      </w:r>
    </w:p>
    <w:p w14:paraId="4E47B24C" w14:textId="77777777" w:rsidR="00135C79" w:rsidRDefault="0060499A" w:rsidP="008E3AAF">
      <w:pPr>
        <w:pStyle w:val="ECCParBulleted"/>
      </w:pPr>
      <w:r>
        <w:t>amateur radio service (on a secondary basis);</w:t>
      </w:r>
    </w:p>
    <w:p w14:paraId="2F8FEEF1" w14:textId="77777777" w:rsidR="008E3AAF" w:rsidRPr="00D86540" w:rsidRDefault="00135C79" w:rsidP="008E3AAF">
      <w:pPr>
        <w:pStyle w:val="ECCParBulleted"/>
      </w:pPr>
      <w:r>
        <w:t>MFCN.</w:t>
      </w:r>
    </w:p>
    <w:p w14:paraId="3FCE6B84" w14:textId="5054DADA" w:rsidR="008D695D" w:rsidRDefault="008229C3" w:rsidP="002A10E8">
      <w:pPr>
        <w:pStyle w:val="Behzottbekezdsnmhh"/>
      </w:pPr>
      <w:r>
        <w:rPr>
          <w:lang w:val="en-GB"/>
        </w:rPr>
        <w:t xml:space="preserve">A typical method of introducing the MFCN is the </w:t>
      </w:r>
      <w:r w:rsidR="00EA2B95">
        <w:rPr>
          <w:lang w:val="en-GB"/>
        </w:rPr>
        <w:t xml:space="preserve">designation </w:t>
      </w:r>
      <w:r>
        <w:rPr>
          <w:lang w:val="en-GB"/>
        </w:rPr>
        <w:t>of a frequency band/sub-band for this purpose. Even then, the maintenance of existing applications, which may need to be continued in the band, should be taken into account. In this case, the MFCN may share the band with other applications by dividing the band into sub-bands. Another solution is to use some other method based on shared radio spectrum usage in order to avoid band clearance. One possible way of sharing is licensed shared access (hereinafter referred to as LSA). The LSA is the regulatory approach proposed by the CEPT to Member States for the introduction of MFCN within the band if they wish to retain incumbent applications. Necessary conditions for the introduction of LSA should be developed at national level to ensure continuity in the use of radio spectrum by incumbents, i.e. their smooth use without compromising the quality of the service.</w:t>
      </w:r>
    </w:p>
    <w:p w14:paraId="6CFF8A3B" w14:textId="77777777" w:rsidR="005D09CC" w:rsidRPr="00D86540" w:rsidRDefault="005D09CC" w:rsidP="00D04CAD">
      <w:pPr>
        <w:pStyle w:val="Cmsor3szmozottnmhh"/>
        <w:spacing w:before="360"/>
      </w:pPr>
      <w:bookmarkStart w:id="5" w:name="_Toc98846421"/>
      <w:r>
        <w:rPr>
          <w:bCs/>
          <w:lang w:val="en-GB"/>
        </w:rPr>
        <w:t>ITU</w:t>
      </w:r>
      <w:bookmarkEnd w:id="5"/>
    </w:p>
    <w:p w14:paraId="2266ED20" w14:textId="335E1528" w:rsidR="00B66497" w:rsidRDefault="002930CA" w:rsidP="004501FE">
      <w:pPr>
        <w:pStyle w:val="Behzottbekezdsnmhh"/>
      </w:pPr>
      <w:r>
        <w:rPr>
          <w:lang w:val="en-GB"/>
        </w:rPr>
        <w:t xml:space="preserve">Pursuant to the Radio Regulations (hereinafter: RR), in Region 1 the 2300-2450 MHz band is allocated </w:t>
      </w:r>
      <w:r w:rsidR="00FF3121">
        <w:rPr>
          <w:lang w:val="en-GB"/>
        </w:rPr>
        <w:t xml:space="preserve">on a </w:t>
      </w:r>
      <w:r>
        <w:rPr>
          <w:lang w:val="en-GB"/>
        </w:rPr>
        <w:t>primary</w:t>
      </w:r>
      <w:r w:rsidR="00FF3121">
        <w:rPr>
          <w:lang w:val="en-GB"/>
        </w:rPr>
        <w:t xml:space="preserve"> basis</w:t>
      </w:r>
      <w:r>
        <w:rPr>
          <w:lang w:val="en-GB"/>
        </w:rPr>
        <w:t xml:space="preserve"> to </w:t>
      </w:r>
      <w:r w:rsidR="00784A9F">
        <w:rPr>
          <w:lang w:val="en-GB"/>
        </w:rPr>
        <w:t xml:space="preserve">the </w:t>
      </w:r>
      <w:r>
        <w:rPr>
          <w:lang w:val="en-GB"/>
        </w:rPr>
        <w:t>fixed and mobile services and</w:t>
      </w:r>
      <w:r w:rsidR="00FF3121">
        <w:rPr>
          <w:lang w:val="en-GB"/>
        </w:rPr>
        <w:t xml:space="preserve"> on a</w:t>
      </w:r>
      <w:r>
        <w:rPr>
          <w:lang w:val="en-GB"/>
        </w:rPr>
        <w:t xml:space="preserve"> secondary</w:t>
      </w:r>
      <w:r w:rsidR="00FF3121">
        <w:rPr>
          <w:lang w:val="en-GB"/>
        </w:rPr>
        <w:t xml:space="preserve"> basis</w:t>
      </w:r>
      <w:r>
        <w:rPr>
          <w:lang w:val="en-GB"/>
        </w:rPr>
        <w:t xml:space="preserve"> to amateur and radiolocation services (Table 3.1.1).</w:t>
      </w:r>
    </w:p>
    <w:tbl>
      <w:tblPr>
        <w:tblW w:w="8222" w:type="dxa"/>
        <w:tblInd w:w="-10" w:type="dxa"/>
        <w:tblCellMar>
          <w:left w:w="70" w:type="dxa"/>
          <w:right w:w="70" w:type="dxa"/>
        </w:tblCellMar>
        <w:tblLook w:val="04A0" w:firstRow="1" w:lastRow="0" w:firstColumn="1" w:lastColumn="0" w:noHBand="0" w:noVBand="1"/>
      </w:tblPr>
      <w:tblGrid>
        <w:gridCol w:w="567"/>
        <w:gridCol w:w="1701"/>
        <w:gridCol w:w="2065"/>
        <w:gridCol w:w="2188"/>
        <w:gridCol w:w="1701"/>
      </w:tblGrid>
      <w:tr w:rsidR="00B66497" w:rsidRPr="00E110C7" w14:paraId="7DDB7F5E" w14:textId="77777777" w:rsidTr="007553B5">
        <w:trPr>
          <w:trHeight w:val="30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A3A97B" w14:textId="77777777" w:rsidR="00B66497" w:rsidRPr="00E110C7" w:rsidRDefault="00B66497" w:rsidP="00BE2636">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EA9D11D"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A</w:t>
            </w:r>
          </w:p>
        </w:tc>
        <w:tc>
          <w:tcPr>
            <w:tcW w:w="2065" w:type="dxa"/>
            <w:tcBorders>
              <w:top w:val="single" w:sz="8" w:space="0" w:color="auto"/>
              <w:left w:val="nil"/>
              <w:bottom w:val="single" w:sz="4" w:space="0" w:color="auto"/>
              <w:right w:val="single" w:sz="4" w:space="0" w:color="auto"/>
            </w:tcBorders>
            <w:shd w:val="clear" w:color="auto" w:fill="auto"/>
            <w:vAlign w:val="center"/>
            <w:hideMark/>
          </w:tcPr>
          <w:p w14:paraId="33C821EC"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B</w:t>
            </w:r>
          </w:p>
        </w:tc>
        <w:tc>
          <w:tcPr>
            <w:tcW w:w="2188" w:type="dxa"/>
            <w:tcBorders>
              <w:top w:val="single" w:sz="8" w:space="0" w:color="auto"/>
              <w:left w:val="nil"/>
              <w:bottom w:val="single" w:sz="4" w:space="0" w:color="auto"/>
              <w:right w:val="single" w:sz="4" w:space="0" w:color="auto"/>
            </w:tcBorders>
            <w:shd w:val="clear" w:color="auto" w:fill="auto"/>
            <w:vAlign w:val="center"/>
            <w:hideMark/>
          </w:tcPr>
          <w:p w14:paraId="1FCA3327"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C</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2B191F88"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D</w:t>
            </w:r>
          </w:p>
        </w:tc>
      </w:tr>
      <w:tr w:rsidR="00B66497" w:rsidRPr="00E110C7" w14:paraId="5164C18E" w14:textId="77777777" w:rsidTr="007553B5">
        <w:trPr>
          <w:trHeight w:val="809"/>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68B2269E"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1  </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14:paraId="158063C7" w14:textId="3AB4A3C3" w:rsidR="00B66497" w:rsidRPr="00E110C7" w:rsidRDefault="00784A9F"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RR </w:t>
            </w:r>
            <w:r w:rsidR="00B66497">
              <w:rPr>
                <w:rFonts w:asciiTheme="majorHAnsi" w:eastAsia="Times New Roman" w:hAnsiTheme="majorHAnsi" w:cstheme="majorHAnsi"/>
                <w:color w:val="000000"/>
                <w:sz w:val="14"/>
                <w:szCs w:val="16"/>
                <w:lang w:val="en-GB"/>
              </w:rPr>
              <w:t xml:space="preserve">TABLE OF FREQUENCY ALLOCATIONS </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14:paraId="79807DBD" w14:textId="77777777" w:rsidR="00B66497" w:rsidRPr="00B66497" w:rsidRDefault="00B66497" w:rsidP="00BE2636">
            <w:pPr>
              <w:spacing w:after="0" w:line="240" w:lineRule="auto"/>
              <w:jc w:val="center"/>
              <w:rPr>
                <w:rFonts w:eastAsia="Times New Roman"/>
                <w:color w:val="000000"/>
                <w:sz w:val="14"/>
                <w:szCs w:val="16"/>
              </w:rPr>
            </w:pPr>
            <w:r>
              <w:rPr>
                <w:rFonts w:eastAsia="Times New Roman"/>
                <w:color w:val="000000"/>
                <w:sz w:val="14"/>
                <w:szCs w:val="16"/>
                <w:lang w:val="en-GB"/>
              </w:rPr>
              <w:t xml:space="preserve">RR ALLOCATION RELEVANT TO HUNGARY </w:t>
            </w:r>
          </w:p>
        </w:tc>
      </w:tr>
      <w:tr w:rsidR="00B66497" w:rsidRPr="00E110C7" w14:paraId="7FAD3F78" w14:textId="77777777" w:rsidTr="007553B5">
        <w:trPr>
          <w:trHeight w:val="176"/>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21625535"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2  </w:t>
            </w:r>
          </w:p>
        </w:tc>
        <w:tc>
          <w:tcPr>
            <w:tcW w:w="1701" w:type="dxa"/>
            <w:tcBorders>
              <w:top w:val="nil"/>
              <w:left w:val="nil"/>
              <w:bottom w:val="single" w:sz="8" w:space="0" w:color="auto"/>
              <w:right w:val="single" w:sz="4" w:space="0" w:color="auto"/>
            </w:tcBorders>
            <w:shd w:val="clear" w:color="auto" w:fill="auto"/>
            <w:vAlign w:val="center"/>
            <w:hideMark/>
          </w:tcPr>
          <w:p w14:paraId="546B85F4" w14:textId="44973044"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REGION 1</w:t>
            </w:r>
          </w:p>
        </w:tc>
        <w:tc>
          <w:tcPr>
            <w:tcW w:w="2065" w:type="dxa"/>
            <w:tcBorders>
              <w:top w:val="nil"/>
              <w:left w:val="nil"/>
              <w:bottom w:val="single" w:sz="8" w:space="0" w:color="auto"/>
              <w:right w:val="single" w:sz="4" w:space="0" w:color="auto"/>
            </w:tcBorders>
            <w:shd w:val="clear" w:color="auto" w:fill="auto"/>
            <w:vAlign w:val="center"/>
            <w:hideMark/>
          </w:tcPr>
          <w:p w14:paraId="3BFEC838" w14:textId="559C6A96"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REGION 2</w:t>
            </w:r>
          </w:p>
        </w:tc>
        <w:tc>
          <w:tcPr>
            <w:tcW w:w="2188" w:type="dxa"/>
            <w:tcBorders>
              <w:top w:val="nil"/>
              <w:left w:val="nil"/>
              <w:bottom w:val="single" w:sz="8" w:space="0" w:color="auto"/>
              <w:right w:val="single" w:sz="4" w:space="0" w:color="auto"/>
            </w:tcBorders>
            <w:shd w:val="clear" w:color="auto" w:fill="auto"/>
            <w:vAlign w:val="center"/>
            <w:hideMark/>
          </w:tcPr>
          <w:p w14:paraId="3853D95F" w14:textId="7581292F" w:rsidR="00B66497" w:rsidRPr="00E110C7" w:rsidRDefault="00B66497" w:rsidP="00BE2636">
            <w:pPr>
              <w:spacing w:after="0" w:line="240" w:lineRule="auto"/>
              <w:jc w:val="center"/>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REGION 3</w:t>
            </w:r>
          </w:p>
        </w:tc>
        <w:tc>
          <w:tcPr>
            <w:tcW w:w="1701" w:type="dxa"/>
            <w:vMerge/>
            <w:tcBorders>
              <w:top w:val="nil"/>
              <w:left w:val="single" w:sz="4" w:space="0" w:color="auto"/>
              <w:bottom w:val="single" w:sz="8" w:space="0" w:color="000000"/>
              <w:right w:val="single" w:sz="8" w:space="0" w:color="auto"/>
            </w:tcBorders>
            <w:vAlign w:val="center"/>
            <w:hideMark/>
          </w:tcPr>
          <w:p w14:paraId="03C6E0DD" w14:textId="77777777" w:rsidR="00B66497" w:rsidRPr="00E110C7" w:rsidRDefault="00B66497" w:rsidP="00BE2636">
            <w:pPr>
              <w:spacing w:after="0" w:line="240" w:lineRule="auto"/>
              <w:jc w:val="left"/>
              <w:rPr>
                <w:rFonts w:asciiTheme="majorHAnsi" w:eastAsia="Times New Roman" w:hAnsiTheme="majorHAnsi" w:cstheme="majorHAnsi"/>
                <w:color w:val="000000"/>
                <w:sz w:val="14"/>
                <w:szCs w:val="16"/>
              </w:rPr>
            </w:pPr>
          </w:p>
        </w:tc>
      </w:tr>
    </w:tbl>
    <w:tbl>
      <w:tblPr>
        <w:tblStyle w:val="NormalTablePHPDOCX"/>
        <w:tblW w:w="8222" w:type="dxa"/>
        <w:tblInd w:w="-6" w:type="dxa"/>
        <w:tblBorders>
          <w:top w:val="single" w:sz="5" w:space="0" w:color="000000"/>
          <w:left w:val="single" w:sz="5" w:space="0" w:color="000000"/>
          <w:bottom w:val="single" w:sz="15" w:space="0" w:color="000000"/>
          <w:right w:val="single" w:sz="5" w:space="0" w:color="000000"/>
        </w:tblBorders>
        <w:tblLayout w:type="fixed"/>
        <w:tblLook w:val="04A0" w:firstRow="1" w:lastRow="0" w:firstColumn="1" w:lastColumn="0" w:noHBand="0" w:noVBand="1"/>
      </w:tblPr>
      <w:tblGrid>
        <w:gridCol w:w="567"/>
        <w:gridCol w:w="1701"/>
        <w:gridCol w:w="4253"/>
        <w:gridCol w:w="1701"/>
      </w:tblGrid>
      <w:tr w:rsidR="00475E60" w:rsidRPr="007553B5" w14:paraId="1BB0E42C" w14:textId="77777777" w:rsidTr="007553B5">
        <w:trPr>
          <w:cantSplit/>
        </w:trPr>
        <w:tc>
          <w:tcPr>
            <w:tcW w:w="567" w:type="dxa"/>
            <w:tcBorders>
              <w:top w:val="single" w:sz="5" w:space="0" w:color="000000"/>
              <w:left w:val="single" w:sz="5" w:space="0" w:color="000000"/>
              <w:right w:val="single" w:sz="15" w:space="0" w:color="000000"/>
            </w:tcBorders>
            <w:tcMar>
              <w:top w:w="15" w:type="dxa"/>
              <w:left w:w="15" w:type="dxa"/>
              <w:bottom w:w="15" w:type="dxa"/>
              <w:right w:w="15" w:type="dxa"/>
            </w:tcMar>
          </w:tcPr>
          <w:p w14:paraId="3468DFD9"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368</w:t>
            </w:r>
          </w:p>
        </w:tc>
        <w:tc>
          <w:tcPr>
            <w:tcW w:w="1701" w:type="dxa"/>
            <w:tcBorders>
              <w:top w:val="single" w:sz="5" w:space="0" w:color="000000"/>
              <w:left w:val="single" w:sz="5" w:space="0" w:color="000000"/>
              <w:right w:val="single" w:sz="5" w:space="0" w:color="000000"/>
            </w:tcBorders>
            <w:tcMar>
              <w:top w:w="15" w:type="dxa"/>
              <w:left w:w="15" w:type="dxa"/>
              <w:bottom w:w="15" w:type="dxa"/>
              <w:right w:w="15" w:type="dxa"/>
            </w:tcMar>
          </w:tcPr>
          <w:p w14:paraId="3660480C"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2300–2450 MHz</w:t>
            </w:r>
          </w:p>
          <w:p w14:paraId="26B8C163"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FIXED</w:t>
            </w:r>
          </w:p>
          <w:p w14:paraId="18DFC251"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MOBILE 5.384A</w:t>
            </w:r>
          </w:p>
          <w:p w14:paraId="5B2E5E9D"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Amateur</w:t>
            </w:r>
          </w:p>
          <w:p w14:paraId="1CF087ED"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Radiolocation</w:t>
            </w:r>
          </w:p>
        </w:tc>
        <w:tc>
          <w:tcPr>
            <w:tcW w:w="4253" w:type="dxa"/>
            <w:tcBorders>
              <w:top w:val="single" w:sz="5" w:space="0" w:color="000000"/>
              <w:left w:val="single" w:sz="5" w:space="0" w:color="000000"/>
            </w:tcBorders>
            <w:tcMar>
              <w:top w:w="15" w:type="dxa"/>
              <w:left w:w="15" w:type="dxa"/>
              <w:bottom w:w="15" w:type="dxa"/>
              <w:right w:w="15" w:type="dxa"/>
            </w:tcMar>
          </w:tcPr>
          <w:p w14:paraId="529B4F3C"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2300–2450 MHz</w:t>
            </w:r>
          </w:p>
          <w:p w14:paraId="2B3B9D38"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FIXED</w:t>
            </w:r>
          </w:p>
          <w:p w14:paraId="290B40D1"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MOBILE 5.384A</w:t>
            </w:r>
          </w:p>
          <w:p w14:paraId="2FC252BD"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RADIOLOCATION</w:t>
            </w:r>
          </w:p>
          <w:p w14:paraId="4CECFB12"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Amateur</w:t>
            </w:r>
          </w:p>
        </w:tc>
        <w:tc>
          <w:tcPr>
            <w:tcW w:w="1701" w:type="dxa"/>
            <w:tcBorders>
              <w:top w:val="single" w:sz="5" w:space="0" w:color="000000"/>
              <w:left w:val="single" w:sz="15" w:space="0" w:color="000000"/>
              <w:right w:val="single" w:sz="15" w:space="0" w:color="000000"/>
            </w:tcBorders>
            <w:tcMar>
              <w:top w:w="15" w:type="dxa"/>
              <w:left w:w="15" w:type="dxa"/>
              <w:bottom w:w="15" w:type="dxa"/>
              <w:right w:w="15" w:type="dxa"/>
            </w:tcMar>
          </w:tcPr>
          <w:p w14:paraId="3A68B649"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2300–2450 MHz</w:t>
            </w:r>
          </w:p>
          <w:p w14:paraId="5E25D2B4"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FIXED</w:t>
            </w:r>
          </w:p>
          <w:p w14:paraId="6C112877"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MOBILE 5.384A</w:t>
            </w:r>
          </w:p>
          <w:p w14:paraId="694A5EB4"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Amateur</w:t>
            </w:r>
          </w:p>
          <w:p w14:paraId="65201ACC" w14:textId="281AF9CF" w:rsidR="00475E60" w:rsidRPr="00CD4DFB" w:rsidRDefault="00FF3121"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R</w:t>
            </w:r>
            <w:r w:rsidR="00475E60">
              <w:rPr>
                <w:rFonts w:asciiTheme="majorHAnsi" w:eastAsia="Times New Roman" w:hAnsiTheme="majorHAnsi" w:cstheme="majorHAnsi"/>
                <w:color w:val="000000"/>
                <w:sz w:val="14"/>
                <w:szCs w:val="16"/>
                <w:lang w:val="en-GB"/>
              </w:rPr>
              <w:t>adiolocation</w:t>
            </w:r>
          </w:p>
        </w:tc>
      </w:tr>
      <w:tr w:rsidR="00475E60" w:rsidRPr="007553B5" w14:paraId="7F7BD664" w14:textId="77777777" w:rsidTr="007553B5">
        <w:trPr>
          <w:cantSplit/>
        </w:trPr>
        <w:tc>
          <w:tcPr>
            <w:tcW w:w="567" w:type="dxa"/>
            <w:tcBorders>
              <w:left w:val="single" w:sz="5" w:space="0" w:color="000000"/>
              <w:bottom w:val="single" w:sz="5" w:space="0" w:color="000000"/>
              <w:right w:val="single" w:sz="15" w:space="0" w:color="000000"/>
            </w:tcBorders>
            <w:tcMar>
              <w:top w:w="15" w:type="dxa"/>
              <w:left w:w="15" w:type="dxa"/>
              <w:bottom w:w="15" w:type="dxa"/>
              <w:right w:w="15" w:type="dxa"/>
            </w:tcMar>
          </w:tcPr>
          <w:p w14:paraId="6C2E1A36"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tc>
        <w:tc>
          <w:tcPr>
            <w:tcW w:w="1701" w:type="dxa"/>
            <w:tcBorders>
              <w:left w:val="single" w:sz="5" w:space="0" w:color="000000"/>
              <w:bottom w:val="single" w:sz="5" w:space="0" w:color="000000"/>
              <w:right w:val="single" w:sz="5" w:space="0" w:color="000000"/>
            </w:tcBorders>
            <w:tcMar>
              <w:top w:w="15" w:type="dxa"/>
              <w:left w:w="15" w:type="dxa"/>
              <w:bottom w:w="15" w:type="dxa"/>
              <w:right w:w="15" w:type="dxa"/>
            </w:tcMar>
            <w:vAlign w:val="bottom"/>
          </w:tcPr>
          <w:p w14:paraId="3FB08C98"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p w14:paraId="730E6A2C"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 5.150 5.282 5.395</w:t>
            </w:r>
          </w:p>
        </w:tc>
        <w:tc>
          <w:tcPr>
            <w:tcW w:w="4253" w:type="dxa"/>
            <w:tcBorders>
              <w:left w:val="single" w:sz="5" w:space="0" w:color="000000"/>
              <w:bottom w:val="single" w:sz="5" w:space="0" w:color="000000"/>
            </w:tcBorders>
            <w:tcMar>
              <w:top w:w="15" w:type="dxa"/>
              <w:left w:w="15" w:type="dxa"/>
              <w:bottom w:w="15" w:type="dxa"/>
              <w:right w:w="15" w:type="dxa"/>
            </w:tcMar>
          </w:tcPr>
          <w:p w14:paraId="0B0C1AB7"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p w14:paraId="6A69945A"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p w14:paraId="6F6D3189"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 5.150 5.282 5.393 5.394 5.396</w:t>
            </w:r>
          </w:p>
        </w:tc>
        <w:tc>
          <w:tcPr>
            <w:tcW w:w="1701" w:type="dxa"/>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B1243BD"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w:t>
            </w:r>
          </w:p>
          <w:p w14:paraId="16BD83F4" w14:textId="77777777" w:rsidR="00475E60" w:rsidRPr="00CD4DFB" w:rsidRDefault="00475E60" w:rsidP="00C64001">
            <w:pPr>
              <w:keepNext/>
              <w:spacing w:after="0" w:line="240" w:lineRule="auto"/>
              <w:jc w:val="left"/>
              <w:rPr>
                <w:rFonts w:asciiTheme="majorHAnsi" w:eastAsia="Times New Roman" w:hAnsiTheme="majorHAnsi" w:cstheme="majorHAnsi"/>
                <w:color w:val="000000"/>
                <w:sz w:val="14"/>
                <w:szCs w:val="16"/>
              </w:rPr>
            </w:pPr>
            <w:r>
              <w:rPr>
                <w:rFonts w:asciiTheme="majorHAnsi" w:eastAsia="Times New Roman" w:hAnsiTheme="majorHAnsi" w:cstheme="majorHAnsi"/>
                <w:color w:val="000000"/>
                <w:sz w:val="14"/>
                <w:szCs w:val="16"/>
                <w:lang w:val="en-GB"/>
              </w:rPr>
              <w:t xml:space="preserve"> 5.150 5.282</w:t>
            </w:r>
          </w:p>
        </w:tc>
      </w:tr>
    </w:tbl>
    <w:p w14:paraId="4CDCC7B8" w14:textId="77777777" w:rsidR="00475E60" w:rsidRDefault="00C64001" w:rsidP="00C64001">
      <w:pPr>
        <w:pStyle w:val="Kpalrs"/>
        <w:jc w:val="center"/>
        <w:rPr>
          <w:noProof/>
        </w:rPr>
      </w:pPr>
      <w:r>
        <w:rPr>
          <w:noProof/>
          <w:lang w:val="en-GB"/>
        </w:rPr>
        <w:t>Table 3.1.1</w:t>
      </w:r>
    </w:p>
    <w:p w14:paraId="4CE6AE64" w14:textId="0042C1E4" w:rsidR="009507B1" w:rsidRPr="00D86540" w:rsidRDefault="004501FE" w:rsidP="009507B1">
      <w:pPr>
        <w:pStyle w:val="Behzottbekezdsnmhh"/>
      </w:pPr>
      <w:r>
        <w:rPr>
          <w:lang w:val="en-GB"/>
        </w:rPr>
        <w:t xml:space="preserve">In Hungary, according to Annex 2 of the NFFF Decree, only the 2300-2400 MHz band is allocated to </w:t>
      </w:r>
      <w:r w:rsidR="00784A9F">
        <w:rPr>
          <w:lang w:val="en-GB"/>
        </w:rPr>
        <w:t xml:space="preserve">the </w:t>
      </w:r>
      <w:r>
        <w:rPr>
          <w:lang w:val="en-GB"/>
        </w:rPr>
        <w:t xml:space="preserve">fixed and mobile services. Footnote 5.384A applies to </w:t>
      </w:r>
      <w:r w:rsidR="00784A9F">
        <w:rPr>
          <w:lang w:val="en-GB"/>
        </w:rPr>
        <w:t xml:space="preserve">the </w:t>
      </w:r>
      <w:r>
        <w:rPr>
          <w:lang w:val="en-GB"/>
        </w:rPr>
        <w:t>mobile service:</w:t>
      </w:r>
    </w:p>
    <w:p w14:paraId="48BD1648" w14:textId="617D3441" w:rsidR="009507B1" w:rsidRPr="00CB7D6D" w:rsidRDefault="009507B1" w:rsidP="00CB7D6D">
      <w:pPr>
        <w:pStyle w:val="Behzottbekezdsnmhh"/>
        <w:ind w:left="284" w:right="992" w:firstLine="0"/>
        <w:rPr>
          <w:i/>
        </w:rPr>
      </w:pPr>
      <w:r>
        <w:rPr>
          <w:i/>
          <w:iCs/>
          <w:lang w:val="en-GB"/>
        </w:rPr>
        <w:t xml:space="preserve">“The frequency bands 1710-1885 MHz, 2300-2400 MHz and 2500-2690 MHz, or portions thereof, are identified for use by administrations wishing to implement International Mobile </w:t>
      </w:r>
      <w:r>
        <w:rPr>
          <w:i/>
          <w:iCs/>
          <w:lang w:val="en-GB"/>
        </w:rPr>
        <w:lastRenderedPageBreak/>
        <w:t xml:space="preserve">Telecommunications (IMT) in accordance with Resolution 223 (Rev.WRC-15). This identification does not preclude the use of these frequency bands by any application of the services to which </w:t>
      </w:r>
      <w:r w:rsidR="002F0D3B">
        <w:rPr>
          <w:i/>
          <w:iCs/>
          <w:lang w:val="en-GB"/>
        </w:rPr>
        <w:t xml:space="preserve">they are </w:t>
      </w:r>
      <w:r>
        <w:rPr>
          <w:i/>
          <w:iCs/>
          <w:lang w:val="en-GB"/>
        </w:rPr>
        <w:t>allocated and does not establish priority in the Radio Regulations. (WRC</w:t>
      </w:r>
      <w:r>
        <w:rPr>
          <w:i/>
          <w:iCs/>
          <w:lang w:val="en-GB"/>
        </w:rPr>
        <w:noBreakHyphen/>
        <w:t>15)”</w:t>
      </w:r>
    </w:p>
    <w:p w14:paraId="190CADD6" w14:textId="77777777" w:rsidR="00022E75" w:rsidRDefault="009507B1" w:rsidP="00BE07D2">
      <w:pPr>
        <w:pStyle w:val="Behzottbekezdsnmhh"/>
      </w:pPr>
      <w:r>
        <w:rPr>
          <w:lang w:val="en-GB"/>
        </w:rPr>
        <w:t xml:space="preserve">In the allocation according to the RR, in addition to the footnote above, footnotes 5.150 and 5.282 concern Hungary within the 2300-2450 MHz band (Annex 1 of the NFFF Decree), which only set rules for the sub-band above 2400 MHz. </w:t>
      </w:r>
    </w:p>
    <w:p w14:paraId="1675B0E1" w14:textId="77777777" w:rsidR="006F356E" w:rsidRDefault="00C43C6F" w:rsidP="007D3867">
      <w:pPr>
        <w:pStyle w:val="Behzottbekezdsnmhh"/>
      </w:pPr>
      <w:r>
        <w:rPr>
          <w:lang w:val="en-GB"/>
        </w:rPr>
        <w:t>According to the preferred frequency arrangement in Section 6 of the Annex to Recommendation ITU-R M.1036-6</w:t>
      </w:r>
      <w:r>
        <w:rPr>
          <w:rStyle w:val="Lbjegyzet-hivatkozs"/>
          <w:lang w:val="en-GB"/>
        </w:rPr>
        <w:footnoteReference w:id="12"/>
      </w:r>
      <w:r>
        <w:rPr>
          <w:lang w:val="en-GB"/>
        </w:rPr>
        <w:t>, IMT</w:t>
      </w:r>
      <w:r>
        <w:rPr>
          <w:rStyle w:val="Lbjegyzet-hivatkozs"/>
          <w:lang w:val="en-GB"/>
        </w:rPr>
        <w:footnoteReference w:id="13"/>
      </w:r>
      <w:r>
        <w:rPr>
          <w:lang w:val="en-GB"/>
        </w:rPr>
        <w:t xml:space="preserve"> systems can be implemented on a TDD basis in the whole 100 MHz sub-band.</w:t>
      </w:r>
    </w:p>
    <w:p w14:paraId="3C0F5BD0" w14:textId="732CB5F2" w:rsidR="002745C4" w:rsidRDefault="001E56BE" w:rsidP="009A34E4">
      <w:pPr>
        <w:pStyle w:val="Behzottbekezdsnmhh"/>
      </w:pPr>
      <w:r>
        <w:rPr>
          <w:lang w:val="en-GB"/>
        </w:rPr>
        <w:t>Recommendation ITU-R SM.2404-0</w:t>
      </w:r>
      <w:r>
        <w:rPr>
          <w:rStyle w:val="Lbjegyzet-hivatkozs"/>
          <w:lang w:val="en-GB"/>
        </w:rPr>
        <w:footnoteReference w:id="14"/>
      </w:r>
      <w:r>
        <w:rPr>
          <w:lang w:val="en-GB"/>
        </w:rPr>
        <w:t xml:space="preserve"> on </w:t>
      </w:r>
      <w:r w:rsidR="009A34E4">
        <w:rPr>
          <w:lang w:val="en-GB"/>
        </w:rPr>
        <w:t>r</w:t>
      </w:r>
      <w:r w:rsidR="009A34E4" w:rsidRPr="009A34E4">
        <w:rPr>
          <w:lang w:val="en-GB"/>
        </w:rPr>
        <w:t>egulatory tools to support enhanced shared use of the spectrum</w:t>
      </w:r>
      <w:r>
        <w:rPr>
          <w:lang w:val="en-GB"/>
        </w:rPr>
        <w:t xml:space="preserve"> discusses LSA as a suitable method of spectrum allocation</w:t>
      </w:r>
      <w:r w:rsidR="001677DA">
        <w:rPr>
          <w:lang w:val="en-GB"/>
        </w:rPr>
        <w:t>.</w:t>
      </w:r>
    </w:p>
    <w:p w14:paraId="34421D9E" w14:textId="77777777" w:rsidR="008D695D" w:rsidRDefault="008431C6" w:rsidP="008D695D">
      <w:pPr>
        <w:pStyle w:val="Behzottbekezdsnmhh"/>
      </w:pPr>
      <w:r>
        <w:rPr>
          <w:lang w:val="en-GB"/>
        </w:rPr>
        <w:t>There is currently no ongoing modification process in the ITU concerning the regulation of the 2300-2400 MHz frequency band.</w:t>
      </w:r>
    </w:p>
    <w:p w14:paraId="6777152E" w14:textId="77777777" w:rsidR="005D09CC" w:rsidRPr="00D86540" w:rsidRDefault="005D09CC" w:rsidP="00D04CAD">
      <w:pPr>
        <w:pStyle w:val="Cmsor3szmozottnmhh"/>
        <w:spacing w:before="360"/>
      </w:pPr>
      <w:bookmarkStart w:id="6" w:name="_Toc98846422"/>
      <w:r>
        <w:rPr>
          <w:bCs/>
          <w:lang w:val="en-GB"/>
        </w:rPr>
        <w:t>CEPT</w:t>
      </w:r>
      <w:bookmarkEnd w:id="6"/>
    </w:p>
    <w:p w14:paraId="5E747D4C" w14:textId="47E8E342" w:rsidR="00A673E4" w:rsidRDefault="00471F2D" w:rsidP="00C43C6F">
      <w:pPr>
        <w:pStyle w:val="Behzottbekezdsnmhh"/>
      </w:pPr>
      <w:r>
        <w:rPr>
          <w:lang w:val="en-GB"/>
        </w:rPr>
        <w:t>Decision ECC/DEC(14)02</w:t>
      </w:r>
      <w:r>
        <w:rPr>
          <w:rStyle w:val="Lbjegyzet-hivatkozs"/>
          <w:lang w:val="en-GB"/>
        </w:rPr>
        <w:footnoteReference w:id="15"/>
      </w:r>
      <w:r>
        <w:rPr>
          <w:lang w:val="en-GB"/>
        </w:rPr>
        <w:t xml:space="preserve"> contains the least restrictive technical conditions for the use of the 2300-2400 MHz frequency band in order to facilitate, to direct in a common direction for CEPT Member States and to harmonise (on an optional basis) radio spectrum use</w:t>
      </w:r>
      <w:r w:rsidR="00F70995">
        <w:rPr>
          <w:lang w:val="en-GB"/>
        </w:rPr>
        <w:t xml:space="preserve"> in the frequency band</w:t>
      </w:r>
      <w:r>
        <w:rPr>
          <w:lang w:val="en-GB"/>
        </w:rPr>
        <w:t xml:space="preserve"> for wireless broadband (WBB</w:t>
      </w:r>
      <w:r>
        <w:rPr>
          <w:rStyle w:val="Lbjegyzet-hivatkozs"/>
          <w:lang w:val="en-GB"/>
        </w:rPr>
        <w:footnoteReference w:id="16"/>
      </w:r>
      <w:r>
        <w:rPr>
          <w:lang w:val="en-GB"/>
        </w:rPr>
        <w:t xml:space="preserve">) applications without making incumbent applications impossible. For this purpose, it defines the technical parameters summarized as block edge mask (BEM) and also specifies the proposed channel spacing (20 blocks of 5 MHz, which can be combined to reach channels with a larger bandwidth). </w:t>
      </w:r>
    </w:p>
    <w:p w14:paraId="35F7A28E" w14:textId="77777777" w:rsidR="00E85E5A" w:rsidRDefault="00E85E5A" w:rsidP="00F50143">
      <w:pPr>
        <w:pStyle w:val="Behzottbekezdsnmhh"/>
        <w:keepNext/>
      </w:pPr>
      <w:r>
        <w:rPr>
          <w:noProof/>
          <w:lang w:eastAsia="hu-HU"/>
        </w:rPr>
        <w:drawing>
          <wp:inline distT="0" distB="0" distL="0" distR="0" wp14:anchorId="638C3013" wp14:editId="141D30FB">
            <wp:extent cx="5760720" cy="13963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396390"/>
                    </a:xfrm>
                    <a:prstGeom prst="rect">
                      <a:avLst/>
                    </a:prstGeom>
                  </pic:spPr>
                </pic:pic>
              </a:graphicData>
            </a:graphic>
          </wp:inline>
        </w:drawing>
      </w:r>
    </w:p>
    <w:p w14:paraId="7823E22C" w14:textId="77777777" w:rsidR="00E85E5A" w:rsidRPr="00D86540" w:rsidRDefault="000A0E71" w:rsidP="00F50143">
      <w:pPr>
        <w:pStyle w:val="Kpalrs"/>
        <w:jc w:val="center"/>
      </w:pPr>
      <w:r>
        <w:rPr>
          <w:lang w:val="en-GB"/>
        </w:rPr>
        <w:t>Figure 3.1.2. Channel spacing</w:t>
      </w:r>
    </w:p>
    <w:p w14:paraId="13A8A1DB" w14:textId="103B2218" w:rsidR="00A673E4" w:rsidRPr="00D86540" w:rsidRDefault="006B069D" w:rsidP="00C43C6F">
      <w:pPr>
        <w:pStyle w:val="Behzottbekezdsnmhh"/>
      </w:pPr>
      <w:r>
        <w:rPr>
          <w:lang w:val="en-GB"/>
        </w:rPr>
        <w:t xml:space="preserve">Upon establishing the BEM, the CEPT </w:t>
      </w:r>
      <w:r w:rsidR="00576C1E" w:rsidRPr="00576C1E">
        <w:rPr>
          <w:lang w:val="en-GB"/>
        </w:rPr>
        <w:t>does not take into account coexistence with adjacent services below 2300 MHz</w:t>
      </w:r>
      <w:r>
        <w:rPr>
          <w:lang w:val="en-GB"/>
        </w:rPr>
        <w:t>. To address this issue, the use of the guideline described in ECC Report 172</w:t>
      </w:r>
      <w:r>
        <w:rPr>
          <w:rStyle w:val="Lbjegyzet-hivatkozs"/>
          <w:lang w:val="en-GB"/>
        </w:rPr>
        <w:footnoteReference w:id="17"/>
      </w:r>
      <w:r>
        <w:rPr>
          <w:lang w:val="en-GB"/>
        </w:rPr>
        <w:t xml:space="preserve"> is recommended, which studies the compatibility </w:t>
      </w:r>
      <w:r w:rsidR="000A1870">
        <w:rPr>
          <w:lang w:val="en-GB"/>
        </w:rPr>
        <w:t xml:space="preserve">issues </w:t>
      </w:r>
      <w:r>
        <w:rPr>
          <w:lang w:val="en-GB"/>
        </w:rPr>
        <w:t xml:space="preserve">within the band and between the applications within the band and those in adjacent bands. </w:t>
      </w:r>
    </w:p>
    <w:p w14:paraId="47560961" w14:textId="6EEF6D32" w:rsidR="00EB44C7" w:rsidRPr="00D86540" w:rsidRDefault="00EB44C7" w:rsidP="00C43C6F">
      <w:pPr>
        <w:pStyle w:val="Behzottbekezdsnmhh"/>
      </w:pPr>
      <w:r>
        <w:rPr>
          <w:lang w:val="en-GB"/>
        </w:rPr>
        <w:lastRenderedPageBreak/>
        <w:t xml:space="preserve">International coordination rules for </w:t>
      </w:r>
      <w:r w:rsidR="00502F50">
        <w:rPr>
          <w:lang w:val="en-GB"/>
        </w:rPr>
        <w:t xml:space="preserve">cross-border </w:t>
      </w:r>
      <w:r>
        <w:rPr>
          <w:lang w:val="en-GB"/>
        </w:rPr>
        <w:t>coordination (MFCN – MFCN; MFCN – other applications) are set out in Recommendation ERC/REC/(14)04</w:t>
      </w:r>
      <w:r>
        <w:rPr>
          <w:rStyle w:val="Lbjegyzet-hivatkozs"/>
          <w:lang w:val="en-GB"/>
        </w:rPr>
        <w:footnoteReference w:id="18"/>
      </w:r>
      <w:r>
        <w:rPr>
          <w:lang w:val="en-GB"/>
        </w:rPr>
        <w:t>.</w:t>
      </w:r>
    </w:p>
    <w:p w14:paraId="4AB29844" w14:textId="77777777" w:rsidR="002246EA" w:rsidRDefault="00471F2D" w:rsidP="006C0703">
      <w:pPr>
        <w:pStyle w:val="Behzottbekezdsnmhh"/>
      </w:pPr>
      <w:r>
        <w:rPr>
          <w:lang w:val="en-GB"/>
        </w:rPr>
        <w:t>The concept and conditions for licensed shared access (LSA)</w:t>
      </w:r>
      <w:r w:rsidR="003D1D80">
        <w:rPr>
          <w:lang w:val="en-GB"/>
        </w:rPr>
        <w:t xml:space="preserve"> are</w:t>
      </w:r>
      <w:r>
        <w:rPr>
          <w:lang w:val="en-GB"/>
        </w:rPr>
        <w:t xml:space="preserve"> described in ECC Report 205</w:t>
      </w:r>
      <w:r>
        <w:rPr>
          <w:rStyle w:val="Lbjegyzet-hivatkozs"/>
          <w:lang w:val="en-GB"/>
        </w:rPr>
        <w:footnoteReference w:id="19"/>
      </w:r>
      <w:r>
        <w:rPr>
          <w:lang w:val="en-GB"/>
        </w:rPr>
        <w:t>.</w:t>
      </w:r>
    </w:p>
    <w:p w14:paraId="4088543A" w14:textId="70191D0C" w:rsidR="006C0703" w:rsidRPr="006C0703" w:rsidRDefault="003D1D80" w:rsidP="006C0703">
      <w:pPr>
        <w:pStyle w:val="Behzottbekezdsnmhh"/>
      </w:pPr>
      <w:r>
        <w:rPr>
          <w:lang w:val="en-GB"/>
        </w:rPr>
        <w:t>Recommendation ECC/REC/(15)04</w:t>
      </w:r>
      <w:r>
        <w:rPr>
          <w:rStyle w:val="Lbjegyzet-hivatkozs"/>
          <w:lang w:val="en-GB"/>
        </w:rPr>
        <w:footnoteReference w:id="20"/>
      </w:r>
      <w:r>
        <w:rPr>
          <w:lang w:val="en-GB"/>
        </w:rPr>
        <w:t xml:space="preserve"> provides guidance for administrations for t</w:t>
      </w:r>
      <w:r w:rsidR="00E82069">
        <w:rPr>
          <w:lang w:val="en-GB"/>
        </w:rPr>
        <w:t>he introduction of a regulatory framework for sharing between MFCN and PMSE in the 2300-2400 MHz frequency band .</w:t>
      </w:r>
    </w:p>
    <w:p w14:paraId="491401A6" w14:textId="77777777" w:rsidR="006C0703" w:rsidRDefault="00984CBE" w:rsidP="006C0703">
      <w:pPr>
        <w:pStyle w:val="Behzottbekezdsnmhh"/>
      </w:pPr>
      <w:r>
        <w:rPr>
          <w:lang w:val="en-GB"/>
        </w:rPr>
        <w:t>In response to the EU mandate, the CEPT produced three technical reports which set out the technical conditions for the use of WBB applications (CEPT Report 55</w:t>
      </w:r>
      <w:r>
        <w:rPr>
          <w:rStyle w:val="Lbjegyzet-hivatkozs"/>
          <w:lang w:val="en-GB"/>
        </w:rPr>
        <w:footnoteReference w:id="21"/>
      </w:r>
      <w:r>
        <w:rPr>
          <w:lang w:val="en-GB"/>
        </w:rPr>
        <w:t>), as well as the conditions and regulatory options that would allow for the shared use of the band for WBB and incumbent applications (CEPT Report 56</w:t>
      </w:r>
      <w:r>
        <w:rPr>
          <w:rStyle w:val="Lbjegyzet-hivatkozs"/>
          <w:lang w:val="en-GB"/>
        </w:rPr>
        <w:footnoteReference w:id="22"/>
      </w:r>
      <w:r>
        <w:rPr>
          <w:lang w:val="en-GB"/>
        </w:rPr>
        <w:t>) and between WBB and specifically PMSE as incumbent application (CEPT Report 58</w:t>
      </w:r>
      <w:r>
        <w:rPr>
          <w:rStyle w:val="Lbjegyzet-hivatkozs"/>
          <w:lang w:val="en-GB"/>
        </w:rPr>
        <w:footnoteReference w:id="23"/>
      </w:r>
      <w:r>
        <w:rPr>
          <w:lang w:val="en-GB"/>
        </w:rPr>
        <w:t>).</w:t>
      </w:r>
    </w:p>
    <w:p w14:paraId="1F900936" w14:textId="6B252753" w:rsidR="00FA60A1" w:rsidRDefault="00390673" w:rsidP="00EF302B">
      <w:pPr>
        <w:pStyle w:val="Behzottbekezdsnmhh"/>
      </w:pPr>
      <w:r>
        <w:rPr>
          <w:lang w:val="en-GB"/>
        </w:rPr>
        <w:t xml:space="preserve">In the spring of 2020, the revision of Decision ECC/DEC/(14)02 on </w:t>
      </w:r>
      <w:r w:rsidR="00EF302B">
        <w:rPr>
          <w:lang w:val="en-GB"/>
        </w:rPr>
        <w:t>h</w:t>
      </w:r>
      <w:r w:rsidR="00EF302B" w:rsidRPr="00EF302B">
        <w:rPr>
          <w:lang w:val="en-GB"/>
        </w:rPr>
        <w:t xml:space="preserve">armonised technical and regulatory conditions for the use of the band 2300-2400 MHz for Mobile/Fixed Communications Networks (MFCN) </w:t>
      </w:r>
      <w:r>
        <w:rPr>
          <w:lang w:val="en-GB"/>
        </w:rPr>
        <w:t xml:space="preserve">began in order to allow for the use of 5G technology and, if possible, the introduction of active antenna systems, with appropriate protection for other services and applications. The deadline for the completion of the technical studies on which the review is based is 4 November 2022. According to the ECC work programme, the expected deadline for the adoption of the amended decision is 3 March 2023. </w:t>
      </w:r>
    </w:p>
    <w:p w14:paraId="73BE102A" w14:textId="77777777" w:rsidR="00A8001C" w:rsidRPr="00D86540" w:rsidRDefault="00A8001C" w:rsidP="004E2603">
      <w:pPr>
        <w:pStyle w:val="Cmsor3szmozottnmhh"/>
        <w:spacing w:before="360"/>
      </w:pPr>
      <w:bookmarkStart w:id="7" w:name="_Toc98846423"/>
      <w:r>
        <w:rPr>
          <w:bCs/>
          <w:lang w:val="en-GB"/>
        </w:rPr>
        <w:t>EU</w:t>
      </w:r>
      <w:bookmarkEnd w:id="7"/>
    </w:p>
    <w:p w14:paraId="5D7F1A43" w14:textId="70EEA2DF" w:rsidR="00A8001C" w:rsidRPr="00D86540" w:rsidRDefault="00B200DF" w:rsidP="00A8001C">
      <w:pPr>
        <w:pStyle w:val="Behzottbekezdsnmhh"/>
      </w:pPr>
      <w:r>
        <w:rPr>
          <w:lang w:val="en-GB"/>
        </w:rPr>
        <w:t>On the basis of the results of the technical studies carried out, the CEPT reports commissioned by the EU have been prepared as part of the EU harmonisation procedure, which had begun, but this process was ultimately not completed. Due to the widely differing use of the spectrum in the Member States, no harmonised EU rules for the 2300-2400 MHz band, which are mandatory for EU Member States, have been</w:t>
      </w:r>
      <w:r w:rsidR="003734C3">
        <w:rPr>
          <w:lang w:val="en-GB"/>
        </w:rPr>
        <w:t xml:space="preserve"> adopted</w:t>
      </w:r>
      <w:r>
        <w:rPr>
          <w:lang w:val="en-GB"/>
        </w:rPr>
        <w:t>.</w:t>
      </w:r>
    </w:p>
    <w:p w14:paraId="701F51AE" w14:textId="7D889365" w:rsidR="00A8001C" w:rsidRPr="00D86540" w:rsidRDefault="00A8001C" w:rsidP="00A8001C">
      <w:pPr>
        <w:pStyle w:val="Behzottbekezdsnmhh"/>
        <w:rPr>
          <w:i/>
        </w:rPr>
      </w:pPr>
      <w:r>
        <w:rPr>
          <w:lang w:val="en-GB"/>
        </w:rPr>
        <w:t>The RSPG discussed the question of LSA in 2013, detailing its advantages and disadvantages in the form of an opinion</w:t>
      </w:r>
      <w:r>
        <w:rPr>
          <w:rStyle w:val="Lbjegyzet-hivatkozs"/>
          <w:lang w:val="en-GB"/>
        </w:rPr>
        <w:footnoteReference w:id="24"/>
      </w:r>
      <w:r>
        <w:rPr>
          <w:lang w:val="en-GB"/>
        </w:rPr>
        <w:t xml:space="preserve">. Based on the recommendations in the opinion, the member states must be engaged in active dialogue with stakeholders in order to develop the possible LSA solutions. In particular, the </w:t>
      </w:r>
      <w:r w:rsidR="00EF302B">
        <w:rPr>
          <w:lang w:val="en-GB"/>
        </w:rPr>
        <w:t>opinion</w:t>
      </w:r>
      <w:r>
        <w:rPr>
          <w:lang w:val="en-GB"/>
        </w:rPr>
        <w:t xml:space="preserve"> based its recommendations on the fact that, based on the LSA concept and taking into account incumbent applications, the bands currently used can be made available for new uses, thereby increasing the amount of spectrum available and the efficiency of spectrum use.</w:t>
      </w:r>
    </w:p>
    <w:p w14:paraId="7C8D7C24" w14:textId="77777777" w:rsidR="005D09CC" w:rsidRPr="00D86540" w:rsidRDefault="005D09CC" w:rsidP="00D04CAD">
      <w:pPr>
        <w:pStyle w:val="Cmsor3szmozottnmhh"/>
        <w:spacing w:before="360"/>
      </w:pPr>
      <w:bookmarkStart w:id="8" w:name="_Toc98846424"/>
      <w:r>
        <w:rPr>
          <w:bCs/>
          <w:lang w:val="en-GB"/>
        </w:rPr>
        <w:t>Standards</w:t>
      </w:r>
      <w:bookmarkEnd w:id="8"/>
    </w:p>
    <w:p w14:paraId="5AE05BB3" w14:textId="77777777" w:rsidR="00BE07D2" w:rsidRPr="00D86540" w:rsidRDefault="00EB7E5B" w:rsidP="00BE07D2">
      <w:pPr>
        <w:pStyle w:val="Behzottbekezdsnmhh"/>
      </w:pPr>
      <w:r>
        <w:rPr>
          <w:lang w:val="en-GB"/>
        </w:rPr>
        <w:lastRenderedPageBreak/>
        <w:t>The band has been identified by the 3GPP</w:t>
      </w:r>
      <w:r>
        <w:rPr>
          <w:rStyle w:val="Lbjegyzet-hivatkozs"/>
          <w:lang w:val="en-GB"/>
        </w:rPr>
        <w:footnoteReference w:id="25"/>
      </w:r>
      <w:r>
        <w:rPr>
          <w:lang w:val="en-GB"/>
        </w:rPr>
        <w:t xml:space="preserve"> as a possible TDD band</w:t>
      </w:r>
      <w:r>
        <w:rPr>
          <w:rStyle w:val="Lbjegyzet-hivatkozs"/>
          <w:lang w:val="en-GB"/>
        </w:rPr>
        <w:footnoteReference w:id="26"/>
      </w:r>
      <w:r>
        <w:rPr>
          <w:lang w:val="en-GB"/>
        </w:rPr>
        <w:t xml:space="preserve"> since LTE Release 8 and is included in Technical Specification 38.104 V15 as a 5G band with the name n40. As a result, the 5G-ready mobile devices of major device manufacturers are now suitable for use in the band.</w:t>
      </w:r>
    </w:p>
    <w:p w14:paraId="6C2ACE26" w14:textId="77777777" w:rsidR="006D12DF" w:rsidRPr="00791054" w:rsidRDefault="00791054" w:rsidP="00791054">
      <w:pPr>
        <w:pStyle w:val="Behzottbekezdsnmhh"/>
        <w:ind w:firstLine="567"/>
      </w:pPr>
      <w:r>
        <w:rPr>
          <w:lang w:val="en-GB"/>
        </w:rPr>
        <w:t>In countries where the use of the band for MFCN is planned but cannot be ensured without restrictions due to incumbent use, the use of the LSA architecture can be a solution. Documents ETSI TS 103 235, ETSI TS 103 379, ETSI TS 103 154 and ETSI TR 103 113 describe the LSA system architecture applicable in the 2300 MHz band to enable the deployment of terrestrial electronic communications networks in these cases.</w:t>
      </w:r>
    </w:p>
    <w:p w14:paraId="413365C4" w14:textId="77777777" w:rsidR="008A2CC7" w:rsidRDefault="005D09CC" w:rsidP="00EF7841">
      <w:pPr>
        <w:pStyle w:val="Cmsor2szmozottnmhh"/>
        <w:keepNext/>
        <w:spacing w:before="360"/>
        <w:ind w:left="567" w:hanging="578"/>
      </w:pPr>
      <w:bookmarkStart w:id="9" w:name="_Toc98846425"/>
      <w:r>
        <w:rPr>
          <w:bCs/>
          <w:lang w:val="en-GB"/>
        </w:rPr>
        <w:t>National regulation</w:t>
      </w:r>
      <w:bookmarkEnd w:id="9"/>
    </w:p>
    <w:p w14:paraId="6BD3E1A6" w14:textId="77777777" w:rsidR="0051050A" w:rsidRDefault="0051050A" w:rsidP="00ED370A">
      <w:pPr>
        <w:pStyle w:val="Behzottbekezdsnmhh"/>
        <w:ind w:firstLine="567"/>
        <w:rPr>
          <w:rFonts w:cs="Arial"/>
          <w:sz w:val="22"/>
        </w:rPr>
      </w:pPr>
      <w:r>
        <w:rPr>
          <w:lang w:val="en-GB"/>
        </w:rPr>
        <w:t>The rules for domestic use of the 2300-2400 MHz band are set out in the NFFF Decree.</w:t>
      </w:r>
    </w:p>
    <w:p w14:paraId="3A848827" w14:textId="0D7F4E3B" w:rsidR="0051050A" w:rsidRPr="00473D30" w:rsidRDefault="0051050A" w:rsidP="00791054">
      <w:pPr>
        <w:pStyle w:val="Behzottbekezdsnmhh"/>
        <w:ind w:firstLine="567"/>
      </w:pPr>
      <w:r>
        <w:rPr>
          <w:lang w:val="en-GB"/>
        </w:rPr>
        <w:t>Within the 2300-2400 MHz frequency band, the 2300-2370 MHz sub-band is planned for civil use, while the 2370-2400 MHz sub-band is designated for non-civil use for terrestrial electronic communications networks. In addition, radio systems within the scope of the radio amateur service may operate on a secondary basis throughout the band, and short-range devices (SRD</w:t>
      </w:r>
      <w:r>
        <w:rPr>
          <w:vertAlign w:val="superscript"/>
          <w:lang w:val="en-GB"/>
        </w:rPr>
        <w:footnoteReference w:id="27"/>
      </w:r>
      <w:r>
        <w:rPr>
          <w:lang w:val="en-GB"/>
        </w:rPr>
        <w:t xml:space="preserve">) may operate on a tertiary basis. Military telemetry and </w:t>
      </w:r>
      <w:r w:rsidR="00D97073">
        <w:rPr>
          <w:lang w:val="en-GB"/>
        </w:rPr>
        <w:t>telecommand</w:t>
      </w:r>
      <w:r>
        <w:rPr>
          <w:lang w:val="en-GB"/>
        </w:rPr>
        <w:t xml:space="preserve"> as well as military mobile systems may still operate in the 2370-2400 MHz band.</w:t>
      </w:r>
    </w:p>
    <w:p w14:paraId="09681AE9" w14:textId="77777777" w:rsidR="00C24420" w:rsidRPr="00D86540" w:rsidRDefault="00EB4262" w:rsidP="00A65C13">
      <w:pPr>
        <w:pStyle w:val="Cmsor3szmozottnmhh"/>
      </w:pPr>
      <w:bookmarkStart w:id="10" w:name="_Toc98846426"/>
      <w:r>
        <w:rPr>
          <w:bCs/>
          <w:lang w:val="en-GB"/>
        </w:rPr>
        <w:t>Provisions of NFFF Decree</w:t>
      </w:r>
      <w:bookmarkEnd w:id="10"/>
    </w:p>
    <w:p w14:paraId="79DD0ED8" w14:textId="784E21CD" w:rsidR="002F6B2E" w:rsidRDefault="002F6B2E" w:rsidP="00186107">
      <w:pPr>
        <w:pStyle w:val="Behzottbekezdsnmhh"/>
        <w:numPr>
          <w:ilvl w:val="0"/>
          <w:numId w:val="38"/>
        </w:numPr>
        <w:rPr>
          <w:b/>
          <w:sz w:val="24"/>
          <w:szCs w:val="24"/>
        </w:rPr>
      </w:pPr>
      <w:r>
        <w:rPr>
          <w:b/>
          <w:bCs/>
          <w:sz w:val="24"/>
          <w:szCs w:val="24"/>
          <w:lang w:val="en-GB"/>
        </w:rPr>
        <w:t>2300</w:t>
      </w:r>
      <w:r w:rsidR="00772F40">
        <w:rPr>
          <w:b/>
          <w:bCs/>
          <w:sz w:val="24"/>
          <w:szCs w:val="24"/>
          <w:lang w:val="en-GB"/>
        </w:rPr>
        <w:t>-</w:t>
      </w:r>
      <w:r>
        <w:rPr>
          <w:b/>
          <w:bCs/>
          <w:sz w:val="24"/>
          <w:szCs w:val="24"/>
          <w:lang w:val="en-GB"/>
        </w:rPr>
        <w:t>2400 MHz (full frequency band)</w:t>
      </w:r>
    </w:p>
    <w:p w14:paraId="308F6922" w14:textId="7B6DF330" w:rsidR="00891BED" w:rsidRPr="00891BED" w:rsidRDefault="00891BED" w:rsidP="0011720D">
      <w:pPr>
        <w:pStyle w:val="Behzottbekezdsnmhh"/>
        <w:ind w:left="567" w:firstLine="567"/>
      </w:pPr>
      <w:r>
        <w:rPr>
          <w:lang w:val="en-GB"/>
        </w:rPr>
        <w:t>The rules for the entire 2300-2400 MHz frequency band are set out in Table 3.2.1a:</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369"/>
        <w:gridCol w:w="980"/>
        <w:gridCol w:w="1400"/>
        <w:gridCol w:w="2100"/>
        <w:gridCol w:w="1448"/>
      </w:tblGrid>
      <w:tr w:rsidR="002F6B2E" w:rsidRPr="006D1BB5" w14:paraId="53A8DDB7"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11027"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Radio service</w:t>
            </w:r>
          </w:p>
        </w:tc>
        <w:tc>
          <w:tcPr>
            <w:tcW w:w="7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9550A0"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Allocation by use</w:t>
            </w:r>
          </w:p>
        </w:tc>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30DA1"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Nature of application</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E8493"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Availability</w:t>
            </w:r>
          </w:p>
        </w:tc>
        <w:tc>
          <w:tcPr>
            <w:tcW w:w="11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0BFE4"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Application</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2E420D"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Document</w:t>
            </w:r>
          </w:p>
        </w:tc>
      </w:tr>
      <w:tr w:rsidR="002F6B2E" w:rsidRPr="00D86540" w14:paraId="4130EE8E"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E8C07"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Amateur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E9427"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Civil</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66B11"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4F47" w14:textId="79E349B6" w:rsidR="002F6B2E" w:rsidRPr="006D1BB5" w:rsidRDefault="00D97073" w:rsidP="00560394">
            <w:pPr>
              <w:spacing w:after="0" w:line="240" w:lineRule="auto"/>
              <w:jc w:val="center"/>
              <w:rPr>
                <w:rFonts w:ascii="Arial" w:hAnsi="Arial" w:cs="Arial"/>
                <w:sz w:val="16"/>
                <w:szCs w:val="16"/>
              </w:rPr>
            </w:pPr>
            <w:r>
              <w:rPr>
                <w:rFonts w:ascii="Arial" w:hAnsi="Arial" w:cs="Arial"/>
                <w:sz w:val="16"/>
                <w:szCs w:val="16"/>
                <w:lang w:val="en-GB"/>
              </w:rPr>
              <w:t>Designated</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C4A69"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Amateur radio service</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F5C1C" w14:textId="77777777" w:rsidR="002F6B2E" w:rsidRDefault="002F6B2E" w:rsidP="00560394">
            <w:pPr>
              <w:spacing w:after="0" w:line="240" w:lineRule="auto"/>
              <w:jc w:val="center"/>
              <w:rPr>
                <w:rFonts w:ascii="Arial" w:hAnsi="Arial" w:cs="Arial"/>
                <w:sz w:val="16"/>
                <w:szCs w:val="16"/>
              </w:rPr>
            </w:pPr>
            <w:r>
              <w:rPr>
                <w:rFonts w:ascii="Arial" w:hAnsi="Arial" w:cs="Arial"/>
                <w:sz w:val="16"/>
                <w:szCs w:val="16"/>
                <w:lang w:val="en-GB"/>
              </w:rPr>
              <w:t>ECC/REC/(02)01</w:t>
            </w:r>
          </w:p>
          <w:p w14:paraId="3DFD8054" w14:textId="29B89CE9"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MSZ EN</w:t>
            </w:r>
            <w:r w:rsidR="00507E95">
              <w:rPr>
                <w:rFonts w:ascii="Arial" w:hAnsi="Arial" w:cs="Arial"/>
                <w:sz w:val="16"/>
                <w:szCs w:val="16"/>
                <w:lang w:val="en-GB"/>
              </w:rPr>
              <w:t xml:space="preserve"> </w:t>
            </w:r>
            <w:r>
              <w:rPr>
                <w:rFonts w:ascii="Arial" w:hAnsi="Arial" w:cs="Arial"/>
                <w:sz w:val="16"/>
                <w:szCs w:val="16"/>
                <w:lang w:val="en-GB"/>
              </w:rPr>
              <w:t>301783</w:t>
            </w:r>
          </w:p>
        </w:tc>
      </w:tr>
      <w:tr w:rsidR="002F6B2E" w:rsidRPr="00D86540" w14:paraId="0427C3B8"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CA7D6"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85F2" w14:textId="77777777" w:rsidR="002F6B2E" w:rsidRPr="006D1BB5" w:rsidRDefault="002F6B2E" w:rsidP="00C61E39">
            <w:pPr>
              <w:spacing w:after="0" w:line="240" w:lineRule="auto"/>
              <w:jc w:val="center"/>
              <w:rPr>
                <w:rFonts w:ascii="Arial" w:hAnsi="Arial" w:cs="Arial"/>
                <w:sz w:val="16"/>
                <w:szCs w:val="16"/>
              </w:rPr>
            </w:pPr>
            <w:r>
              <w:rPr>
                <w:rFonts w:ascii="Arial" w:hAnsi="Arial" w:cs="Arial"/>
                <w:sz w:val="16"/>
                <w:szCs w:val="16"/>
                <w:lang w:val="en-GB"/>
              </w:rPr>
              <w:t>Civil - non-civil</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28082"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8F523" w14:textId="5BF535D0" w:rsidR="002F6B2E" w:rsidRPr="006D1BB5" w:rsidRDefault="00D97073" w:rsidP="00560394">
            <w:pPr>
              <w:spacing w:after="0" w:line="240" w:lineRule="auto"/>
              <w:jc w:val="center"/>
              <w:rPr>
                <w:rFonts w:ascii="Arial" w:hAnsi="Arial" w:cs="Arial"/>
                <w:sz w:val="16"/>
                <w:szCs w:val="16"/>
              </w:rPr>
            </w:pPr>
            <w:r>
              <w:rPr>
                <w:rFonts w:ascii="Arial" w:hAnsi="Arial" w:cs="Arial"/>
                <w:sz w:val="16"/>
                <w:szCs w:val="16"/>
                <w:lang w:val="en-GB"/>
              </w:rPr>
              <w:t>Designated</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1077F"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lang w:val="en-GB"/>
              </w:rPr>
              <w:t>SRD: radiodetermination applications</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6D6D" w14:textId="77777777" w:rsidR="002F6B2E" w:rsidRPr="006D1BB5" w:rsidRDefault="002F6B2E" w:rsidP="00891BED">
            <w:pPr>
              <w:keepNext/>
              <w:spacing w:after="0" w:line="240" w:lineRule="auto"/>
              <w:jc w:val="center"/>
              <w:rPr>
                <w:rFonts w:ascii="Arial" w:hAnsi="Arial" w:cs="Arial"/>
                <w:sz w:val="16"/>
                <w:szCs w:val="16"/>
              </w:rPr>
            </w:pPr>
          </w:p>
        </w:tc>
      </w:tr>
    </w:tbl>
    <w:p w14:paraId="048C2A83" w14:textId="77777777" w:rsidR="00891BED" w:rsidRDefault="00891BED" w:rsidP="00891BED">
      <w:pPr>
        <w:pStyle w:val="Kpalrs"/>
        <w:jc w:val="center"/>
      </w:pPr>
      <w:r>
        <w:rPr>
          <w:lang w:val="en-GB"/>
        </w:rPr>
        <w:t>Table 3.2.1.a</w:t>
      </w:r>
    </w:p>
    <w:p w14:paraId="10478DB4" w14:textId="77777777" w:rsidR="00EF7841" w:rsidRDefault="00EF7841" w:rsidP="00891BED">
      <w:pPr>
        <w:pStyle w:val="Behzottbekezdsnmhh"/>
        <w:ind w:firstLine="567"/>
      </w:pPr>
    </w:p>
    <w:p w14:paraId="2413E904" w14:textId="5DFAD05B" w:rsidR="00B972CB" w:rsidRPr="009119D6" w:rsidRDefault="00B972CB" w:rsidP="00891BED">
      <w:pPr>
        <w:pStyle w:val="Behzottbekezdsnmhh"/>
        <w:ind w:firstLine="567"/>
      </w:pPr>
      <w:r>
        <w:rPr>
          <w:lang w:val="en-GB"/>
        </w:rPr>
        <w:t>The detailed rules for amateur radio service and SRD radiodetermination applications are included in Annex 3 of the NFFF Decree.</w:t>
      </w:r>
    </w:p>
    <w:p w14:paraId="2ADF01E4" w14:textId="77777777" w:rsidR="00D541E4" w:rsidRDefault="003315D5" w:rsidP="00186107">
      <w:pPr>
        <w:pStyle w:val="Behzottbekezdsnmhh"/>
        <w:numPr>
          <w:ilvl w:val="0"/>
          <w:numId w:val="38"/>
        </w:numPr>
        <w:rPr>
          <w:b/>
          <w:sz w:val="24"/>
          <w:szCs w:val="24"/>
        </w:rPr>
      </w:pPr>
      <w:r>
        <w:rPr>
          <w:b/>
          <w:bCs/>
          <w:sz w:val="24"/>
          <w:szCs w:val="24"/>
          <w:lang w:val="en-GB"/>
        </w:rPr>
        <w:t>2300-2370 MHz frequency band in civil application</w:t>
      </w:r>
    </w:p>
    <w:p w14:paraId="48584D96" w14:textId="77777777" w:rsidR="00891BED" w:rsidRPr="00891BED" w:rsidRDefault="00891BED" w:rsidP="0011720D">
      <w:pPr>
        <w:pStyle w:val="Behzottbekezdsnmhh"/>
        <w:ind w:left="567" w:firstLine="567"/>
      </w:pPr>
      <w:r>
        <w:rPr>
          <w:lang w:val="en-GB"/>
        </w:rPr>
        <w:t>The rules for the 2300-2370 MHz sub-band in civil use are set out in Table 3.2.1.b:</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8"/>
        <w:gridCol w:w="977"/>
        <w:gridCol w:w="1394"/>
        <w:gridCol w:w="2092"/>
        <w:gridCol w:w="1442"/>
      </w:tblGrid>
      <w:tr w:rsidR="00C61E39" w:rsidRPr="006D1BB5" w14:paraId="3739A8C1" w14:textId="77777777" w:rsidTr="008009F0">
        <w:trPr>
          <w:trHeight w:val="276"/>
          <w:jc w:val="center"/>
        </w:trPr>
        <w:tc>
          <w:tcPr>
            <w:tcW w:w="1028" w:type="pct"/>
            <w:shd w:val="clear" w:color="auto" w:fill="F2F2F2" w:themeFill="background1" w:themeFillShade="F2"/>
            <w:vAlign w:val="center"/>
          </w:tcPr>
          <w:p w14:paraId="7EA55173"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Radio service</w:t>
            </w:r>
          </w:p>
        </w:tc>
        <w:tc>
          <w:tcPr>
            <w:tcW w:w="657" w:type="pct"/>
            <w:shd w:val="clear" w:color="auto" w:fill="F2F2F2" w:themeFill="background1" w:themeFillShade="F2"/>
            <w:vAlign w:val="center"/>
          </w:tcPr>
          <w:p w14:paraId="2732A071"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Nature of application</w:t>
            </w:r>
          </w:p>
        </w:tc>
        <w:tc>
          <w:tcPr>
            <w:tcW w:w="938" w:type="pct"/>
            <w:shd w:val="clear" w:color="auto" w:fill="F2F2F2" w:themeFill="background1" w:themeFillShade="F2"/>
            <w:vAlign w:val="center"/>
          </w:tcPr>
          <w:p w14:paraId="5C41C5AC"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Availability</w:t>
            </w:r>
          </w:p>
        </w:tc>
        <w:tc>
          <w:tcPr>
            <w:tcW w:w="1407" w:type="pct"/>
            <w:shd w:val="clear" w:color="auto" w:fill="F2F2F2" w:themeFill="background1" w:themeFillShade="F2"/>
            <w:vAlign w:val="center"/>
          </w:tcPr>
          <w:p w14:paraId="62494148"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Application</w:t>
            </w:r>
          </w:p>
        </w:tc>
        <w:tc>
          <w:tcPr>
            <w:tcW w:w="970" w:type="pct"/>
            <w:shd w:val="clear" w:color="auto" w:fill="F2F2F2" w:themeFill="background1" w:themeFillShade="F2"/>
            <w:vAlign w:val="center"/>
          </w:tcPr>
          <w:p w14:paraId="2F5A5347" w14:textId="77777777" w:rsidR="00C61E39" w:rsidRPr="006D1BB5" w:rsidRDefault="00C61E39" w:rsidP="00D65314">
            <w:pPr>
              <w:spacing w:after="0" w:line="240" w:lineRule="auto"/>
              <w:ind w:left="466" w:hanging="466"/>
              <w:jc w:val="center"/>
              <w:rPr>
                <w:rFonts w:ascii="Arial" w:hAnsi="Arial" w:cs="Arial"/>
                <w:sz w:val="16"/>
                <w:szCs w:val="16"/>
              </w:rPr>
            </w:pPr>
            <w:r>
              <w:rPr>
                <w:rFonts w:ascii="Arial" w:hAnsi="Arial" w:cs="Arial"/>
                <w:sz w:val="16"/>
                <w:szCs w:val="16"/>
                <w:lang w:val="en-GB"/>
              </w:rPr>
              <w:t>Document</w:t>
            </w:r>
          </w:p>
        </w:tc>
      </w:tr>
      <w:tr w:rsidR="00C61E39" w:rsidRPr="006D1BB5" w14:paraId="66204E52" w14:textId="77777777" w:rsidTr="008009F0">
        <w:trPr>
          <w:trHeight w:val="20"/>
          <w:jc w:val="center"/>
        </w:trPr>
        <w:tc>
          <w:tcPr>
            <w:tcW w:w="1028" w:type="pct"/>
            <w:shd w:val="clear" w:color="auto" w:fill="auto"/>
            <w:vAlign w:val="center"/>
            <w:hideMark/>
          </w:tcPr>
          <w:p w14:paraId="3A0BC569"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FIXED</w:t>
            </w:r>
          </w:p>
        </w:tc>
        <w:tc>
          <w:tcPr>
            <w:tcW w:w="657" w:type="pct"/>
            <w:shd w:val="clear" w:color="auto" w:fill="auto"/>
            <w:vAlign w:val="center"/>
            <w:hideMark/>
          </w:tcPr>
          <w:p w14:paraId="70A12A0E"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8" w:type="pct"/>
            <w:shd w:val="clear" w:color="auto" w:fill="auto"/>
            <w:vAlign w:val="center"/>
            <w:hideMark/>
          </w:tcPr>
          <w:p w14:paraId="71D73DEA"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Planned</w:t>
            </w:r>
          </w:p>
        </w:tc>
        <w:tc>
          <w:tcPr>
            <w:tcW w:w="1407" w:type="pct"/>
            <w:shd w:val="clear" w:color="auto" w:fill="auto"/>
            <w:vAlign w:val="center"/>
            <w:hideMark/>
          </w:tcPr>
          <w:p w14:paraId="696F2A53"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Terrestrial electronic communications networks (IMT, BWA, WiMAX, WiBro, LTE)</w:t>
            </w:r>
          </w:p>
        </w:tc>
        <w:tc>
          <w:tcPr>
            <w:tcW w:w="970" w:type="pct"/>
            <w:shd w:val="clear" w:color="auto" w:fill="auto"/>
            <w:vAlign w:val="center"/>
            <w:hideMark/>
          </w:tcPr>
          <w:p w14:paraId="68B796C7"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ECC/DEC/(14)02</w:t>
            </w:r>
          </w:p>
        </w:tc>
      </w:tr>
      <w:tr w:rsidR="00C61E39" w:rsidRPr="006D1BB5" w14:paraId="1E19309C" w14:textId="77777777" w:rsidTr="008009F0">
        <w:trPr>
          <w:trHeight w:val="20"/>
          <w:jc w:val="center"/>
        </w:trPr>
        <w:tc>
          <w:tcPr>
            <w:tcW w:w="1028" w:type="pct"/>
            <w:shd w:val="clear" w:color="auto" w:fill="auto"/>
            <w:vAlign w:val="center"/>
            <w:hideMark/>
          </w:tcPr>
          <w:p w14:paraId="00698D90"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MOBILE (5.384A)</w:t>
            </w:r>
          </w:p>
        </w:tc>
        <w:tc>
          <w:tcPr>
            <w:tcW w:w="657" w:type="pct"/>
            <w:shd w:val="clear" w:color="auto" w:fill="auto"/>
            <w:vAlign w:val="center"/>
            <w:hideMark/>
          </w:tcPr>
          <w:p w14:paraId="6C6884C2"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8" w:type="pct"/>
            <w:shd w:val="clear" w:color="auto" w:fill="auto"/>
            <w:vAlign w:val="center"/>
            <w:hideMark/>
          </w:tcPr>
          <w:p w14:paraId="00B9F035"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Planned</w:t>
            </w:r>
          </w:p>
        </w:tc>
        <w:tc>
          <w:tcPr>
            <w:tcW w:w="1407" w:type="pct"/>
            <w:shd w:val="clear" w:color="auto" w:fill="auto"/>
            <w:vAlign w:val="center"/>
            <w:hideMark/>
          </w:tcPr>
          <w:p w14:paraId="7840C823"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Terrestrial electronic communications networks (IMT, BWA, WiMAX, WiBro, LTE)</w:t>
            </w:r>
          </w:p>
        </w:tc>
        <w:tc>
          <w:tcPr>
            <w:tcW w:w="970" w:type="pct"/>
            <w:shd w:val="clear" w:color="auto" w:fill="auto"/>
            <w:vAlign w:val="center"/>
            <w:hideMark/>
          </w:tcPr>
          <w:p w14:paraId="684AF155" w14:textId="77777777" w:rsidR="00C61E39" w:rsidRPr="006D1BB5" w:rsidRDefault="00C61E39" w:rsidP="00891BED">
            <w:pPr>
              <w:keepNext/>
              <w:spacing w:after="0" w:line="240" w:lineRule="auto"/>
              <w:jc w:val="center"/>
              <w:rPr>
                <w:rFonts w:ascii="Arial" w:hAnsi="Arial" w:cs="Arial"/>
                <w:sz w:val="16"/>
                <w:szCs w:val="16"/>
              </w:rPr>
            </w:pPr>
            <w:r>
              <w:rPr>
                <w:rFonts w:ascii="Arial" w:hAnsi="Arial" w:cs="Arial"/>
                <w:sz w:val="16"/>
                <w:szCs w:val="16"/>
                <w:lang w:val="en-GB"/>
              </w:rPr>
              <w:t xml:space="preserve">ECC/DEC/(14)02 </w:t>
            </w:r>
          </w:p>
        </w:tc>
      </w:tr>
    </w:tbl>
    <w:p w14:paraId="476A8545" w14:textId="77777777" w:rsidR="00891BED" w:rsidRDefault="00891BED" w:rsidP="00891BED">
      <w:pPr>
        <w:pStyle w:val="Kpalrs"/>
        <w:jc w:val="center"/>
      </w:pPr>
      <w:r>
        <w:rPr>
          <w:lang w:val="en-GB"/>
        </w:rPr>
        <w:t xml:space="preserve">Table 3.2.1.b </w:t>
      </w:r>
    </w:p>
    <w:p w14:paraId="5C879589" w14:textId="77777777" w:rsidR="003315D5" w:rsidRDefault="003315D5" w:rsidP="00186107">
      <w:pPr>
        <w:pStyle w:val="Behzottbekezdsnmhh"/>
        <w:numPr>
          <w:ilvl w:val="0"/>
          <w:numId w:val="38"/>
        </w:numPr>
        <w:rPr>
          <w:b/>
          <w:sz w:val="24"/>
          <w:szCs w:val="24"/>
        </w:rPr>
      </w:pPr>
      <w:r>
        <w:rPr>
          <w:b/>
          <w:bCs/>
          <w:sz w:val="24"/>
          <w:szCs w:val="24"/>
          <w:lang w:val="en-GB"/>
        </w:rPr>
        <w:lastRenderedPageBreak/>
        <w:t>2370 – 2400 MHz frequency band in non-civil application</w:t>
      </w:r>
    </w:p>
    <w:p w14:paraId="58809112" w14:textId="77777777" w:rsidR="0011720D" w:rsidRPr="0011720D" w:rsidRDefault="0011720D" w:rsidP="0011720D">
      <w:pPr>
        <w:pStyle w:val="Behzottbekezdsnmhh"/>
        <w:ind w:left="567" w:firstLine="567"/>
      </w:pPr>
      <w:r>
        <w:rPr>
          <w:lang w:val="en-GB"/>
        </w:rPr>
        <w:t>The rules for the 2370-2400 MHz sub-band in non-civil use are set out in Table 3.2.1.c:</w:t>
      </w:r>
    </w:p>
    <w:tbl>
      <w:tblPr>
        <w:tblW w:w="4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1"/>
        <w:gridCol w:w="991"/>
        <w:gridCol w:w="1414"/>
        <w:gridCol w:w="2124"/>
        <w:gridCol w:w="1463"/>
      </w:tblGrid>
      <w:tr w:rsidR="00C61E39" w:rsidRPr="006D1BB5" w14:paraId="302F674B" w14:textId="77777777" w:rsidTr="008009F0">
        <w:trPr>
          <w:trHeight w:val="276"/>
          <w:jc w:val="center"/>
        </w:trPr>
        <w:tc>
          <w:tcPr>
            <w:tcW w:w="1028" w:type="pct"/>
            <w:shd w:val="clear" w:color="auto" w:fill="F2F2F2" w:themeFill="background1" w:themeFillShade="F2"/>
            <w:vAlign w:val="center"/>
          </w:tcPr>
          <w:p w14:paraId="574A3362"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Radio service</w:t>
            </w:r>
          </w:p>
        </w:tc>
        <w:tc>
          <w:tcPr>
            <w:tcW w:w="657" w:type="pct"/>
            <w:shd w:val="clear" w:color="auto" w:fill="F2F2F2" w:themeFill="background1" w:themeFillShade="F2"/>
            <w:vAlign w:val="center"/>
          </w:tcPr>
          <w:p w14:paraId="54A21A41"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Nature of application</w:t>
            </w:r>
          </w:p>
        </w:tc>
        <w:tc>
          <w:tcPr>
            <w:tcW w:w="937" w:type="pct"/>
            <w:shd w:val="clear" w:color="auto" w:fill="F2F2F2" w:themeFill="background1" w:themeFillShade="F2"/>
            <w:vAlign w:val="center"/>
          </w:tcPr>
          <w:p w14:paraId="69D61FC7"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Availability</w:t>
            </w:r>
          </w:p>
        </w:tc>
        <w:tc>
          <w:tcPr>
            <w:tcW w:w="1408" w:type="pct"/>
            <w:shd w:val="clear" w:color="auto" w:fill="F2F2F2" w:themeFill="background1" w:themeFillShade="F2"/>
            <w:vAlign w:val="center"/>
          </w:tcPr>
          <w:p w14:paraId="568E1246"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Application</w:t>
            </w:r>
          </w:p>
        </w:tc>
        <w:tc>
          <w:tcPr>
            <w:tcW w:w="970" w:type="pct"/>
            <w:shd w:val="clear" w:color="auto" w:fill="F2F2F2" w:themeFill="background1" w:themeFillShade="F2"/>
            <w:vAlign w:val="center"/>
          </w:tcPr>
          <w:p w14:paraId="235FE05F" w14:textId="77777777" w:rsidR="00C61E39" w:rsidRPr="006D1BB5" w:rsidRDefault="00C61E39" w:rsidP="00D65314">
            <w:pPr>
              <w:spacing w:after="0" w:line="240" w:lineRule="auto"/>
              <w:ind w:left="466" w:hanging="466"/>
              <w:jc w:val="center"/>
              <w:rPr>
                <w:rFonts w:ascii="Arial" w:hAnsi="Arial" w:cs="Arial"/>
                <w:sz w:val="16"/>
                <w:szCs w:val="16"/>
              </w:rPr>
            </w:pPr>
            <w:r>
              <w:rPr>
                <w:rFonts w:ascii="Arial" w:hAnsi="Arial" w:cs="Arial"/>
                <w:sz w:val="16"/>
                <w:szCs w:val="16"/>
                <w:lang w:val="en-GB"/>
              </w:rPr>
              <w:t>Document</w:t>
            </w:r>
          </w:p>
        </w:tc>
      </w:tr>
      <w:tr w:rsidR="00C61E39" w:rsidRPr="00D86540" w14:paraId="0215D7FE"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A665D"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FIXED</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5C784"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3E29B" w14:textId="6B125FCB" w:rsidR="00C61E39" w:rsidRPr="006D1BB5" w:rsidRDefault="00D97073" w:rsidP="00D65314">
            <w:pPr>
              <w:spacing w:after="0" w:line="240" w:lineRule="auto"/>
              <w:jc w:val="center"/>
              <w:rPr>
                <w:rFonts w:ascii="Arial" w:hAnsi="Arial" w:cs="Arial"/>
                <w:sz w:val="16"/>
                <w:szCs w:val="16"/>
              </w:rPr>
            </w:pPr>
            <w:r>
              <w:rPr>
                <w:rFonts w:ascii="Arial" w:hAnsi="Arial" w:cs="Arial"/>
                <w:sz w:val="16"/>
                <w:szCs w:val="16"/>
                <w:lang w:val="en-GB"/>
              </w:rPr>
              <w:t>Designated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90B02"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Terrestrial electronic communications networks (IMT, BWA, WiMAX, WiBro, LTE)</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81621" w14:textId="77777777" w:rsidR="00C61E39" w:rsidRPr="006D1BB5" w:rsidRDefault="00444440" w:rsidP="00D65314">
            <w:pPr>
              <w:spacing w:after="0" w:line="240" w:lineRule="auto"/>
              <w:jc w:val="center"/>
              <w:rPr>
                <w:rFonts w:ascii="Arial" w:hAnsi="Arial" w:cs="Arial"/>
                <w:sz w:val="16"/>
                <w:szCs w:val="16"/>
              </w:rPr>
            </w:pPr>
            <w:r>
              <w:rPr>
                <w:rFonts w:ascii="Arial" w:hAnsi="Arial" w:cs="Arial"/>
                <w:sz w:val="16"/>
                <w:szCs w:val="16"/>
                <w:lang w:val="en-GB"/>
              </w:rPr>
              <w:t>ECC/DEC/(14)02</w:t>
            </w:r>
          </w:p>
        </w:tc>
      </w:tr>
      <w:tr w:rsidR="00C61E39" w:rsidRPr="00D86540" w14:paraId="7A77189E"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BE33F" w14:textId="77777777" w:rsidR="00C61E39" w:rsidRPr="006D1BB5" w:rsidRDefault="00C61E39" w:rsidP="00C83679">
            <w:pPr>
              <w:spacing w:after="0" w:line="240" w:lineRule="auto"/>
              <w:jc w:val="center"/>
              <w:rPr>
                <w:rFonts w:ascii="Arial" w:hAnsi="Arial" w:cs="Arial"/>
                <w:sz w:val="16"/>
                <w:szCs w:val="16"/>
              </w:rPr>
            </w:pPr>
            <w:r>
              <w:rPr>
                <w:rFonts w:ascii="Arial" w:hAnsi="Arial" w:cs="Arial"/>
                <w:sz w:val="16"/>
                <w:szCs w:val="16"/>
                <w:lang w:val="en-GB"/>
              </w:rPr>
              <w:t xml:space="preserve">MOBILE </w:t>
            </w:r>
            <w:r>
              <w:rPr>
                <w:rFonts w:ascii="Arial" w:hAnsi="Arial" w:cs="Arial"/>
                <w:sz w:val="16"/>
                <w:szCs w:val="16"/>
                <w:lang w:val="en-GB"/>
              </w:rPr>
              <w:br/>
              <w:t>(5.384A, NJE)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9B5AA"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B1A12" w14:textId="6F7CF9E8" w:rsidR="00C61E39" w:rsidRPr="006D1BB5" w:rsidRDefault="00D97073" w:rsidP="00D65314">
            <w:pPr>
              <w:spacing w:after="0" w:line="240" w:lineRule="auto"/>
              <w:jc w:val="center"/>
              <w:rPr>
                <w:rFonts w:ascii="Arial" w:hAnsi="Arial" w:cs="Arial"/>
                <w:sz w:val="16"/>
                <w:szCs w:val="16"/>
              </w:rPr>
            </w:pPr>
            <w:r>
              <w:rPr>
                <w:rFonts w:ascii="Arial" w:hAnsi="Arial" w:cs="Arial"/>
                <w:sz w:val="16"/>
                <w:szCs w:val="16"/>
                <w:lang w:val="en-GB"/>
              </w:rPr>
              <w:t>Designated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3D9D1"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Terrestrial electronic communications networks</w:t>
            </w:r>
          </w:p>
          <w:p w14:paraId="7FC7E004"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(BWA, WiMAX, WiBro, LTE)</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A0964" w14:textId="77777777" w:rsidR="00C61E39" w:rsidRPr="006D1BB5" w:rsidRDefault="00444440" w:rsidP="00D65314">
            <w:pPr>
              <w:spacing w:after="0" w:line="240" w:lineRule="auto"/>
              <w:jc w:val="center"/>
              <w:rPr>
                <w:rFonts w:ascii="Arial" w:hAnsi="Arial" w:cs="Arial"/>
                <w:sz w:val="16"/>
                <w:szCs w:val="16"/>
              </w:rPr>
            </w:pPr>
            <w:r>
              <w:rPr>
                <w:rFonts w:ascii="Arial" w:hAnsi="Arial" w:cs="Arial"/>
                <w:sz w:val="16"/>
                <w:szCs w:val="16"/>
                <w:lang w:val="en-GB"/>
              </w:rPr>
              <w:t>ECC/DEC/(14)02</w:t>
            </w:r>
          </w:p>
        </w:tc>
      </w:tr>
      <w:tr w:rsidR="00AC75B1" w:rsidRPr="00D86540" w14:paraId="701D1A31"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45F856B1" w14:textId="77777777" w:rsidR="00AC75B1" w:rsidRPr="006D1BB5" w:rsidRDefault="00AC75B1" w:rsidP="00C83679">
            <w:pPr>
              <w:spacing w:after="0" w:line="240" w:lineRule="auto"/>
              <w:jc w:val="center"/>
              <w:rPr>
                <w:rFonts w:ascii="Arial" w:hAnsi="Arial" w:cs="Arial"/>
                <w:sz w:val="16"/>
                <w:szCs w:val="16"/>
              </w:rPr>
            </w:pPr>
            <w:r>
              <w:rPr>
                <w:rFonts w:ascii="Arial" w:hAnsi="Arial" w:cs="Arial"/>
                <w:sz w:val="16"/>
                <w:szCs w:val="16"/>
                <w:lang w:val="en-GB"/>
              </w:rPr>
              <w:t xml:space="preserve">MOBILE </w:t>
            </w:r>
            <w:r>
              <w:rPr>
                <w:rFonts w:ascii="Arial" w:hAnsi="Arial" w:cs="Arial"/>
                <w:sz w:val="16"/>
                <w:szCs w:val="16"/>
                <w:lang w:val="en-GB"/>
              </w:rPr>
              <w:br/>
              <w:t>(5.384A, NJE)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322905A"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008B48C" w14:textId="578ADD9D" w:rsidR="00AC75B1" w:rsidRPr="006D1BB5" w:rsidRDefault="00D97073" w:rsidP="00D65314">
            <w:pPr>
              <w:spacing w:after="0" w:line="240" w:lineRule="auto"/>
              <w:jc w:val="center"/>
              <w:rPr>
                <w:rFonts w:ascii="Arial" w:hAnsi="Arial" w:cs="Arial"/>
                <w:sz w:val="16"/>
                <w:szCs w:val="16"/>
              </w:rPr>
            </w:pPr>
            <w:r>
              <w:rPr>
                <w:rFonts w:ascii="Arial" w:hAnsi="Arial" w:cs="Arial"/>
                <w:sz w:val="16"/>
                <w:szCs w:val="16"/>
                <w:lang w:val="en-GB"/>
              </w:rPr>
              <w:t>Designated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29032F42"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lang w:val="en-GB"/>
              </w:rPr>
              <w:t>Military telemetry and telecommand systems</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A38CCFE"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lang w:val="en-GB"/>
              </w:rPr>
              <w:t>ERC/REC 62-02</w:t>
            </w:r>
          </w:p>
        </w:tc>
      </w:tr>
      <w:tr w:rsidR="00AC75B1" w:rsidRPr="00D86540" w14:paraId="2574549F"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2782B5A0" w14:textId="77777777" w:rsidR="00AC75B1" w:rsidRPr="006D1BB5" w:rsidRDefault="00AC75B1" w:rsidP="00C83679">
            <w:pPr>
              <w:spacing w:after="0" w:line="240" w:lineRule="auto"/>
              <w:jc w:val="center"/>
              <w:rPr>
                <w:rFonts w:ascii="Arial" w:hAnsi="Arial" w:cs="Arial"/>
                <w:sz w:val="16"/>
                <w:szCs w:val="16"/>
              </w:rPr>
            </w:pPr>
            <w:r>
              <w:rPr>
                <w:rFonts w:ascii="Arial" w:hAnsi="Arial" w:cs="Arial"/>
                <w:sz w:val="16"/>
                <w:szCs w:val="16"/>
                <w:lang w:val="en-GB"/>
              </w:rPr>
              <w:t xml:space="preserve">MOBILE </w:t>
            </w:r>
            <w:r>
              <w:rPr>
                <w:rFonts w:ascii="Arial" w:hAnsi="Arial" w:cs="Arial"/>
                <w:sz w:val="16"/>
                <w:szCs w:val="16"/>
                <w:lang w:val="en-GB"/>
              </w:rPr>
              <w:br/>
              <w:t>(5.384A, NJE)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C7E7D49"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lang w:val="en-GB"/>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B994244" w14:textId="30A1C358" w:rsidR="00AC75B1" w:rsidRPr="006D1BB5" w:rsidRDefault="00D97073" w:rsidP="00D65314">
            <w:pPr>
              <w:spacing w:after="0" w:line="240" w:lineRule="auto"/>
              <w:jc w:val="center"/>
              <w:rPr>
                <w:rFonts w:ascii="Arial" w:hAnsi="Arial" w:cs="Arial"/>
                <w:sz w:val="16"/>
                <w:szCs w:val="16"/>
              </w:rPr>
            </w:pPr>
            <w:r>
              <w:rPr>
                <w:rFonts w:ascii="Arial" w:hAnsi="Arial" w:cs="Arial"/>
                <w:sz w:val="16"/>
                <w:szCs w:val="16"/>
                <w:lang w:val="en-GB"/>
              </w:rPr>
              <w:t>Designated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4190285C"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lang w:val="en-GB"/>
              </w:rPr>
              <w:t>Military mobile systems</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52691C6D" w14:textId="77777777" w:rsidR="00AC75B1" w:rsidRPr="006D1BB5" w:rsidRDefault="00AC75B1" w:rsidP="00D65314">
            <w:pPr>
              <w:spacing w:after="0" w:line="240" w:lineRule="auto"/>
              <w:jc w:val="center"/>
              <w:rPr>
                <w:rFonts w:ascii="Arial" w:hAnsi="Arial" w:cs="Arial"/>
                <w:sz w:val="16"/>
                <w:szCs w:val="16"/>
              </w:rPr>
            </w:pPr>
          </w:p>
        </w:tc>
      </w:tr>
      <w:tr w:rsidR="00C61E39" w:rsidRPr="00D86540" w14:paraId="65E34888"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F1520"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A63C2" w14:textId="77777777" w:rsidR="00C61E39" w:rsidRPr="006D1BB5" w:rsidRDefault="00C61E39" w:rsidP="00D65314">
            <w:pPr>
              <w:spacing w:after="0" w:line="240" w:lineRule="auto"/>
              <w:jc w:val="center"/>
              <w:rPr>
                <w:rFonts w:ascii="Arial" w:hAnsi="Arial" w:cs="Arial"/>
                <w:sz w:val="16"/>
                <w:szCs w:val="16"/>
              </w:rPr>
            </w:pPr>
            <w:r>
              <w:rPr>
                <w:rFonts w:ascii="Arial" w:hAnsi="Arial" w:cs="Arial"/>
                <w:sz w:val="16"/>
                <w:szCs w:val="16"/>
                <w:lang w:val="en-GB"/>
              </w:rPr>
              <w:t>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2027C" w14:textId="22849D6F" w:rsidR="00C61E39" w:rsidRPr="006D1BB5" w:rsidRDefault="00D97073" w:rsidP="00D65314">
            <w:pPr>
              <w:spacing w:after="0" w:line="240" w:lineRule="auto"/>
              <w:jc w:val="center"/>
              <w:rPr>
                <w:rFonts w:ascii="Arial" w:hAnsi="Arial" w:cs="Arial"/>
                <w:sz w:val="16"/>
                <w:szCs w:val="16"/>
              </w:rPr>
            </w:pPr>
            <w:r>
              <w:rPr>
                <w:rFonts w:ascii="Arial" w:hAnsi="Arial" w:cs="Arial"/>
                <w:sz w:val="16"/>
                <w:szCs w:val="16"/>
                <w:lang w:val="en-GB"/>
              </w:rPr>
              <w:t>Designated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6364C" w14:textId="41664020" w:rsidR="00C61E39" w:rsidRPr="006D1BB5" w:rsidRDefault="00C61E39" w:rsidP="00361DDB">
            <w:pPr>
              <w:spacing w:after="0" w:line="240" w:lineRule="auto"/>
              <w:jc w:val="center"/>
              <w:rPr>
                <w:rFonts w:ascii="Arial" w:hAnsi="Arial" w:cs="Arial"/>
                <w:sz w:val="16"/>
                <w:szCs w:val="16"/>
              </w:rPr>
            </w:pPr>
            <w:r>
              <w:rPr>
                <w:rFonts w:ascii="Arial" w:hAnsi="Arial" w:cs="Arial"/>
                <w:sz w:val="16"/>
                <w:szCs w:val="16"/>
                <w:lang w:val="en-GB"/>
              </w:rPr>
              <w:t>Low power wireless broadband data transmission</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DE6FD" w14:textId="77777777" w:rsidR="00C61E39" w:rsidRPr="006D1BB5" w:rsidRDefault="00C61E39" w:rsidP="00891BED">
            <w:pPr>
              <w:keepNext/>
              <w:spacing w:after="0" w:line="240" w:lineRule="auto"/>
              <w:jc w:val="center"/>
              <w:rPr>
                <w:rFonts w:ascii="Arial" w:hAnsi="Arial" w:cs="Arial"/>
                <w:sz w:val="16"/>
                <w:szCs w:val="16"/>
              </w:rPr>
            </w:pPr>
          </w:p>
        </w:tc>
      </w:tr>
    </w:tbl>
    <w:p w14:paraId="5B627454" w14:textId="77777777" w:rsidR="00891BED" w:rsidRDefault="00891BED" w:rsidP="00891BED">
      <w:pPr>
        <w:pStyle w:val="Kpalrs"/>
        <w:jc w:val="center"/>
      </w:pPr>
      <w:r>
        <w:rPr>
          <w:lang w:val="en-GB"/>
        </w:rPr>
        <w:t>Table 3.2.1.c</w:t>
      </w:r>
    </w:p>
    <w:p w14:paraId="6B159C12" w14:textId="77777777" w:rsidR="002745C4" w:rsidRPr="00CB7D6D" w:rsidRDefault="001B78F5" w:rsidP="00D04CAD">
      <w:pPr>
        <w:pStyle w:val="Behzottbekezdsnmhh"/>
        <w:spacing w:before="240" w:after="0"/>
        <w:ind w:firstLine="0"/>
      </w:pPr>
      <w:r>
        <w:rPr>
          <w:lang w:val="en-GB"/>
        </w:rPr>
        <w:t>Additional rules for the “Low power wireless broadband data transmission” application:</w:t>
      </w:r>
    </w:p>
    <w:p w14:paraId="37114B69" w14:textId="2F2122A7" w:rsidR="001B78F5" w:rsidRPr="001B78F5" w:rsidRDefault="00A65C13" w:rsidP="00D04CAD">
      <w:pPr>
        <w:pStyle w:val="Behzottbekezdsnmhh"/>
        <w:spacing w:after="0"/>
        <w:ind w:firstLine="0"/>
      </w:pPr>
      <w:r>
        <w:rPr>
          <w:lang w:val="en-GB"/>
        </w:rPr>
        <w:t xml:space="preserve">- Power: max. 100 </w:t>
      </w:r>
      <w:r w:rsidR="00D97073">
        <w:rPr>
          <w:lang w:val="en-GB"/>
        </w:rPr>
        <w:t xml:space="preserve">mW </w:t>
      </w:r>
      <w:r>
        <w:rPr>
          <w:lang w:val="en-GB"/>
        </w:rPr>
        <w:t>EIRP</w:t>
      </w:r>
    </w:p>
    <w:p w14:paraId="2D86D223" w14:textId="77777777" w:rsidR="001B78F5" w:rsidRPr="001B78F5" w:rsidRDefault="00A65C13" w:rsidP="00D04CAD">
      <w:pPr>
        <w:pStyle w:val="Behzottbekezdsnmhh"/>
        <w:spacing w:after="0"/>
        <w:ind w:firstLine="0"/>
      </w:pPr>
      <w:r>
        <w:rPr>
          <w:lang w:val="en-GB"/>
        </w:rPr>
        <w:t>- Duty cycle: ≤ 100%</w:t>
      </w:r>
    </w:p>
    <w:p w14:paraId="28385E23" w14:textId="77777777" w:rsidR="001848E4" w:rsidRDefault="0051050A" w:rsidP="00D04CAD">
      <w:pPr>
        <w:pStyle w:val="Cmsor3szmozottnmhh"/>
        <w:spacing w:before="360"/>
      </w:pPr>
      <w:bookmarkStart w:id="11" w:name="_Toc98846427"/>
      <w:r>
        <w:rPr>
          <w:bCs/>
          <w:lang w:val="en-GB"/>
        </w:rPr>
        <w:t>Conditions of use of non-civil terrestrial electronic communications networks in the 2370-2400 MHz frequency band</w:t>
      </w:r>
      <w:bookmarkEnd w:id="11"/>
      <w:r>
        <w:rPr>
          <w:bCs/>
          <w:lang w:val="en-GB"/>
        </w:rPr>
        <w:t xml:space="preserve"> </w:t>
      </w:r>
    </w:p>
    <w:p w14:paraId="15801AE4" w14:textId="3228D4CE" w:rsidR="008F396A" w:rsidRPr="0011720D" w:rsidRDefault="008F396A" w:rsidP="0011720D">
      <w:pPr>
        <w:pStyle w:val="Behzottbekezdsnmhh"/>
        <w:ind w:firstLine="567"/>
      </w:pPr>
      <w:r>
        <w:rPr>
          <w:lang w:val="en-GB"/>
        </w:rPr>
        <w:t xml:space="preserve">The detailed rules are included in Annex 3 of the NFFF Decree. Accordingly, the 2370-2400 MHz band is </w:t>
      </w:r>
      <w:r w:rsidR="00D97073">
        <w:rPr>
          <w:lang w:val="en-GB"/>
        </w:rPr>
        <w:t xml:space="preserve">designated </w:t>
      </w:r>
      <w:r>
        <w:rPr>
          <w:lang w:val="en-GB"/>
        </w:rPr>
        <w:t>to electronic communications networks with TDD mode.</w:t>
      </w:r>
    </w:p>
    <w:p w14:paraId="6E945CD0" w14:textId="77777777" w:rsidR="003E7D2F" w:rsidRPr="0011720D" w:rsidRDefault="003E7D2F" w:rsidP="0011720D">
      <w:pPr>
        <w:pStyle w:val="Behzottbekezdsnmhh"/>
        <w:ind w:firstLine="567"/>
      </w:pPr>
      <w:r>
        <w:rPr>
          <w:lang w:val="en-GB"/>
        </w:rPr>
        <w:t>The subdivision of the band into TDD basic blocks is included in Table 3.2.2:</w:t>
      </w:r>
    </w:p>
    <w:tbl>
      <w:tblPr>
        <w:tblW w:w="1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0"/>
        <w:gridCol w:w="1670"/>
      </w:tblGrid>
      <w:tr w:rsidR="00CB7D6D" w14:paraId="5CE4EEDB" w14:textId="77777777" w:rsidTr="00CB7D6D">
        <w:trPr>
          <w:jc w:val="center"/>
        </w:trPr>
        <w:tc>
          <w:tcPr>
            <w:tcW w:w="1666" w:type="dxa"/>
            <w:tcMar>
              <w:top w:w="0" w:type="dxa"/>
              <w:left w:w="30" w:type="dxa"/>
              <w:bottom w:w="0" w:type="dxa"/>
              <w:right w:w="30" w:type="dxa"/>
            </w:tcMar>
            <w:vAlign w:val="center"/>
            <w:hideMark/>
          </w:tcPr>
          <w:p w14:paraId="4CB99C69"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lang w:val="en-GB"/>
              </w:rPr>
              <w:t>Basic block</w:t>
            </w:r>
          </w:p>
        </w:tc>
        <w:tc>
          <w:tcPr>
            <w:tcW w:w="1666" w:type="dxa"/>
            <w:tcMar>
              <w:top w:w="0" w:type="dxa"/>
              <w:left w:w="30" w:type="dxa"/>
              <w:bottom w:w="0" w:type="dxa"/>
              <w:right w:w="30" w:type="dxa"/>
            </w:tcMar>
            <w:vAlign w:val="center"/>
            <w:hideMark/>
          </w:tcPr>
          <w:p w14:paraId="07B243EF"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lang w:val="en-GB"/>
              </w:rPr>
              <w:t>Block band [MHz]</w:t>
            </w:r>
          </w:p>
        </w:tc>
      </w:tr>
      <w:tr w:rsidR="00CB7D6D" w14:paraId="2B3E7107" w14:textId="77777777" w:rsidTr="00CB7D6D">
        <w:trPr>
          <w:jc w:val="center"/>
        </w:trPr>
        <w:tc>
          <w:tcPr>
            <w:tcW w:w="1666" w:type="dxa"/>
            <w:tcMar>
              <w:top w:w="0" w:type="dxa"/>
              <w:left w:w="30" w:type="dxa"/>
              <w:bottom w:w="0" w:type="dxa"/>
              <w:right w:w="30" w:type="dxa"/>
            </w:tcMar>
            <w:vAlign w:val="center"/>
            <w:hideMark/>
          </w:tcPr>
          <w:p w14:paraId="55AC28E4"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1</w:t>
            </w:r>
          </w:p>
        </w:tc>
        <w:tc>
          <w:tcPr>
            <w:tcW w:w="1666" w:type="dxa"/>
            <w:tcMar>
              <w:top w:w="0" w:type="dxa"/>
              <w:left w:w="30" w:type="dxa"/>
              <w:bottom w:w="0" w:type="dxa"/>
              <w:right w:w="30" w:type="dxa"/>
            </w:tcMar>
            <w:vAlign w:val="center"/>
            <w:hideMark/>
          </w:tcPr>
          <w:p w14:paraId="48A98ACB"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2370–2375</w:t>
            </w:r>
          </w:p>
        </w:tc>
      </w:tr>
      <w:tr w:rsidR="00CB7D6D" w14:paraId="7783EB13" w14:textId="77777777" w:rsidTr="00CB7D6D">
        <w:trPr>
          <w:jc w:val="center"/>
        </w:trPr>
        <w:tc>
          <w:tcPr>
            <w:tcW w:w="1666" w:type="dxa"/>
            <w:tcMar>
              <w:top w:w="0" w:type="dxa"/>
              <w:left w:w="30" w:type="dxa"/>
              <w:bottom w:w="0" w:type="dxa"/>
              <w:right w:w="30" w:type="dxa"/>
            </w:tcMar>
            <w:vAlign w:val="center"/>
            <w:hideMark/>
          </w:tcPr>
          <w:p w14:paraId="1582E6DF"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w:t>
            </w:r>
          </w:p>
        </w:tc>
        <w:tc>
          <w:tcPr>
            <w:tcW w:w="1666" w:type="dxa"/>
            <w:tcMar>
              <w:top w:w="0" w:type="dxa"/>
              <w:left w:w="30" w:type="dxa"/>
              <w:bottom w:w="0" w:type="dxa"/>
              <w:right w:w="30" w:type="dxa"/>
            </w:tcMar>
            <w:vAlign w:val="center"/>
            <w:hideMark/>
          </w:tcPr>
          <w:p w14:paraId="59DFBDDF"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2375–2380</w:t>
            </w:r>
          </w:p>
        </w:tc>
      </w:tr>
      <w:tr w:rsidR="00CB7D6D" w14:paraId="063C793B" w14:textId="77777777" w:rsidTr="00CB7D6D">
        <w:trPr>
          <w:jc w:val="center"/>
        </w:trPr>
        <w:tc>
          <w:tcPr>
            <w:tcW w:w="1666" w:type="dxa"/>
            <w:tcMar>
              <w:top w:w="0" w:type="dxa"/>
              <w:left w:w="30" w:type="dxa"/>
              <w:bottom w:w="0" w:type="dxa"/>
              <w:right w:w="30" w:type="dxa"/>
            </w:tcMar>
            <w:vAlign w:val="center"/>
            <w:hideMark/>
          </w:tcPr>
          <w:p w14:paraId="1ADE3AA8"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3</w:t>
            </w:r>
          </w:p>
        </w:tc>
        <w:tc>
          <w:tcPr>
            <w:tcW w:w="1666" w:type="dxa"/>
            <w:tcMar>
              <w:top w:w="0" w:type="dxa"/>
              <w:left w:w="30" w:type="dxa"/>
              <w:bottom w:w="0" w:type="dxa"/>
              <w:right w:w="30" w:type="dxa"/>
            </w:tcMar>
            <w:vAlign w:val="center"/>
            <w:hideMark/>
          </w:tcPr>
          <w:p w14:paraId="5A7CF128"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2380–2385</w:t>
            </w:r>
          </w:p>
        </w:tc>
      </w:tr>
      <w:tr w:rsidR="00CB7D6D" w14:paraId="0FD97431" w14:textId="77777777" w:rsidTr="00CB7D6D">
        <w:trPr>
          <w:jc w:val="center"/>
        </w:trPr>
        <w:tc>
          <w:tcPr>
            <w:tcW w:w="1666" w:type="dxa"/>
            <w:tcMar>
              <w:top w:w="0" w:type="dxa"/>
              <w:left w:w="30" w:type="dxa"/>
              <w:bottom w:w="0" w:type="dxa"/>
              <w:right w:w="30" w:type="dxa"/>
            </w:tcMar>
            <w:vAlign w:val="center"/>
            <w:hideMark/>
          </w:tcPr>
          <w:p w14:paraId="59037CE9"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4</w:t>
            </w:r>
          </w:p>
        </w:tc>
        <w:tc>
          <w:tcPr>
            <w:tcW w:w="1666" w:type="dxa"/>
            <w:tcMar>
              <w:top w:w="0" w:type="dxa"/>
              <w:left w:w="30" w:type="dxa"/>
              <w:bottom w:w="0" w:type="dxa"/>
              <w:right w:w="30" w:type="dxa"/>
            </w:tcMar>
            <w:vAlign w:val="center"/>
            <w:hideMark/>
          </w:tcPr>
          <w:p w14:paraId="75DBE47D"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2385–2390</w:t>
            </w:r>
          </w:p>
        </w:tc>
      </w:tr>
      <w:tr w:rsidR="00CB7D6D" w14:paraId="0F327159" w14:textId="77777777" w:rsidTr="00CB7D6D">
        <w:trPr>
          <w:jc w:val="center"/>
        </w:trPr>
        <w:tc>
          <w:tcPr>
            <w:tcW w:w="1666" w:type="dxa"/>
            <w:tcMar>
              <w:top w:w="0" w:type="dxa"/>
              <w:left w:w="30" w:type="dxa"/>
              <w:bottom w:w="0" w:type="dxa"/>
              <w:right w:w="30" w:type="dxa"/>
            </w:tcMar>
            <w:vAlign w:val="center"/>
            <w:hideMark/>
          </w:tcPr>
          <w:p w14:paraId="244B3B1E"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5</w:t>
            </w:r>
          </w:p>
        </w:tc>
        <w:tc>
          <w:tcPr>
            <w:tcW w:w="1666" w:type="dxa"/>
            <w:tcMar>
              <w:top w:w="0" w:type="dxa"/>
              <w:left w:w="30" w:type="dxa"/>
              <w:bottom w:w="0" w:type="dxa"/>
              <w:right w:w="30" w:type="dxa"/>
            </w:tcMar>
            <w:vAlign w:val="center"/>
            <w:hideMark/>
          </w:tcPr>
          <w:p w14:paraId="7527B407"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2390–2395</w:t>
            </w:r>
          </w:p>
        </w:tc>
      </w:tr>
      <w:tr w:rsidR="00CB7D6D" w14:paraId="745492D7" w14:textId="77777777" w:rsidTr="00CB7D6D">
        <w:trPr>
          <w:jc w:val="center"/>
        </w:trPr>
        <w:tc>
          <w:tcPr>
            <w:tcW w:w="1666" w:type="dxa"/>
            <w:tcMar>
              <w:top w:w="0" w:type="dxa"/>
              <w:left w:w="30" w:type="dxa"/>
              <w:bottom w:w="0" w:type="dxa"/>
              <w:right w:w="30" w:type="dxa"/>
            </w:tcMar>
            <w:vAlign w:val="center"/>
            <w:hideMark/>
          </w:tcPr>
          <w:p w14:paraId="1D33201A" w14:textId="77777777" w:rsidR="00CB7D6D" w:rsidRDefault="00CB7D6D" w:rsidP="00E11A39">
            <w:pPr>
              <w:pStyle w:val="NormlWeb"/>
              <w:jc w:val="center"/>
              <w:rPr>
                <w:rFonts w:ascii="Arial" w:hAnsi="Arial" w:cs="Arial"/>
                <w:sz w:val="18"/>
                <w:szCs w:val="18"/>
              </w:rPr>
            </w:pPr>
            <w:r>
              <w:rPr>
                <w:rFonts w:ascii="Arial" w:hAnsi="Arial" w:cs="Arial"/>
                <w:sz w:val="18"/>
                <w:szCs w:val="18"/>
                <w:lang w:val="en-GB"/>
              </w:rPr>
              <w:t>6</w:t>
            </w:r>
          </w:p>
        </w:tc>
        <w:tc>
          <w:tcPr>
            <w:tcW w:w="1666" w:type="dxa"/>
            <w:tcMar>
              <w:top w:w="0" w:type="dxa"/>
              <w:left w:w="30" w:type="dxa"/>
              <w:bottom w:w="0" w:type="dxa"/>
              <w:right w:w="30" w:type="dxa"/>
            </w:tcMar>
            <w:vAlign w:val="center"/>
            <w:hideMark/>
          </w:tcPr>
          <w:p w14:paraId="4D6344D6" w14:textId="77777777" w:rsidR="00CB7D6D" w:rsidRDefault="00CB7D6D" w:rsidP="0011720D">
            <w:pPr>
              <w:pStyle w:val="NormlWeb"/>
              <w:keepNext/>
              <w:jc w:val="center"/>
              <w:rPr>
                <w:rFonts w:ascii="Arial" w:hAnsi="Arial" w:cs="Arial"/>
                <w:sz w:val="18"/>
                <w:szCs w:val="18"/>
              </w:rPr>
            </w:pPr>
            <w:r>
              <w:rPr>
                <w:rFonts w:ascii="Arial" w:hAnsi="Arial" w:cs="Arial"/>
                <w:sz w:val="18"/>
                <w:szCs w:val="18"/>
                <w:lang w:val="en-GB"/>
              </w:rPr>
              <w:t>2395–2400</w:t>
            </w:r>
          </w:p>
        </w:tc>
      </w:tr>
    </w:tbl>
    <w:p w14:paraId="6B923EC9" w14:textId="77777777" w:rsidR="0011720D" w:rsidRDefault="0011720D" w:rsidP="0011720D">
      <w:pPr>
        <w:pStyle w:val="Kpalrs"/>
        <w:jc w:val="center"/>
      </w:pPr>
      <w:r>
        <w:rPr>
          <w:lang w:val="en-GB"/>
        </w:rPr>
        <w:t>Table 3.2.2</w:t>
      </w:r>
    </w:p>
    <w:p w14:paraId="647F8873" w14:textId="2BCFFD2C" w:rsidR="003E7D2F" w:rsidRDefault="000F43AF" w:rsidP="0011720D">
      <w:pPr>
        <w:pStyle w:val="Behzottbekezdsnmhh"/>
        <w:ind w:firstLine="567"/>
      </w:pPr>
      <w:r>
        <w:rPr>
          <w:lang w:val="en-GB"/>
        </w:rPr>
        <w:t xml:space="preserve">Conditions for obtaining </w:t>
      </w:r>
      <w:r w:rsidR="00474CE2">
        <w:rPr>
          <w:lang w:val="en-GB"/>
        </w:rPr>
        <w:t>entitlement to and right of r</w:t>
      </w:r>
      <w:r w:rsidR="003E7D2F">
        <w:rPr>
          <w:lang w:val="en-GB"/>
        </w:rPr>
        <w:t>adio spectrum us</w:t>
      </w:r>
      <w:r w:rsidR="00474CE2">
        <w:rPr>
          <w:lang w:val="en-GB"/>
        </w:rPr>
        <w:t>e</w:t>
      </w:r>
      <w:r w:rsidR="003E7D2F">
        <w:rPr>
          <w:lang w:val="en-GB"/>
        </w:rPr>
        <w:t>, and that of band use are outlined in Table 3.2.2 b:</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4"/>
        <w:gridCol w:w="6236"/>
      </w:tblGrid>
      <w:tr w:rsidR="00CB7D6D" w:rsidRPr="000641A7" w14:paraId="5B8919BE" w14:textId="77777777" w:rsidTr="00FA60A1">
        <w:tc>
          <w:tcPr>
            <w:tcW w:w="2674" w:type="dxa"/>
            <w:tcMar>
              <w:top w:w="0" w:type="dxa"/>
              <w:left w:w="30" w:type="dxa"/>
              <w:bottom w:w="0" w:type="dxa"/>
              <w:right w:w="30" w:type="dxa"/>
            </w:tcMar>
            <w:vAlign w:val="center"/>
            <w:hideMark/>
          </w:tcPr>
          <w:p w14:paraId="0BA27F1E" w14:textId="77777777" w:rsidR="00CB7D6D" w:rsidRPr="000641A7" w:rsidRDefault="00CB7D6D" w:rsidP="00E11A39">
            <w:pPr>
              <w:pStyle w:val="NormlWeb"/>
              <w:jc w:val="center"/>
              <w:rPr>
                <w:rFonts w:asciiTheme="minorHAnsi" w:hAnsiTheme="minorHAnsi" w:cstheme="minorHAnsi"/>
                <w:sz w:val="18"/>
                <w:szCs w:val="18"/>
              </w:rPr>
            </w:pPr>
            <w:r>
              <w:rPr>
                <w:rStyle w:val="Kiemels2"/>
                <w:rFonts w:asciiTheme="minorHAnsi" w:hAnsiTheme="minorHAnsi" w:cstheme="minorHAnsi"/>
                <w:sz w:val="18"/>
                <w:szCs w:val="18"/>
                <w:lang w:val="en-GB"/>
              </w:rPr>
              <w:t>Subject of condition:</w:t>
            </w:r>
          </w:p>
        </w:tc>
        <w:tc>
          <w:tcPr>
            <w:tcW w:w="6236" w:type="dxa"/>
            <w:tcMar>
              <w:top w:w="0" w:type="dxa"/>
              <w:left w:w="30" w:type="dxa"/>
              <w:bottom w:w="0" w:type="dxa"/>
              <w:right w:w="30" w:type="dxa"/>
            </w:tcMar>
            <w:vAlign w:val="center"/>
            <w:hideMark/>
          </w:tcPr>
          <w:p w14:paraId="73F3657B" w14:textId="77777777" w:rsidR="00CB7D6D" w:rsidRPr="000641A7" w:rsidRDefault="00CB7D6D" w:rsidP="00E11A39">
            <w:pPr>
              <w:pStyle w:val="NormlWeb"/>
              <w:jc w:val="center"/>
              <w:rPr>
                <w:rFonts w:asciiTheme="minorHAnsi" w:hAnsiTheme="minorHAnsi" w:cstheme="minorHAnsi"/>
                <w:sz w:val="18"/>
                <w:szCs w:val="18"/>
              </w:rPr>
            </w:pPr>
            <w:r>
              <w:rPr>
                <w:rStyle w:val="Kiemels2"/>
                <w:rFonts w:asciiTheme="minorHAnsi" w:hAnsiTheme="minorHAnsi" w:cstheme="minorHAnsi"/>
                <w:sz w:val="18"/>
                <w:szCs w:val="18"/>
                <w:lang w:val="en-GB"/>
              </w:rPr>
              <w:t>Requirement</w:t>
            </w:r>
          </w:p>
        </w:tc>
      </w:tr>
      <w:tr w:rsidR="00CB7D6D" w:rsidRPr="000641A7" w14:paraId="0CB1EC4D" w14:textId="77777777" w:rsidTr="00FA60A1">
        <w:tc>
          <w:tcPr>
            <w:tcW w:w="2674" w:type="dxa"/>
            <w:tcMar>
              <w:top w:w="0" w:type="dxa"/>
              <w:left w:w="30" w:type="dxa"/>
              <w:bottom w:w="0" w:type="dxa"/>
              <w:right w:w="30" w:type="dxa"/>
            </w:tcMar>
            <w:vAlign w:val="center"/>
            <w:hideMark/>
          </w:tcPr>
          <w:p w14:paraId="35AD63D1"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Purpose of use</w:t>
            </w:r>
          </w:p>
        </w:tc>
        <w:tc>
          <w:tcPr>
            <w:tcW w:w="6236" w:type="dxa"/>
            <w:tcMar>
              <w:top w:w="0" w:type="dxa"/>
              <w:left w:w="30" w:type="dxa"/>
              <w:bottom w:w="0" w:type="dxa"/>
              <w:right w:w="30" w:type="dxa"/>
            </w:tcMar>
            <w:vAlign w:val="center"/>
            <w:hideMark/>
          </w:tcPr>
          <w:p w14:paraId="57DB21F1" w14:textId="02D0C827" w:rsidR="00CB7D6D" w:rsidRPr="000641A7" w:rsidRDefault="00B605DC" w:rsidP="00E11A39">
            <w:pPr>
              <w:pStyle w:val="NormlWeb"/>
              <w:rPr>
                <w:rFonts w:asciiTheme="minorHAnsi" w:hAnsiTheme="minorHAnsi" w:cstheme="minorHAnsi"/>
                <w:sz w:val="18"/>
                <w:szCs w:val="18"/>
              </w:rPr>
            </w:pPr>
            <w:r>
              <w:rPr>
                <w:rFonts w:asciiTheme="minorHAnsi" w:hAnsiTheme="minorHAnsi" w:cstheme="minorHAnsi"/>
                <w:sz w:val="18"/>
                <w:szCs w:val="18"/>
                <w:lang w:val="en-GB"/>
              </w:rPr>
              <w:t xml:space="preserve">audio </w:t>
            </w:r>
            <w:r w:rsidR="00CB7D6D">
              <w:rPr>
                <w:rFonts w:asciiTheme="minorHAnsi" w:hAnsiTheme="minorHAnsi" w:cstheme="minorHAnsi"/>
                <w:sz w:val="18"/>
                <w:szCs w:val="18"/>
                <w:lang w:val="en-GB"/>
              </w:rPr>
              <w:t>and data transmission</w:t>
            </w:r>
          </w:p>
        </w:tc>
      </w:tr>
      <w:tr w:rsidR="00CB7D6D" w:rsidRPr="000641A7" w14:paraId="56CF4BA7" w14:textId="77777777" w:rsidTr="00FA60A1">
        <w:tc>
          <w:tcPr>
            <w:tcW w:w="2674" w:type="dxa"/>
            <w:tcMar>
              <w:top w:w="0" w:type="dxa"/>
              <w:left w:w="30" w:type="dxa"/>
              <w:bottom w:w="0" w:type="dxa"/>
              <w:right w:w="30" w:type="dxa"/>
            </w:tcMar>
            <w:vAlign w:val="center"/>
            <w:hideMark/>
          </w:tcPr>
          <w:p w14:paraId="20C2FFF8"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Available systems</w:t>
            </w:r>
          </w:p>
        </w:tc>
        <w:tc>
          <w:tcPr>
            <w:tcW w:w="6236" w:type="dxa"/>
            <w:tcMar>
              <w:top w:w="0" w:type="dxa"/>
              <w:left w:w="30" w:type="dxa"/>
              <w:bottom w:w="0" w:type="dxa"/>
              <w:right w:w="30" w:type="dxa"/>
            </w:tcMar>
            <w:vAlign w:val="center"/>
            <w:hideMark/>
          </w:tcPr>
          <w:p w14:paraId="73E29732"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BWA, WiMAX, WiBro, LTE</w:t>
            </w:r>
          </w:p>
        </w:tc>
      </w:tr>
      <w:tr w:rsidR="00CB7D6D" w:rsidRPr="000641A7" w14:paraId="3AF81555" w14:textId="77777777" w:rsidTr="00FA60A1">
        <w:tc>
          <w:tcPr>
            <w:tcW w:w="2674" w:type="dxa"/>
            <w:tcMar>
              <w:top w:w="0" w:type="dxa"/>
              <w:left w:w="30" w:type="dxa"/>
              <w:bottom w:w="0" w:type="dxa"/>
              <w:right w:w="30" w:type="dxa"/>
            </w:tcMar>
            <w:vAlign w:val="center"/>
            <w:hideMark/>
          </w:tcPr>
          <w:p w14:paraId="6996347C" w14:textId="2668BFE7" w:rsidR="00CB7D6D" w:rsidRPr="000641A7" w:rsidRDefault="00FA60A1" w:rsidP="007C7952">
            <w:pPr>
              <w:pStyle w:val="NormlWeb"/>
              <w:rPr>
                <w:rFonts w:asciiTheme="minorHAnsi" w:hAnsiTheme="minorHAnsi" w:cstheme="minorHAnsi"/>
                <w:sz w:val="18"/>
                <w:szCs w:val="18"/>
              </w:rPr>
            </w:pPr>
            <w:r>
              <w:rPr>
                <w:rFonts w:asciiTheme="minorHAnsi" w:hAnsiTheme="minorHAnsi" w:cstheme="minorHAnsi"/>
                <w:sz w:val="18"/>
                <w:szCs w:val="18"/>
                <w:lang w:val="en-GB"/>
              </w:rPr>
              <w:t xml:space="preserve">Territorial </w:t>
            </w:r>
            <w:r w:rsidR="007C7952" w:rsidRPr="007C7952">
              <w:rPr>
                <w:rFonts w:asciiTheme="minorHAnsi" w:hAnsiTheme="minorHAnsi" w:cstheme="minorHAnsi"/>
                <w:sz w:val="18"/>
                <w:szCs w:val="18"/>
                <w:lang w:val="en-GB"/>
              </w:rPr>
              <w:t xml:space="preserve">coverage </w:t>
            </w:r>
            <w:r>
              <w:rPr>
                <w:rFonts w:asciiTheme="minorHAnsi" w:hAnsiTheme="minorHAnsi" w:cstheme="minorHAnsi"/>
                <w:sz w:val="18"/>
                <w:szCs w:val="18"/>
                <w:lang w:val="en-GB"/>
              </w:rPr>
              <w:t>of entitlement to radio spectrum use</w:t>
            </w:r>
          </w:p>
        </w:tc>
        <w:tc>
          <w:tcPr>
            <w:tcW w:w="6236" w:type="dxa"/>
            <w:tcMar>
              <w:top w:w="0" w:type="dxa"/>
              <w:left w:w="30" w:type="dxa"/>
              <w:bottom w:w="0" w:type="dxa"/>
              <w:right w:w="30" w:type="dxa"/>
            </w:tcMar>
            <w:vAlign w:val="center"/>
            <w:hideMark/>
          </w:tcPr>
          <w:p w14:paraId="42686BB0" w14:textId="34A8C176" w:rsidR="00CB7D6D" w:rsidRPr="000641A7" w:rsidRDefault="00CB7D6D" w:rsidP="007C7952">
            <w:pPr>
              <w:pStyle w:val="NormlWeb"/>
              <w:keepNext/>
              <w:rPr>
                <w:rFonts w:asciiTheme="minorHAnsi" w:hAnsiTheme="minorHAnsi" w:cstheme="minorHAnsi"/>
                <w:sz w:val="18"/>
                <w:szCs w:val="18"/>
              </w:rPr>
            </w:pPr>
            <w:r>
              <w:rPr>
                <w:rFonts w:asciiTheme="minorHAnsi" w:hAnsiTheme="minorHAnsi" w:cstheme="minorHAnsi"/>
                <w:sz w:val="18"/>
                <w:szCs w:val="18"/>
                <w:lang w:val="en-GB"/>
              </w:rPr>
              <w:t>nation</w:t>
            </w:r>
            <w:r w:rsidR="007C7952">
              <w:rPr>
                <w:rFonts w:asciiTheme="minorHAnsi" w:hAnsiTheme="minorHAnsi" w:cstheme="minorHAnsi"/>
                <w:sz w:val="18"/>
                <w:szCs w:val="18"/>
                <w:lang w:val="en-GB"/>
              </w:rPr>
              <w:t>wide</w:t>
            </w:r>
          </w:p>
        </w:tc>
      </w:tr>
    </w:tbl>
    <w:p w14:paraId="5A5721EA" w14:textId="77777777" w:rsidR="0011720D" w:rsidRDefault="0011720D" w:rsidP="0011720D">
      <w:pPr>
        <w:pStyle w:val="Kpalrs"/>
        <w:jc w:val="center"/>
      </w:pPr>
      <w:r>
        <w:rPr>
          <w:lang w:val="en-GB"/>
        </w:rPr>
        <w:t>Table 3.2.2 b</w:t>
      </w:r>
    </w:p>
    <w:p w14:paraId="5BBCE526" w14:textId="77777777" w:rsidR="002A0FEA" w:rsidRDefault="002A0FEA">
      <w:pPr>
        <w:spacing w:after="200"/>
        <w:jc w:val="left"/>
        <w:rPr>
          <w:sz w:val="20"/>
          <w:szCs w:val="20"/>
        </w:rPr>
      </w:pPr>
      <w:r>
        <w:rPr>
          <w:lang w:val="en-GB"/>
        </w:rPr>
        <w:br w:type="page"/>
      </w:r>
    </w:p>
    <w:p w14:paraId="78AFC628" w14:textId="77777777" w:rsidR="003E7D2F" w:rsidRDefault="00FA60A1" w:rsidP="0011720D">
      <w:pPr>
        <w:pStyle w:val="Behzottbekezdsnmhh"/>
        <w:ind w:firstLine="567"/>
      </w:pPr>
      <w:r>
        <w:rPr>
          <w:lang w:val="en-GB"/>
        </w:rPr>
        <w:lastRenderedPageBreak/>
        <w:t xml:space="preserve">Radio spectrum management requirements are </w:t>
      </w:r>
      <w:r w:rsidR="000F6840">
        <w:rPr>
          <w:lang w:val="en-GB"/>
        </w:rPr>
        <w:t>contained</w:t>
      </w:r>
      <w:r>
        <w:rPr>
          <w:lang w:val="en-GB"/>
        </w:rPr>
        <w:t xml:space="preserve"> in Table 3.2.2 c:</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4"/>
        <w:gridCol w:w="6236"/>
      </w:tblGrid>
      <w:tr w:rsidR="00CB7D6D" w14:paraId="57DA7C72" w14:textId="77777777" w:rsidTr="00CB7D6D">
        <w:tc>
          <w:tcPr>
            <w:tcW w:w="2668" w:type="dxa"/>
            <w:tcMar>
              <w:top w:w="0" w:type="dxa"/>
              <w:left w:w="30" w:type="dxa"/>
              <w:bottom w:w="0" w:type="dxa"/>
              <w:right w:w="30" w:type="dxa"/>
            </w:tcMar>
            <w:vAlign w:val="center"/>
            <w:hideMark/>
          </w:tcPr>
          <w:p w14:paraId="0A51E731"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lang w:val="en-GB"/>
              </w:rPr>
              <w:t>Subject of requirement</w:t>
            </w:r>
          </w:p>
        </w:tc>
        <w:tc>
          <w:tcPr>
            <w:tcW w:w="6222" w:type="dxa"/>
            <w:tcMar>
              <w:top w:w="0" w:type="dxa"/>
              <w:left w:w="30" w:type="dxa"/>
              <w:bottom w:w="0" w:type="dxa"/>
              <w:right w:w="30" w:type="dxa"/>
            </w:tcMar>
            <w:vAlign w:val="center"/>
            <w:hideMark/>
          </w:tcPr>
          <w:p w14:paraId="031F039E"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lang w:val="en-GB"/>
              </w:rPr>
              <w:t>Requirement</w:t>
            </w:r>
          </w:p>
        </w:tc>
      </w:tr>
      <w:tr w:rsidR="00CB7D6D" w14:paraId="555A27B7" w14:textId="77777777" w:rsidTr="00CB7D6D">
        <w:tc>
          <w:tcPr>
            <w:tcW w:w="2668" w:type="dxa"/>
            <w:tcMar>
              <w:top w:w="0" w:type="dxa"/>
              <w:left w:w="30" w:type="dxa"/>
              <w:bottom w:w="0" w:type="dxa"/>
              <w:right w:w="30" w:type="dxa"/>
            </w:tcMar>
            <w:vAlign w:val="center"/>
            <w:hideMark/>
          </w:tcPr>
          <w:p w14:paraId="73E4F628" w14:textId="77777777" w:rsidR="00CB7D6D" w:rsidRDefault="00CB7D6D" w:rsidP="00E11A39">
            <w:pPr>
              <w:pStyle w:val="NormlWeb"/>
              <w:rPr>
                <w:rFonts w:ascii="Arial" w:hAnsi="Arial" w:cs="Arial"/>
                <w:sz w:val="18"/>
                <w:szCs w:val="18"/>
              </w:rPr>
            </w:pPr>
            <w:r>
              <w:rPr>
                <w:rFonts w:ascii="Arial" w:hAnsi="Arial" w:cs="Arial"/>
                <w:sz w:val="18"/>
                <w:szCs w:val="18"/>
                <w:lang w:val="en-GB"/>
              </w:rPr>
              <w:t>Duplex spacing</w:t>
            </w:r>
          </w:p>
        </w:tc>
        <w:tc>
          <w:tcPr>
            <w:tcW w:w="6222" w:type="dxa"/>
            <w:tcMar>
              <w:top w:w="0" w:type="dxa"/>
              <w:left w:w="30" w:type="dxa"/>
              <w:bottom w:w="0" w:type="dxa"/>
              <w:right w:w="30" w:type="dxa"/>
            </w:tcMar>
            <w:vAlign w:val="center"/>
            <w:hideMark/>
          </w:tcPr>
          <w:p w14:paraId="31C45E15"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w:t>
            </w:r>
          </w:p>
        </w:tc>
      </w:tr>
      <w:tr w:rsidR="00CB7D6D" w14:paraId="530F1D1A" w14:textId="77777777" w:rsidTr="00CB7D6D">
        <w:tc>
          <w:tcPr>
            <w:tcW w:w="2668" w:type="dxa"/>
            <w:vMerge w:val="restart"/>
            <w:hideMark/>
          </w:tcPr>
          <w:p w14:paraId="7EB27A62" w14:textId="77777777" w:rsidR="00CB7D6D" w:rsidRDefault="00CB7D6D" w:rsidP="00E11A39">
            <w:pPr>
              <w:pStyle w:val="NormlWeb"/>
              <w:rPr>
                <w:rFonts w:ascii="Arial" w:hAnsi="Arial" w:cs="Arial"/>
                <w:sz w:val="18"/>
                <w:szCs w:val="18"/>
              </w:rPr>
            </w:pPr>
            <w:r>
              <w:rPr>
                <w:rFonts w:ascii="Arial" w:hAnsi="Arial" w:cs="Arial"/>
                <w:sz w:val="18"/>
                <w:szCs w:val="18"/>
                <w:lang w:val="en-GB"/>
              </w:rPr>
              <w:t>Nominal channel spacing</w:t>
            </w:r>
          </w:p>
        </w:tc>
        <w:tc>
          <w:tcPr>
            <w:tcW w:w="6222" w:type="dxa"/>
            <w:tcMar>
              <w:top w:w="0" w:type="dxa"/>
              <w:left w:w="30" w:type="dxa"/>
              <w:bottom w:w="0" w:type="dxa"/>
              <w:right w:w="30" w:type="dxa"/>
            </w:tcMar>
            <w:vAlign w:val="center"/>
            <w:hideMark/>
          </w:tcPr>
          <w:p w14:paraId="200DF8D1"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WiMAX: 5 MHz</w:t>
            </w:r>
          </w:p>
        </w:tc>
      </w:tr>
      <w:tr w:rsidR="00CB7D6D" w14:paraId="472505CD" w14:textId="77777777" w:rsidTr="00CB7D6D">
        <w:tc>
          <w:tcPr>
            <w:tcW w:w="2668" w:type="dxa"/>
            <w:vMerge/>
            <w:vAlign w:val="center"/>
            <w:hideMark/>
          </w:tcPr>
          <w:p w14:paraId="05DC4A9C"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6F27062E" w14:textId="77777777" w:rsidR="00CB7D6D" w:rsidRPr="000641A7" w:rsidRDefault="00CB7D6D" w:rsidP="00E11A39">
            <w:pPr>
              <w:pStyle w:val="NormlWeb"/>
              <w:rPr>
                <w:rFonts w:asciiTheme="minorHAnsi" w:hAnsiTheme="minorHAnsi" w:cstheme="minorHAnsi"/>
                <w:sz w:val="18"/>
                <w:szCs w:val="18"/>
              </w:rPr>
            </w:pPr>
            <w:r w:rsidRPr="00117AD4">
              <w:rPr>
                <w:rFonts w:asciiTheme="minorHAnsi" w:hAnsiTheme="minorHAnsi" w:cstheme="minorHAnsi"/>
                <w:sz w:val="18"/>
                <w:szCs w:val="18"/>
                <w:lang w:val="de-DE"/>
              </w:rPr>
              <w:t>LTE: 5 MHz, 10 MHz, 15 MHz, 20 MHz</w:t>
            </w:r>
          </w:p>
        </w:tc>
      </w:tr>
      <w:tr w:rsidR="00CB7D6D" w14:paraId="7E6096D5" w14:textId="77777777" w:rsidTr="00CB7D6D">
        <w:tc>
          <w:tcPr>
            <w:tcW w:w="2668" w:type="dxa"/>
            <w:tcMar>
              <w:top w:w="0" w:type="dxa"/>
              <w:left w:w="30" w:type="dxa"/>
              <w:bottom w:w="0" w:type="dxa"/>
              <w:right w:w="30" w:type="dxa"/>
            </w:tcMar>
            <w:vAlign w:val="center"/>
            <w:hideMark/>
          </w:tcPr>
          <w:p w14:paraId="725C634F" w14:textId="77777777" w:rsidR="00CB7D6D" w:rsidRDefault="00CB7D6D" w:rsidP="00E11A39">
            <w:pPr>
              <w:pStyle w:val="NormlWeb"/>
              <w:rPr>
                <w:rFonts w:ascii="Arial" w:hAnsi="Arial" w:cs="Arial"/>
                <w:sz w:val="18"/>
                <w:szCs w:val="18"/>
              </w:rPr>
            </w:pPr>
            <w:r>
              <w:rPr>
                <w:rFonts w:ascii="Arial" w:hAnsi="Arial" w:cs="Arial"/>
                <w:sz w:val="18"/>
                <w:szCs w:val="18"/>
                <w:lang w:val="en-GB"/>
              </w:rPr>
              <w:t>Mode of access</w:t>
            </w:r>
          </w:p>
        </w:tc>
        <w:tc>
          <w:tcPr>
            <w:tcW w:w="6222" w:type="dxa"/>
            <w:tcMar>
              <w:top w:w="0" w:type="dxa"/>
              <w:left w:w="30" w:type="dxa"/>
              <w:bottom w:w="0" w:type="dxa"/>
              <w:right w:w="30" w:type="dxa"/>
            </w:tcMar>
            <w:vAlign w:val="center"/>
            <w:hideMark/>
          </w:tcPr>
          <w:p w14:paraId="5D5AC5BC"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only TDD</w:t>
            </w:r>
          </w:p>
        </w:tc>
      </w:tr>
      <w:tr w:rsidR="00CB7D6D" w14:paraId="6CD10636" w14:textId="77777777" w:rsidTr="00CB7D6D">
        <w:tc>
          <w:tcPr>
            <w:tcW w:w="2668" w:type="dxa"/>
            <w:vMerge w:val="restart"/>
            <w:tcMar>
              <w:top w:w="0" w:type="dxa"/>
              <w:left w:w="30" w:type="dxa"/>
              <w:bottom w:w="0" w:type="dxa"/>
              <w:right w:w="30" w:type="dxa"/>
            </w:tcMar>
            <w:hideMark/>
          </w:tcPr>
          <w:p w14:paraId="5A876BE7" w14:textId="77777777" w:rsidR="00CB7D6D" w:rsidRDefault="00CB7D6D" w:rsidP="00E11A39">
            <w:pPr>
              <w:pStyle w:val="NormlWeb"/>
              <w:rPr>
                <w:rFonts w:ascii="Arial" w:hAnsi="Arial" w:cs="Arial"/>
                <w:sz w:val="18"/>
                <w:szCs w:val="18"/>
              </w:rPr>
            </w:pPr>
            <w:r>
              <w:rPr>
                <w:rFonts w:ascii="Arial" w:hAnsi="Arial" w:cs="Arial"/>
                <w:sz w:val="18"/>
                <w:szCs w:val="18"/>
                <w:lang w:val="en-GB"/>
              </w:rPr>
              <w:t>Power density</w:t>
            </w:r>
          </w:p>
        </w:tc>
        <w:tc>
          <w:tcPr>
            <w:tcW w:w="6222" w:type="dxa"/>
            <w:tcMar>
              <w:top w:w="0" w:type="dxa"/>
              <w:left w:w="30" w:type="dxa"/>
              <w:bottom w:w="0" w:type="dxa"/>
              <w:right w:w="30" w:type="dxa"/>
            </w:tcMar>
            <w:vAlign w:val="center"/>
            <w:hideMark/>
          </w:tcPr>
          <w:p w14:paraId="184366F2" w14:textId="16D547D6"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max. 31 dBW/5 MHz peak EIRP for central station and repeater station</w:t>
            </w:r>
            <w:r w:rsidR="00FA4622">
              <w:rPr>
                <w:rFonts w:asciiTheme="minorHAnsi" w:hAnsiTheme="minorHAnsi" w:cstheme="minorHAnsi"/>
                <w:sz w:val="18"/>
                <w:szCs w:val="18"/>
                <w:lang w:val="en-GB"/>
              </w:rPr>
              <w:t xml:space="preserve"> </w:t>
            </w:r>
            <w:r>
              <w:rPr>
                <w:rFonts w:asciiTheme="minorHAnsi" w:hAnsiTheme="minorHAnsi" w:cstheme="minorHAnsi"/>
                <w:sz w:val="18"/>
                <w:szCs w:val="18"/>
                <w:lang w:val="en-GB"/>
              </w:rPr>
              <w:t>–</w:t>
            </w:r>
            <w:r w:rsidR="00FA4622">
              <w:rPr>
                <w:rFonts w:asciiTheme="minorHAnsi" w:hAnsiTheme="minorHAnsi" w:cstheme="minorHAnsi"/>
                <w:sz w:val="18"/>
                <w:szCs w:val="18"/>
                <w:lang w:val="en-GB"/>
              </w:rPr>
              <w:t xml:space="preserve"> </w:t>
            </w:r>
            <w:r>
              <w:rPr>
                <w:rFonts w:asciiTheme="minorHAnsi" w:hAnsiTheme="minorHAnsi" w:cstheme="minorHAnsi"/>
                <w:sz w:val="18"/>
                <w:szCs w:val="18"/>
                <w:lang w:val="en-GB"/>
              </w:rPr>
              <w:t>user station link</w:t>
            </w:r>
          </w:p>
        </w:tc>
      </w:tr>
      <w:tr w:rsidR="00CB7D6D" w14:paraId="082EC8A8" w14:textId="77777777" w:rsidTr="00CB7D6D">
        <w:tc>
          <w:tcPr>
            <w:tcW w:w="2668" w:type="dxa"/>
            <w:vMerge/>
            <w:vAlign w:val="center"/>
            <w:hideMark/>
          </w:tcPr>
          <w:p w14:paraId="29E83D94"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4D8F2943" w14:textId="70DD422F"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max. 5 dBW/5 MHz peak EIRP for fixed</w:t>
            </w:r>
            <w:r w:rsidR="007C7952">
              <w:rPr>
                <w:rFonts w:asciiTheme="minorHAnsi" w:hAnsiTheme="minorHAnsi" w:cstheme="minorHAnsi"/>
                <w:sz w:val="18"/>
                <w:szCs w:val="18"/>
                <w:lang w:val="en-GB"/>
              </w:rPr>
              <w:t>-site</w:t>
            </w:r>
            <w:r>
              <w:rPr>
                <w:rFonts w:asciiTheme="minorHAnsi" w:hAnsiTheme="minorHAnsi" w:cstheme="minorHAnsi"/>
                <w:sz w:val="18"/>
                <w:szCs w:val="18"/>
                <w:lang w:val="en-GB"/>
              </w:rPr>
              <w:t xml:space="preserve"> user station</w:t>
            </w:r>
          </w:p>
        </w:tc>
      </w:tr>
      <w:tr w:rsidR="00CB7D6D" w14:paraId="6E16E814" w14:textId="77777777" w:rsidTr="00CB7D6D">
        <w:tc>
          <w:tcPr>
            <w:tcW w:w="2668" w:type="dxa"/>
            <w:vMerge/>
            <w:vAlign w:val="center"/>
            <w:hideMark/>
          </w:tcPr>
          <w:p w14:paraId="05D49C4B"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487C92C2" w14:textId="77777777" w:rsidR="00CB7D6D" w:rsidRPr="000641A7" w:rsidRDefault="00CB7D6D" w:rsidP="00E11A39">
            <w:pPr>
              <w:pStyle w:val="NormlWeb"/>
              <w:rPr>
                <w:rFonts w:asciiTheme="minorHAnsi" w:hAnsiTheme="minorHAnsi" w:cstheme="minorHAnsi"/>
                <w:sz w:val="18"/>
                <w:szCs w:val="18"/>
              </w:rPr>
            </w:pPr>
            <w:r>
              <w:rPr>
                <w:rFonts w:asciiTheme="minorHAnsi" w:hAnsiTheme="minorHAnsi" w:cstheme="minorHAnsi"/>
                <w:sz w:val="18"/>
                <w:szCs w:val="18"/>
                <w:lang w:val="en-GB"/>
              </w:rPr>
              <w:t>max. 1 dBW/5 MHz peak EIRP for transportable user station</w:t>
            </w:r>
          </w:p>
        </w:tc>
      </w:tr>
      <w:tr w:rsidR="00CB7D6D" w14:paraId="4B2ECCBB" w14:textId="77777777" w:rsidTr="00CB7D6D">
        <w:tc>
          <w:tcPr>
            <w:tcW w:w="2668" w:type="dxa"/>
            <w:vMerge/>
            <w:vAlign w:val="center"/>
            <w:hideMark/>
          </w:tcPr>
          <w:p w14:paraId="7FD22BAA"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3CE2283F" w14:textId="77777777" w:rsidR="00CB7D6D" w:rsidRPr="000641A7" w:rsidRDefault="00CB7D6D" w:rsidP="0011720D">
            <w:pPr>
              <w:pStyle w:val="NormlWeb"/>
              <w:keepNext/>
              <w:rPr>
                <w:rFonts w:asciiTheme="minorHAnsi" w:hAnsiTheme="minorHAnsi" w:cstheme="minorHAnsi"/>
                <w:sz w:val="18"/>
                <w:szCs w:val="18"/>
              </w:rPr>
            </w:pPr>
            <w:r>
              <w:rPr>
                <w:rFonts w:asciiTheme="minorHAnsi" w:hAnsiTheme="minorHAnsi" w:cstheme="minorHAnsi"/>
                <w:sz w:val="18"/>
                <w:szCs w:val="18"/>
                <w:lang w:val="en-GB"/>
              </w:rPr>
              <w:t>max. 5 dBW/5 MHz peak EIRP for repeater station – central station link</w:t>
            </w:r>
          </w:p>
        </w:tc>
      </w:tr>
    </w:tbl>
    <w:p w14:paraId="5D710596" w14:textId="77777777" w:rsidR="00496E03" w:rsidRPr="006C380C" w:rsidRDefault="0011720D" w:rsidP="0011720D">
      <w:pPr>
        <w:pStyle w:val="Kpalrs"/>
        <w:jc w:val="center"/>
      </w:pPr>
      <w:r>
        <w:rPr>
          <w:lang w:val="en-GB"/>
        </w:rPr>
        <w:t xml:space="preserve">Table 3.2.2.c </w:t>
      </w:r>
    </w:p>
    <w:p w14:paraId="53F03BA9" w14:textId="77777777" w:rsidR="00C24420" w:rsidRDefault="001E3A86" w:rsidP="00A65C13">
      <w:pPr>
        <w:pStyle w:val="Cmsor3szmozottnmhh"/>
      </w:pPr>
      <w:bookmarkStart w:id="12" w:name="_Toc98846428"/>
      <w:r>
        <w:rPr>
          <w:bCs/>
          <w:lang w:val="en-GB"/>
        </w:rPr>
        <w:t>Other applications in the 2300–2400 MHz frequency band</w:t>
      </w:r>
      <w:bookmarkEnd w:id="12"/>
      <w:r>
        <w:rPr>
          <w:bCs/>
          <w:lang w:val="en-GB"/>
        </w:rPr>
        <w:t xml:space="preserve"> </w:t>
      </w:r>
    </w:p>
    <w:p w14:paraId="422D9903" w14:textId="77777777" w:rsidR="004B5CE2" w:rsidRPr="00A65C13" w:rsidRDefault="004B5CE2" w:rsidP="00A65C13">
      <w:pPr>
        <w:pStyle w:val="Behzottbekezdsnmhh"/>
      </w:pPr>
      <w:r>
        <w:rPr>
          <w:lang w:val="en-GB"/>
        </w:rPr>
        <w:t>The 2300–2400 MHz frequency band overlaps with the bands of several UWB</w:t>
      </w:r>
      <w:r>
        <w:rPr>
          <w:rStyle w:val="Lbjegyzet-hivatkozs"/>
          <w:lang w:val="en-GB"/>
        </w:rPr>
        <w:footnoteReference w:id="28"/>
      </w:r>
      <w:r>
        <w:rPr>
          <w:lang w:val="en-GB"/>
        </w:rPr>
        <w:t xml:space="preserve"> type SRD applications as follows:</w:t>
      </w:r>
    </w:p>
    <w:p w14:paraId="6A53E107" w14:textId="77777777" w:rsidR="004B5CE2" w:rsidRPr="00CE5170" w:rsidRDefault="004B5CE2" w:rsidP="00CE5170">
      <w:pPr>
        <w:pStyle w:val="ECCParBulleted"/>
      </w:pPr>
      <w:r>
        <w:t>30 MHz–12.4 GHz - GPR/WPR</w:t>
      </w:r>
      <w:r>
        <w:rPr>
          <w:rStyle w:val="Lbjegyzet-hivatkozs"/>
        </w:rPr>
        <w:footnoteReference w:id="29"/>
      </w:r>
      <w:r>
        <w:t xml:space="preserve"> (not harmonized);</w:t>
      </w:r>
    </w:p>
    <w:p w14:paraId="2EECBAB0" w14:textId="77777777" w:rsidR="008D695D" w:rsidRDefault="006C380C" w:rsidP="000F0F7B">
      <w:pPr>
        <w:pStyle w:val="ECCParBulleted"/>
      </w:pPr>
      <w:r>
        <w:t>2200–8000 MHz - Material sensing devices (harmonized).</w:t>
      </w:r>
    </w:p>
    <w:p w14:paraId="4AC2B00D" w14:textId="77777777" w:rsidR="005D09CC" w:rsidRPr="00D86540" w:rsidRDefault="003C516B" w:rsidP="00BA647C">
      <w:pPr>
        <w:pStyle w:val="Cmsor1szmozottnmhh"/>
        <w:spacing w:before="360"/>
        <w:ind w:left="431" w:hanging="431"/>
      </w:pPr>
      <w:bookmarkStart w:id="13" w:name="_Toc98846429"/>
      <w:r>
        <w:rPr>
          <w:bCs/>
          <w:lang w:val="en-GB"/>
        </w:rPr>
        <w:t>Current use</w:t>
      </w:r>
      <w:bookmarkEnd w:id="13"/>
    </w:p>
    <w:p w14:paraId="29E8D2D1" w14:textId="21FFEBDF" w:rsidR="00E021CA" w:rsidRPr="00D86540" w:rsidRDefault="00E021CA" w:rsidP="00746A1A">
      <w:pPr>
        <w:pStyle w:val="Behzottbekezdsnmhh"/>
      </w:pPr>
      <w:r>
        <w:rPr>
          <w:lang w:val="en-GB"/>
        </w:rPr>
        <w:t>In the 2300-2370 MHz sub-band, there is no licence for civil use other than short-term licences. Licen</w:t>
      </w:r>
      <w:r w:rsidR="00FA4622">
        <w:rPr>
          <w:lang w:val="en-GB"/>
        </w:rPr>
        <w:t>c</w:t>
      </w:r>
      <w:r>
        <w:rPr>
          <w:lang w:val="en-GB"/>
        </w:rPr>
        <w:t xml:space="preserve">es for short-term events (for civil purposes) </w:t>
      </w:r>
      <w:r w:rsidR="001E264C">
        <w:rPr>
          <w:lang w:val="en-GB"/>
        </w:rPr>
        <w:t xml:space="preserve">are generally required for events </w:t>
      </w:r>
      <w:r>
        <w:rPr>
          <w:lang w:val="en-GB"/>
        </w:rPr>
        <w:t>such as concerts or sports events (e.g. Formula 1)</w:t>
      </w:r>
      <w:r w:rsidR="001E264C">
        <w:rPr>
          <w:lang w:val="en-GB"/>
        </w:rPr>
        <w:t>,</w:t>
      </w:r>
      <w:r>
        <w:rPr>
          <w:lang w:val="en-GB"/>
        </w:rPr>
        <w:t xml:space="preserve"> </w:t>
      </w:r>
      <w:r w:rsidR="001E264C">
        <w:rPr>
          <w:lang w:val="en-GB"/>
        </w:rPr>
        <w:t>usually for</w:t>
      </w:r>
      <w:r w:rsidR="001D2AD7">
        <w:rPr>
          <w:lang w:val="en-GB"/>
        </w:rPr>
        <w:t xml:space="preserve"> </w:t>
      </w:r>
      <w:r>
        <w:rPr>
          <w:lang w:val="en-GB"/>
        </w:rPr>
        <w:t>video PMSE applications.</w:t>
      </w:r>
    </w:p>
    <w:p w14:paraId="63EC6B93" w14:textId="50455BCA" w:rsidR="00E021CA" w:rsidRDefault="00F04D9B" w:rsidP="001C0D17">
      <w:pPr>
        <w:pStyle w:val="Behzottbekezdsnmhh"/>
      </w:pPr>
      <w:r>
        <w:rPr>
          <w:lang w:val="en-GB"/>
        </w:rPr>
        <w:t>The radio spectrum use by radio amateurs is not subject to occasional or connection-based licen</w:t>
      </w:r>
      <w:r w:rsidR="00FA4622">
        <w:rPr>
          <w:lang w:val="en-GB"/>
        </w:rPr>
        <w:t>c</w:t>
      </w:r>
      <w:r>
        <w:rPr>
          <w:lang w:val="en-GB"/>
        </w:rPr>
        <w:t>es, but we use a system of personal amateur licences that provide a legal basis for the use of the frequency band, similar to the other CEPT member states, so the use of the frequency band by amateurs is possible in the territory of Hungary.</w:t>
      </w:r>
    </w:p>
    <w:p w14:paraId="7FE7C376" w14:textId="6B324FEF" w:rsidR="005E0B0A" w:rsidRDefault="005E0B0A" w:rsidP="000641A7">
      <w:pPr>
        <w:pStyle w:val="Behzottbekezdsnmhh"/>
      </w:pPr>
      <w:r>
        <w:rPr>
          <w:lang w:val="en-GB"/>
        </w:rPr>
        <w:t xml:space="preserve">Longer-term radio licences for non-civil radio spectrum use have been issued in the 2370-2400 MHz sub-band and the intensity of the use of the </w:t>
      </w:r>
      <w:r w:rsidR="00496963">
        <w:rPr>
          <w:lang w:val="en-GB"/>
        </w:rPr>
        <w:t xml:space="preserve">frequency </w:t>
      </w:r>
      <w:r>
        <w:rPr>
          <w:lang w:val="en-GB"/>
        </w:rPr>
        <w:t>band is expected to increase further. The possibility of interference by systems operating on the basis of radio licences issued in the non-civil sub-band must also be taken into account in the part of the band below 2370 MHz.</w:t>
      </w:r>
    </w:p>
    <w:p w14:paraId="794276A2" w14:textId="77777777" w:rsidR="005D09CC" w:rsidRPr="00D86540" w:rsidRDefault="0021048F" w:rsidP="004E2603">
      <w:pPr>
        <w:pStyle w:val="Cmsor1szmozottnmhh"/>
        <w:spacing w:before="360"/>
        <w:ind w:left="431" w:hanging="431"/>
      </w:pPr>
      <w:bookmarkStart w:id="14" w:name="_Toc98846430"/>
      <w:r>
        <w:rPr>
          <w:bCs/>
          <w:lang w:val="en-GB"/>
        </w:rPr>
        <w:t>National regulatory plans</w:t>
      </w:r>
      <w:bookmarkEnd w:id="14"/>
    </w:p>
    <w:p w14:paraId="05CE0CEE" w14:textId="64FE6E1B" w:rsidR="006E5A77" w:rsidRDefault="00E720B8" w:rsidP="006E5A77">
      <w:pPr>
        <w:pStyle w:val="Behzottbekezdsnmhh"/>
        <w:rPr>
          <w:rFonts w:cs="Arial"/>
        </w:rPr>
      </w:pPr>
      <w:r>
        <w:rPr>
          <w:lang w:val="en-GB"/>
        </w:rPr>
        <w:t xml:space="preserve">In line with international efforts, </w:t>
      </w:r>
      <w:r w:rsidR="00633B88">
        <w:rPr>
          <w:lang w:val="en-GB"/>
        </w:rPr>
        <w:t xml:space="preserve">ensuring </w:t>
      </w:r>
      <w:r>
        <w:rPr>
          <w:lang w:val="en-GB"/>
        </w:rPr>
        <w:t xml:space="preserve">the radio spectrum needed for the further development of mobile broadband services and making it available on demand, as well as ensuring efficient use of radio spectrum and supporting innovative solutions are among the NMHH’s priority strategic objectives for the period between 2021-2025. </w:t>
      </w:r>
    </w:p>
    <w:p w14:paraId="4CD2C57A" w14:textId="77777777" w:rsidR="00D9298B" w:rsidRDefault="00E720B8" w:rsidP="005D2D7B">
      <w:pPr>
        <w:pStyle w:val="Behzottbekezdsnmhh"/>
      </w:pPr>
      <w:r>
        <w:rPr>
          <w:lang w:val="en-GB"/>
        </w:rPr>
        <w:t>The NMHH’s radio spectrum strategy also aimed to satisfy PMSE needs and to study the possibilities of shared use (as a possible means of efficient spectrum use). These objectives coincide in the 2300-2400 MHz band.</w:t>
      </w:r>
    </w:p>
    <w:p w14:paraId="4CEEA9F1" w14:textId="70C1C03F" w:rsidR="00083CE5" w:rsidRDefault="00D9298B" w:rsidP="005D2D7B">
      <w:pPr>
        <w:pStyle w:val="Behzottbekezdsnmhh"/>
      </w:pPr>
      <w:r>
        <w:rPr>
          <w:lang w:val="en-GB"/>
        </w:rPr>
        <w:t xml:space="preserve">Since the band is suitable for the introduction of 5G, the possibilities of using it for 5G purposes must be examined. With the efficient use of spectrum in mind, the solution increasingly used at </w:t>
      </w:r>
      <w:r>
        <w:rPr>
          <w:lang w:val="en-GB"/>
        </w:rPr>
        <w:lastRenderedPageBreak/>
        <w:t>international level</w:t>
      </w:r>
      <w:r w:rsidR="004B04F3">
        <w:rPr>
          <w:lang w:val="en-GB"/>
        </w:rPr>
        <w:t>,</w:t>
      </w:r>
      <w:r>
        <w:rPr>
          <w:lang w:val="en-GB"/>
        </w:rPr>
        <w:t xml:space="preserve"> the utilisation of radio spectrum on a regional/local basis</w:t>
      </w:r>
      <w:r w:rsidR="004B04F3">
        <w:rPr>
          <w:lang w:val="en-GB"/>
        </w:rPr>
        <w:t xml:space="preserve"> comes into view</w:t>
      </w:r>
      <w:r>
        <w:rPr>
          <w:lang w:val="en-GB"/>
        </w:rPr>
        <w:t xml:space="preserve">, thus the frequency band may be suitable for meeting the needs of private networks. </w:t>
      </w:r>
    </w:p>
    <w:p w14:paraId="7AFA6D78" w14:textId="77777777" w:rsidR="00992D46" w:rsidRDefault="00E720B8" w:rsidP="005D2D7B">
      <w:pPr>
        <w:pStyle w:val="Behzottbekezdsnmhh"/>
      </w:pPr>
      <w:r>
        <w:rPr>
          <w:lang w:val="en-GB"/>
        </w:rPr>
        <w:t>Considering that there is currently no significant use in the 2300-2370 MHz sub-band, it is necessary to understand the needs for this frequency band in order to determine future steps. Depending on the outcome of this assessment, it may be decided, inter alia, on the detailed regulatory conditions for the utilisation of the band for mobile purposes and if any amendment to the NFFF Decree is necessary. If there is a demand not only for the applications of a single radio service, then the options and possible conditions of shared use, even the possibility of introducing LSA-based use, must be examined. There is a long-term need for non-civil, primarily military use of the 2370-2400 MHz sub-band; the detailed technical specifications for non-civil use are already included in the NFFF Decree.</w:t>
      </w:r>
    </w:p>
    <w:p w14:paraId="74469C83" w14:textId="77777777" w:rsidR="005D09CC" w:rsidRPr="00D86540" w:rsidRDefault="009F637B" w:rsidP="00BA647C">
      <w:pPr>
        <w:pStyle w:val="Cmsor2szmozottnmhh"/>
        <w:spacing w:before="360"/>
        <w:ind w:left="992" w:hanging="567"/>
      </w:pPr>
      <w:bookmarkStart w:id="15" w:name="_Toc98846431"/>
      <w:r>
        <w:rPr>
          <w:bCs/>
          <w:lang w:val="en-GB"/>
        </w:rPr>
        <w:t>Options for future use</w:t>
      </w:r>
      <w:bookmarkEnd w:id="15"/>
    </w:p>
    <w:p w14:paraId="53EF3A9C" w14:textId="3664D870" w:rsidR="004E2E7F" w:rsidRDefault="00337337" w:rsidP="00E7319A">
      <w:pPr>
        <w:pStyle w:val="Behzottbekezdsnmhh"/>
      </w:pPr>
      <w:r>
        <w:rPr>
          <w:lang w:val="en-GB"/>
        </w:rPr>
        <w:t xml:space="preserve">In order to ensure compatibility between current and future use, the most obvious solution is to </w:t>
      </w:r>
      <w:r w:rsidR="009D4191">
        <w:rPr>
          <w:lang w:val="en-GB"/>
        </w:rPr>
        <w:t xml:space="preserve">divide </w:t>
      </w:r>
      <w:r>
        <w:rPr>
          <w:lang w:val="en-GB"/>
        </w:rPr>
        <w:t xml:space="preserve">the frequency band into sub-bands of an appropriate size, thereby separating the applications. The advantage of such use is that each sub-band can be used without a dedicated “co-tenant”, the disadvantage being the reduction in the amount of available radio spectrum. Compatibility with incumbent applications can also </w:t>
      </w:r>
      <w:r w:rsidR="00400A76">
        <w:rPr>
          <w:lang w:val="en-GB"/>
        </w:rPr>
        <w:t xml:space="preserve">be </w:t>
      </w:r>
      <w:r>
        <w:rPr>
          <w:lang w:val="en-GB"/>
        </w:rPr>
        <w:t>achieved using other methods, but the solution depends on what needs arise and between which systems the compatibility must be ensured. This can be decided by the NMHH once the needs have been discovered.</w:t>
      </w:r>
    </w:p>
    <w:p w14:paraId="1BA8579A" w14:textId="1530AAF9" w:rsidR="008C1BA0" w:rsidRDefault="001307B1" w:rsidP="008C1BA0">
      <w:pPr>
        <w:pStyle w:val="Behzottbekezdsnmhh"/>
      </w:pPr>
      <w:r>
        <w:rPr>
          <w:lang w:val="en-GB"/>
        </w:rPr>
        <w:t>Taking into account the existing use is important for the development of detailed technical rules for the use of the 2300 MHz frequency band. The frequency band is designated for use as a radio amateur, is affected by military use,</w:t>
      </w:r>
      <w:r w:rsidR="00F908F5">
        <w:rPr>
          <w:lang w:val="en-GB"/>
        </w:rPr>
        <w:t xml:space="preserve"> and</w:t>
      </w:r>
      <w:r>
        <w:rPr>
          <w:lang w:val="en-GB"/>
        </w:rPr>
        <w:t xml:space="preserve"> </w:t>
      </w:r>
      <w:r w:rsidR="00F908F5" w:rsidRPr="00F908F5">
        <w:rPr>
          <w:lang w:val="en-GB"/>
        </w:rPr>
        <w:t>use for video-PMSE purposes should also be considered</w:t>
      </w:r>
      <w:bookmarkStart w:id="16" w:name="_GoBack"/>
      <w:bookmarkEnd w:id="16"/>
      <w:r>
        <w:rPr>
          <w:lang w:val="en-GB"/>
        </w:rPr>
        <w:t>.</w:t>
      </w:r>
    </w:p>
    <w:p w14:paraId="24357C20" w14:textId="0A3E9819" w:rsidR="00E73965" w:rsidRDefault="003349CC" w:rsidP="008C1BA0">
      <w:pPr>
        <w:pStyle w:val="Behzottbekezdsnmhh"/>
      </w:pPr>
      <w:r>
        <w:rPr>
          <w:lang w:val="en-GB"/>
        </w:rPr>
        <w:t xml:space="preserve">The band is not designated for PMSE applications, typically </w:t>
      </w:r>
      <w:r w:rsidR="00F908F5">
        <w:rPr>
          <w:lang w:val="en-GB"/>
        </w:rPr>
        <w:t xml:space="preserve">short-term </w:t>
      </w:r>
      <w:r>
        <w:rPr>
          <w:lang w:val="en-GB"/>
        </w:rPr>
        <w:t xml:space="preserve">video-PMSE </w:t>
      </w:r>
      <w:r w:rsidR="00F908F5">
        <w:rPr>
          <w:lang w:val="en-GB"/>
        </w:rPr>
        <w:t>licen</w:t>
      </w:r>
      <w:r w:rsidR="00FD129D">
        <w:rPr>
          <w:lang w:val="en-GB"/>
        </w:rPr>
        <w:t>c</w:t>
      </w:r>
      <w:r w:rsidR="00F908F5">
        <w:rPr>
          <w:lang w:val="en-GB"/>
        </w:rPr>
        <w:t xml:space="preserve">es </w:t>
      </w:r>
      <w:r>
        <w:rPr>
          <w:lang w:val="en-GB"/>
        </w:rPr>
        <w:t>are issued</w:t>
      </w:r>
      <w:r w:rsidR="009C0F46">
        <w:rPr>
          <w:lang w:val="en-GB"/>
        </w:rPr>
        <w:t xml:space="preserve"> on some occasions</w:t>
      </w:r>
      <w:r>
        <w:rPr>
          <w:lang w:val="en-GB"/>
        </w:rPr>
        <w:t xml:space="preserve"> in the band, so the right of radio spectrum use would not be violated from the PMSE side. If the 2300 MHz frequency band (or part of it) cannot be used in the future for video-PMSE applications, they must be operated in other suitable bands. </w:t>
      </w:r>
      <w:r w:rsidR="009C0F46">
        <w:rPr>
          <w:lang w:val="en-GB"/>
        </w:rPr>
        <w:t>C</w:t>
      </w:r>
      <w:r>
        <w:rPr>
          <w:lang w:val="en-GB"/>
        </w:rPr>
        <w:t xml:space="preserve">apacity issues with video-PMSE bands are not typical in Hungary, but in the case of high-profile events the means of communication have limited the available frequency set, so the use of the 2300 MHz frequency band </w:t>
      </w:r>
      <w:r w:rsidR="00AC427C" w:rsidRPr="00AC427C">
        <w:rPr>
          <w:lang w:val="en-GB"/>
        </w:rPr>
        <w:t xml:space="preserve">for PMSE </w:t>
      </w:r>
      <w:r>
        <w:rPr>
          <w:lang w:val="en-GB"/>
        </w:rPr>
        <w:t>was a good solution.</w:t>
      </w:r>
    </w:p>
    <w:p w14:paraId="32E78E8C" w14:textId="77777777" w:rsidR="00707BB2" w:rsidRDefault="00D9298B" w:rsidP="008C1BA0">
      <w:pPr>
        <w:pStyle w:val="Behzottbekezdsnmhh"/>
      </w:pPr>
      <w:r>
        <w:rPr>
          <w:lang w:val="en-GB"/>
        </w:rPr>
        <w:t>There are several options for the introduction of mobile broadband applications (4G, 5G) in the 2300 MHz frequency band:</w:t>
      </w:r>
    </w:p>
    <w:p w14:paraId="7854702A" w14:textId="0079ECF1" w:rsidR="00707BB2" w:rsidRDefault="00707BB2" w:rsidP="00ED370A">
      <w:pPr>
        <w:pStyle w:val="Behzottbekezdsnmhh"/>
        <w:numPr>
          <w:ilvl w:val="0"/>
          <w:numId w:val="49"/>
        </w:numPr>
      </w:pPr>
      <w:r>
        <w:rPr>
          <w:lang w:val="en-GB"/>
        </w:rPr>
        <w:t>possibility of nation</w:t>
      </w:r>
      <w:r w:rsidR="00EC5CE2">
        <w:rPr>
          <w:lang w:val="en-GB"/>
        </w:rPr>
        <w:t>wide</w:t>
      </w:r>
      <w:r>
        <w:rPr>
          <w:lang w:val="en-GB"/>
        </w:rPr>
        <w:t xml:space="preserve"> networks in the whole band or in specific sub-bands,</w:t>
      </w:r>
    </w:p>
    <w:p w14:paraId="5A5FFD42" w14:textId="77777777" w:rsidR="00707BB2" w:rsidRDefault="00707BB2" w:rsidP="00ED370A">
      <w:pPr>
        <w:pStyle w:val="Behzottbekezdsnmhh"/>
        <w:numPr>
          <w:ilvl w:val="0"/>
          <w:numId w:val="49"/>
        </w:numPr>
      </w:pPr>
      <w:r>
        <w:rPr>
          <w:lang w:val="en-GB"/>
        </w:rPr>
        <w:t>possibility of local/regional networks,</w:t>
      </w:r>
    </w:p>
    <w:p w14:paraId="2F83AC83" w14:textId="77777777" w:rsidR="00707BB2" w:rsidRDefault="00602A90" w:rsidP="00ED370A">
      <w:pPr>
        <w:pStyle w:val="Behzottbekezdsnmhh"/>
        <w:numPr>
          <w:ilvl w:val="0"/>
          <w:numId w:val="49"/>
        </w:numPr>
      </w:pPr>
      <w:r>
        <w:rPr>
          <w:lang w:val="en-GB"/>
        </w:rPr>
        <w:t xml:space="preserve">which may include the possibility of 4G/5G-based private network solutions as a subtype, </w:t>
      </w:r>
    </w:p>
    <w:p w14:paraId="697DE7C4" w14:textId="77777777" w:rsidR="00EA475C" w:rsidRDefault="00602A90" w:rsidP="00ED370A">
      <w:pPr>
        <w:pStyle w:val="Behzottbekezdsnmhh"/>
        <w:numPr>
          <w:ilvl w:val="0"/>
          <w:numId w:val="49"/>
        </w:numPr>
      </w:pPr>
      <w:r>
        <w:rPr>
          <w:lang w:val="en-GB"/>
        </w:rPr>
        <w:t>for all these, it is necessary to consider different licensing options (e.g. competitive tendering, “first come first served”) separately, but also collectively.</w:t>
      </w:r>
    </w:p>
    <w:p w14:paraId="1E3143AA" w14:textId="77777777" w:rsidR="00EA475C" w:rsidRDefault="00EA475C" w:rsidP="0058383C">
      <w:pPr>
        <w:pStyle w:val="Behzottbekezdsnmhh"/>
      </w:pPr>
      <w:r>
        <w:rPr>
          <w:lang w:val="en-GB"/>
        </w:rPr>
        <w:t>Understanding the needs of spectrum use, including for civil and non-civil purposes, is of paramount importance for the purpose of selecting the appropriate options.</w:t>
      </w:r>
    </w:p>
    <w:p w14:paraId="62FD9517" w14:textId="59F17239" w:rsidR="00D9298B" w:rsidRDefault="00EA475C" w:rsidP="008D695D">
      <w:pPr>
        <w:pStyle w:val="Behzottbekezdsnmhh"/>
      </w:pPr>
      <w:r>
        <w:rPr>
          <w:lang w:val="en-GB"/>
        </w:rPr>
        <w:t xml:space="preserve">Considering that under international regulations </w:t>
      </w:r>
      <w:r w:rsidRPr="001F027F">
        <w:rPr>
          <w:lang w:val="en-GB"/>
        </w:rPr>
        <w:t xml:space="preserve">MFCN networks </w:t>
      </w:r>
      <w:r w:rsidR="000B45AF" w:rsidRPr="001F027F">
        <w:rPr>
          <w:lang w:val="en-GB"/>
        </w:rPr>
        <w:t xml:space="preserve">can be operated only </w:t>
      </w:r>
      <w:r w:rsidRPr="001F027F">
        <w:rPr>
          <w:lang w:val="en-GB"/>
        </w:rPr>
        <w:t>with TDD access in this band</w:t>
      </w:r>
      <w:r>
        <w:rPr>
          <w:lang w:val="en-GB"/>
        </w:rPr>
        <w:t>, the issue of synchronization between networks is also important, as in the absence of this, appropriate guard bands must be used in order to avoid interferences between systems operating in adjacent frequency ranges. Distribution at regional/local level can also be a good tool for creating compatibility with existing applications by making possible the territorial separation between different systems of different applications or identical applications operating in parallel, thus resolving the issue of interference.</w:t>
      </w:r>
    </w:p>
    <w:p w14:paraId="354D865F" w14:textId="77777777" w:rsidR="005D09CC" w:rsidRDefault="008602E0" w:rsidP="00BA647C">
      <w:pPr>
        <w:pStyle w:val="Cmsor1szmozottnmhh"/>
        <w:spacing w:before="360"/>
        <w:ind w:left="431" w:hanging="431"/>
      </w:pPr>
      <w:bookmarkStart w:id="17" w:name="_Toc98846432"/>
      <w:r>
        <w:rPr>
          <w:bCs/>
          <w:lang w:val="en-GB"/>
        </w:rPr>
        <w:lastRenderedPageBreak/>
        <w:t>Radio spectrum use in border areas</w:t>
      </w:r>
      <w:bookmarkEnd w:id="17"/>
      <w:r>
        <w:rPr>
          <w:bCs/>
          <w:lang w:val="en-GB"/>
        </w:rPr>
        <w:t xml:space="preserve"> </w:t>
      </w:r>
    </w:p>
    <w:p w14:paraId="7A28BD61" w14:textId="748BBA73" w:rsidR="00DF0F11" w:rsidRDefault="00B43B7C" w:rsidP="00DF0F11">
      <w:pPr>
        <w:pStyle w:val="Behzottbekezdsnmhh"/>
        <w:tabs>
          <w:tab w:val="left" w:pos="977"/>
        </w:tabs>
      </w:pPr>
      <w:r>
        <w:rPr>
          <w:lang w:val="en-GB"/>
        </w:rPr>
        <w:t xml:space="preserve">For the 2300 MHz frequency band, Hungary does not have an international coordination agreement with neighbouring countries. In the event of the introduction of MFCN networks, it will be necessary to conclude bilateral and multilateral international coordination agreements with neighbouring countries to </w:t>
      </w:r>
      <w:r w:rsidRPr="001F027F">
        <w:rPr>
          <w:lang w:val="en-GB"/>
        </w:rPr>
        <w:t>ensure efficient spectrum use</w:t>
      </w:r>
      <w:r w:rsidR="00943AE9" w:rsidRPr="001F027F">
        <w:rPr>
          <w:lang w:val="en-GB"/>
        </w:rPr>
        <w:t xml:space="preserve"> in border areas</w:t>
      </w:r>
      <w:r w:rsidRPr="001F027F">
        <w:rPr>
          <w:lang w:val="en-GB"/>
        </w:rPr>
        <w:t>. The technical basis for cross-border</w:t>
      </w:r>
      <w:r>
        <w:rPr>
          <w:lang w:val="en-GB"/>
        </w:rPr>
        <w:t xml:space="preserve"> frequency use is set out in Recommendation ERC/REC/(14)04.</w:t>
      </w:r>
    </w:p>
    <w:p w14:paraId="07F62E66" w14:textId="77777777" w:rsidR="00CA6AD4" w:rsidRPr="00D86540" w:rsidRDefault="00982A11" w:rsidP="00AE4FFD">
      <w:pPr>
        <w:pStyle w:val="Cmsor1szmozottnmhh"/>
        <w:spacing w:before="360"/>
        <w:ind w:left="431" w:hanging="431"/>
      </w:pPr>
      <w:bookmarkStart w:id="18" w:name="_Toc98846433"/>
      <w:r>
        <w:rPr>
          <w:bCs/>
          <w:lang w:val="en-GB"/>
        </w:rPr>
        <w:t>Radio spectrum fees</w:t>
      </w:r>
      <w:bookmarkEnd w:id="18"/>
    </w:p>
    <w:p w14:paraId="0A5EB1C9" w14:textId="3EC111F3" w:rsidR="00117AD4" w:rsidRPr="00117AD4" w:rsidRDefault="00117AD4" w:rsidP="00117AD4">
      <w:pPr>
        <w:tabs>
          <w:tab w:val="left" w:pos="4522"/>
        </w:tabs>
        <w:ind w:firstLine="357"/>
        <w:rPr>
          <w:sz w:val="20"/>
          <w:szCs w:val="20"/>
        </w:rPr>
      </w:pPr>
      <w:r w:rsidRPr="00117AD4">
        <w:rPr>
          <w:sz w:val="20"/>
          <w:szCs w:val="20"/>
          <w:lang w:val="en-GB"/>
        </w:rPr>
        <w:t xml:space="preserve">Pursuant to the NFFF Decree, the </w:t>
      </w:r>
      <w:r w:rsidRPr="00117AD4">
        <w:rPr>
          <w:sz w:val="20"/>
          <w:szCs w:val="20"/>
          <w:lang w:val="en-GB"/>
        </w:rPr>
        <w:t>right holder</w:t>
      </w:r>
      <w:r w:rsidRPr="00117AD4">
        <w:rPr>
          <w:sz w:val="20"/>
          <w:szCs w:val="20"/>
          <w:lang w:val="en-GB"/>
        </w:rPr>
        <w:t xml:space="preserve"> acquiring </w:t>
      </w:r>
      <w:r w:rsidRPr="00117AD4">
        <w:rPr>
          <w:sz w:val="20"/>
          <w:szCs w:val="20"/>
          <w:lang w:val="en-GB"/>
        </w:rPr>
        <w:t xml:space="preserve">entitlements to </w:t>
      </w:r>
      <w:r w:rsidRPr="00117AD4">
        <w:rPr>
          <w:sz w:val="20"/>
          <w:szCs w:val="20"/>
          <w:lang w:val="en-GB"/>
        </w:rPr>
        <w:t xml:space="preserve">radio spectrum </w:t>
      </w:r>
      <w:r w:rsidRPr="00117AD4">
        <w:rPr>
          <w:sz w:val="20"/>
          <w:szCs w:val="20"/>
          <w:lang w:val="en-GB"/>
        </w:rPr>
        <w:t>use</w:t>
      </w:r>
      <w:r w:rsidRPr="00117AD4">
        <w:rPr>
          <w:sz w:val="20"/>
          <w:szCs w:val="20"/>
          <w:lang w:val="en-GB"/>
        </w:rPr>
        <w:t xml:space="preserve"> shall pay a monthly band fee, in the case of radio spectrum for service purposes acquired as a result of a competitive procedure, as a result of the extension of the entitlement to radio spectrum use, or as a result of the renewal of the entitlement to radio spectrum use, and resold after acquisition, during the term of the entitlement to radio spectrum us</w:t>
      </w:r>
      <w:r w:rsidRPr="00117AD4">
        <w:rPr>
          <w:sz w:val="20"/>
          <w:szCs w:val="20"/>
          <w:lang w:val="en-GB"/>
        </w:rPr>
        <w:t>e</w:t>
      </w:r>
      <w:r w:rsidRPr="00117AD4">
        <w:rPr>
          <w:sz w:val="20"/>
          <w:szCs w:val="20"/>
          <w:lang w:val="en-GB"/>
        </w:rPr>
        <w:t>, starting from the earliest date of the validity of the radio licence determined in Section 22(3) of Decree 4/2011 (X. 6.) NMHH on the Rules of Auctioning and Tendering to Acquire Entitlements to Frequency Usage.</w:t>
      </w:r>
    </w:p>
    <w:p w14:paraId="6DD71E5E" w14:textId="77777777" w:rsidR="00117AD4" w:rsidRPr="00117AD4" w:rsidRDefault="00117AD4" w:rsidP="00117AD4">
      <w:pPr>
        <w:ind w:firstLine="357"/>
        <w:rPr>
          <w:sz w:val="20"/>
          <w:szCs w:val="20"/>
        </w:rPr>
      </w:pPr>
      <w:r w:rsidRPr="00117AD4">
        <w:rPr>
          <w:sz w:val="20"/>
          <w:szCs w:val="20"/>
          <w:lang w:val="en-GB"/>
        </w:rPr>
        <w:t xml:space="preserve">The method of calculation for regular radio spectrum fees is prescribed by Decree 1/2011 (III.31.) NMHH on frequency reservation and usage fees (hereinafter: Fees Decree). </w:t>
      </w:r>
    </w:p>
    <w:p w14:paraId="70B4FEBF" w14:textId="1B27F774" w:rsidR="00117AD4" w:rsidRPr="00117AD4" w:rsidRDefault="00117AD4" w:rsidP="00117AD4">
      <w:pPr>
        <w:ind w:firstLine="357"/>
        <w:rPr>
          <w:sz w:val="20"/>
          <w:szCs w:val="20"/>
        </w:rPr>
      </w:pPr>
      <w:r w:rsidRPr="00117AD4">
        <w:rPr>
          <w:sz w:val="20"/>
          <w:szCs w:val="20"/>
          <w:lang w:val="en-GB"/>
        </w:rPr>
        <w:t xml:space="preserve">In order to determine the band fee payable for the use of the 2300 MHz frequency band, the Fees Decree needs to be amended, as this frequency band is not included in Section 20 </w:t>
      </w:r>
      <w:r w:rsidRPr="00117AD4">
        <w:rPr>
          <w:sz w:val="20"/>
          <w:szCs w:val="20"/>
          <w:lang w:val="en-GB"/>
        </w:rPr>
        <w:t xml:space="preserve">entitled “Fees payable for bands within the scope of block management” </w:t>
      </w:r>
      <w:r w:rsidRPr="00117AD4">
        <w:rPr>
          <w:sz w:val="20"/>
          <w:szCs w:val="20"/>
          <w:lang w:val="en-GB"/>
        </w:rPr>
        <w:t>and Annex 9 of the</w:t>
      </w:r>
      <w:r w:rsidRPr="00117AD4">
        <w:rPr>
          <w:sz w:val="20"/>
          <w:szCs w:val="20"/>
          <w:lang w:val="en-GB"/>
        </w:rPr>
        <w:t xml:space="preserve"> Fees Decree</w:t>
      </w:r>
      <w:r w:rsidRPr="00117AD4">
        <w:rPr>
          <w:sz w:val="20"/>
          <w:szCs w:val="20"/>
          <w:lang w:val="en-GB"/>
        </w:rPr>
        <w:t>.</w:t>
      </w:r>
    </w:p>
    <w:p w14:paraId="6A9DD64D" w14:textId="53B34AB6" w:rsidR="00117AD4" w:rsidRPr="00117AD4" w:rsidRDefault="00117AD4" w:rsidP="00117AD4">
      <w:pPr>
        <w:ind w:firstLine="357"/>
        <w:rPr>
          <w:sz w:val="20"/>
          <w:szCs w:val="20"/>
        </w:rPr>
      </w:pPr>
      <w:r w:rsidRPr="00117AD4">
        <w:rPr>
          <w:sz w:val="20"/>
          <w:szCs w:val="20"/>
          <w:lang w:val="en-GB"/>
        </w:rPr>
        <w:t xml:space="preserve">The criteria for determining the fees must include the </w:t>
      </w:r>
      <w:r w:rsidR="00660712" w:rsidRPr="00117AD4">
        <w:rPr>
          <w:sz w:val="20"/>
          <w:szCs w:val="20"/>
          <w:lang w:val="en-GB"/>
        </w:rPr>
        <w:t xml:space="preserve">chosen </w:t>
      </w:r>
      <w:r w:rsidRPr="00117AD4">
        <w:rPr>
          <w:sz w:val="20"/>
          <w:szCs w:val="20"/>
          <w:lang w:val="en-GB"/>
        </w:rPr>
        <w:t>conditions of use of the band</w:t>
      </w:r>
      <w:r w:rsidRPr="00117AD4">
        <w:rPr>
          <w:sz w:val="20"/>
          <w:szCs w:val="20"/>
          <w:lang w:val="en-GB"/>
        </w:rPr>
        <w:t xml:space="preserve"> </w:t>
      </w:r>
      <w:r w:rsidRPr="00117AD4">
        <w:rPr>
          <w:sz w:val="20"/>
          <w:szCs w:val="20"/>
          <w:lang w:val="en-GB"/>
        </w:rPr>
        <w:t xml:space="preserve">as a result of the market needs assessment. If, based on the intentions and needs of the applicants, the entitlements that can be obtained may be </w:t>
      </w:r>
      <w:r w:rsidRPr="00117AD4">
        <w:rPr>
          <w:sz w:val="20"/>
          <w:szCs w:val="20"/>
          <w:lang w:val="en-GB"/>
        </w:rPr>
        <w:t xml:space="preserve">valid </w:t>
      </w:r>
      <w:r w:rsidRPr="00117AD4">
        <w:rPr>
          <w:sz w:val="20"/>
          <w:szCs w:val="20"/>
          <w:lang w:val="en-GB"/>
        </w:rPr>
        <w:t>for a smaller than national area, the Fees Decree must be amended in accordance with the new circumstances.</w:t>
      </w:r>
    </w:p>
    <w:sectPr w:rsidR="00117AD4" w:rsidRPr="00117AD4" w:rsidSect="007E2915">
      <w:headerReference w:type="default" r:id="rId15"/>
      <w:footerReference w:type="default" r:id="rId16"/>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736E" w14:textId="77777777" w:rsidR="00163C8E" w:rsidRDefault="00163C8E" w:rsidP="006F446C">
      <w:pPr>
        <w:spacing w:after="0" w:line="240" w:lineRule="auto"/>
      </w:pPr>
      <w:r>
        <w:separator/>
      </w:r>
    </w:p>
  </w:endnote>
  <w:endnote w:type="continuationSeparator" w:id="0">
    <w:p w14:paraId="2915462F" w14:textId="77777777" w:rsidR="00163C8E" w:rsidRDefault="00163C8E" w:rsidP="006F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Content>
      <w:p w14:paraId="4B323B3A" w14:textId="77777777" w:rsidR="001D2AD7" w:rsidRDefault="001D2AD7">
        <w:pPr>
          <w:pStyle w:val="llb"/>
          <w:jc w:val="lef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Pr>
            <w:noProof/>
            <w:color w:val="43525A"/>
            <w:lang w:val="en-GB"/>
          </w:rPr>
          <w:t>4</w:t>
        </w:r>
        <w:r>
          <w:rPr>
            <w:color w:val="43525A"/>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CCE2B2A" w14:textId="77777777" w:rsidR="001D2AD7" w:rsidRDefault="001D2AD7">
        <w:pPr>
          <w:pStyle w:val="llb"/>
          <w:jc w:val="right"/>
          <w:rPr>
            <w:color w:val="43525A"/>
          </w:rPr>
        </w:pPr>
        <w:r>
          <w:rPr>
            <w:color w:val="43525A"/>
            <w:lang w:val="en-GB"/>
          </w:rPr>
          <w:fldChar w:fldCharType="begin"/>
        </w:r>
        <w:r>
          <w:rPr>
            <w:color w:val="43525A"/>
            <w:lang w:val="en-GB"/>
          </w:rPr>
          <w:instrText>PAGE   \* MERGEFORMAT</w:instrText>
        </w:r>
        <w:r>
          <w:rPr>
            <w:color w:val="43525A"/>
            <w:lang w:val="en-GB"/>
          </w:rPr>
          <w:fldChar w:fldCharType="separate"/>
        </w:r>
        <w:r>
          <w:rPr>
            <w:noProof/>
            <w:color w:val="43525A"/>
            <w:lang w:val="en-GB"/>
          </w:rPr>
          <w:t>5</w:t>
        </w:r>
        <w:r>
          <w:rPr>
            <w:color w:val="43525A"/>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D8D6" w14:textId="77777777" w:rsidR="001D2AD7" w:rsidRDefault="001D2AD7">
    <w:r>
      <w:rPr>
        <w:noProof/>
        <w:lang w:eastAsia="hu-HU"/>
      </w:rPr>
      <mc:AlternateContent>
        <mc:Choice Requires="wps">
          <w:drawing>
            <wp:anchor distT="0" distB="0" distL="114300" distR="114300" simplePos="0" relativeHeight="251655680" behindDoc="0" locked="0" layoutInCell="1" allowOverlap="1" wp14:anchorId="1B0D2132" wp14:editId="61BF403F">
              <wp:simplePos x="0" y="0"/>
              <wp:positionH relativeFrom="column">
                <wp:posOffset>4997450</wp:posOffset>
              </wp:positionH>
              <wp:positionV relativeFrom="paragraph">
                <wp:posOffset>153035</wp:posOffset>
              </wp:positionV>
              <wp:extent cx="613410" cy="302260"/>
              <wp:effectExtent l="0" t="63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11965226"/>
                            <w:docPartObj>
                              <w:docPartGallery w:val="Page Numbers (Bottom of Page)"/>
                              <w:docPartUnique/>
                            </w:docPartObj>
                          </w:sdtPr>
                          <w:sdtContent>
                            <w:p w14:paraId="727539CF" w14:textId="1C7C2CD1" w:rsidR="001D2AD7" w:rsidRPr="00D42662" w:rsidRDefault="001D2AD7" w:rsidP="001C0D17">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566269">
                                <w:rPr>
                                  <w:noProof/>
                                  <w:sz w:val="16"/>
                                  <w:szCs w:val="16"/>
                                  <w:lang w:val="en-GB"/>
                                </w:rPr>
                                <w:t>12</w:t>
                              </w:r>
                              <w:r>
                                <w:rPr>
                                  <w:noProof/>
                                  <w:sz w:val="16"/>
                                  <w:szCs w:val="16"/>
                                  <w:lang w:val="en-GB"/>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0D2132" id="_x0000_t202" coordsize="21600,21600" o:spt="202" path="m,l,21600r21600,l21600,xe">
              <v:stroke joinstyle="miter"/>
              <v:path gradientshapeok="t" o:connecttype="rect"/>
            </v:shapetype>
            <v:shape id="Text Box 2" o:spid="_x0000_s1026" type="#_x0000_t202" style="position:absolute;left:0;text-align:left;margin-left:393.5pt;margin-top:12.05pt;width:48.3pt;height:23.8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Vsw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ChkCVVswIAALgFAAAO&#10;AAAAAAAAAAAAAAAAAC4CAABkcnMvZTJvRG9jLnhtbFBLAQItABQABgAIAAAAIQCuYepo3QAAAAkB&#10;AAAPAAAAAAAAAAAAAAAAAA0FAABkcnMvZG93bnJldi54bWxQSwUGAAAAAAQABADzAAAAFwYAAAAA&#10;" filled="f" stroked="f">
              <v:textbox style="mso-fit-shape-to-text:t">
                <w:txbxContent>
                  <w:sdt>
                    <w:sdtPr>
                      <w:rPr>
                        <w:sz w:val="16"/>
                        <w:szCs w:val="16"/>
                      </w:rPr>
                      <w:id w:val="11965226"/>
                      <w:docPartObj>
                        <w:docPartGallery w:val="Page Numbers (Bottom of Page)"/>
                        <w:docPartUnique/>
                      </w:docPartObj>
                    </w:sdtPr>
                    <w:sdtContent>
                      <w:p w14:paraId="727539CF" w14:textId="1C7C2CD1" w:rsidR="001D2AD7" w:rsidRPr="00D42662" w:rsidRDefault="001D2AD7" w:rsidP="001C0D17">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566269">
                          <w:rPr>
                            <w:noProof/>
                            <w:sz w:val="16"/>
                            <w:szCs w:val="16"/>
                            <w:lang w:val="en-GB"/>
                          </w:rPr>
                          <w:t>12</w:t>
                        </w:r>
                        <w:r>
                          <w:rPr>
                            <w:noProof/>
                            <w:sz w:val="16"/>
                            <w:szCs w:val="16"/>
                            <w:lang w:val="en-GB"/>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964E" w14:textId="77777777" w:rsidR="00163C8E" w:rsidRDefault="00163C8E" w:rsidP="006F446C">
      <w:pPr>
        <w:spacing w:after="0" w:line="240" w:lineRule="auto"/>
      </w:pPr>
      <w:r>
        <w:separator/>
      </w:r>
    </w:p>
  </w:footnote>
  <w:footnote w:type="continuationSeparator" w:id="0">
    <w:p w14:paraId="647874F8" w14:textId="77777777" w:rsidR="00163C8E" w:rsidRDefault="00163C8E" w:rsidP="006F446C">
      <w:pPr>
        <w:spacing w:after="0" w:line="240" w:lineRule="auto"/>
      </w:pPr>
      <w:r>
        <w:continuationSeparator/>
      </w:r>
    </w:p>
  </w:footnote>
  <w:footnote w:id="1">
    <w:p w14:paraId="14F83D9C" w14:textId="77777777" w:rsidR="001D2AD7" w:rsidRPr="00CD4DFB" w:rsidRDefault="001D2AD7">
      <w:pPr>
        <w:pStyle w:val="Lbjegyzetszveg"/>
        <w:rPr>
          <w:sz w:val="16"/>
        </w:rPr>
      </w:pPr>
      <w:r>
        <w:rPr>
          <w:rStyle w:val="Lbjegyzet-hivatkozs"/>
          <w:lang w:val="en-GB"/>
        </w:rPr>
        <w:footnoteRef/>
      </w:r>
      <w:r>
        <w:rPr>
          <w:lang w:val="en-GB"/>
        </w:rPr>
        <w:t xml:space="preserve"> </w:t>
      </w:r>
      <w:r>
        <w:rPr>
          <w:sz w:val="16"/>
          <w:lang w:val="en-GB"/>
        </w:rPr>
        <w:t xml:space="preserve">European Conference of Postal and Telecommunications Administrations </w:t>
      </w:r>
    </w:p>
  </w:footnote>
  <w:footnote w:id="2">
    <w:p w14:paraId="126058E0" w14:textId="3AB1AFD1" w:rsidR="001D2AD7" w:rsidRPr="00E9609E" w:rsidRDefault="001D2AD7" w:rsidP="00C75341">
      <w:pPr>
        <w:pStyle w:val="Lbjegyzetszveg"/>
        <w:rPr>
          <w:rFonts w:ascii="Arial" w:hAnsi="Arial" w:cs="Arial"/>
          <w:bCs/>
        </w:rPr>
      </w:pPr>
      <w:r>
        <w:rPr>
          <w:rStyle w:val="Lbjegyzet-hivatkozs"/>
          <w:sz w:val="16"/>
          <w:lang w:val="en-GB"/>
        </w:rPr>
        <w:footnoteRef/>
      </w:r>
      <w:r>
        <w:rPr>
          <w:rStyle w:val="Lbjegyzet-hivatkozs"/>
          <w:sz w:val="16"/>
          <w:vertAlign w:val="baseline"/>
          <w:lang w:val="en-GB"/>
        </w:rPr>
        <w:t xml:space="preserve"> </w:t>
      </w:r>
      <w:r>
        <w:rPr>
          <w:sz w:val="16"/>
          <w:lang w:val="en-GB"/>
        </w:rPr>
        <w:t>Mobile/Fixed Communications Networks -  In the context of convergence of fixed and mobile wireless communication</w:t>
      </w:r>
      <w:r>
        <w:rPr>
          <w:sz w:val="16"/>
          <w:lang w:val="en-GB"/>
        </w:rPr>
        <w:t>s</w:t>
      </w:r>
      <w:r>
        <w:rPr>
          <w:sz w:val="16"/>
          <w:lang w:val="en-GB"/>
        </w:rPr>
        <w:t xml:space="preserve"> services, the CEPT regulation introduced </w:t>
      </w:r>
      <w:r>
        <w:rPr>
          <w:sz w:val="16"/>
          <w:lang w:val="en-GB"/>
        </w:rPr>
        <w:t xml:space="preserve">the term </w:t>
      </w:r>
      <w:r>
        <w:rPr>
          <w:sz w:val="16"/>
          <w:lang w:val="en-GB"/>
        </w:rPr>
        <w:t>MFCN (Mobile/Fixed Communication</w:t>
      </w:r>
      <w:r>
        <w:rPr>
          <w:sz w:val="16"/>
          <w:lang w:val="en-GB"/>
        </w:rPr>
        <w:t>s</w:t>
      </w:r>
      <w:r>
        <w:rPr>
          <w:sz w:val="16"/>
          <w:lang w:val="en-GB"/>
        </w:rPr>
        <w:t xml:space="preserve"> Networks). This </w:t>
      </w:r>
      <w:r>
        <w:rPr>
          <w:sz w:val="16"/>
          <w:lang w:val="en-GB"/>
        </w:rPr>
        <w:t xml:space="preserve">also </w:t>
      </w:r>
      <w:r>
        <w:rPr>
          <w:sz w:val="16"/>
          <w:lang w:val="en-GB"/>
        </w:rPr>
        <w:t>includes IMT (International Mobile Telecommunication) systems as defined by the ITU.</w:t>
      </w:r>
    </w:p>
  </w:footnote>
  <w:footnote w:id="3">
    <w:p w14:paraId="153E3CA1" w14:textId="77777777" w:rsidR="001D2AD7" w:rsidRPr="00F9670C" w:rsidRDefault="001D2AD7" w:rsidP="0059329E">
      <w:pPr>
        <w:pStyle w:val="Lbjegyzetszveg"/>
        <w:rPr>
          <w:sz w:val="16"/>
        </w:rPr>
      </w:pPr>
      <w:r>
        <w:rPr>
          <w:rStyle w:val="Lbjegyzet-hivatkozs"/>
          <w:lang w:val="en-GB"/>
        </w:rPr>
        <w:footnoteRef/>
      </w:r>
      <w:r>
        <w:rPr>
          <w:sz w:val="16"/>
          <w:lang w:val="en-GB"/>
        </w:rPr>
        <w:t>Time division duplex, a method of time-division duplexing of communications</w:t>
      </w:r>
    </w:p>
  </w:footnote>
  <w:footnote w:id="4">
    <w:p w14:paraId="0FA8A942" w14:textId="77777777" w:rsidR="001D2AD7" w:rsidRPr="003355EA" w:rsidRDefault="001D2AD7">
      <w:pPr>
        <w:pStyle w:val="Lbjegyzetszveg"/>
        <w:rPr>
          <w:sz w:val="16"/>
          <w:szCs w:val="16"/>
        </w:rPr>
      </w:pPr>
    </w:p>
  </w:footnote>
  <w:footnote w:id="5">
    <w:p w14:paraId="5472085D" w14:textId="77777777" w:rsidR="001D2AD7" w:rsidRPr="00CB7D6D" w:rsidRDefault="001D2AD7">
      <w:pPr>
        <w:pStyle w:val="Lbjegyzetszveg"/>
        <w:rPr>
          <w:rStyle w:val="Lbjegyzet-hivatkozs"/>
          <w:sz w:val="16"/>
          <w:szCs w:val="16"/>
          <w:vertAlign w:val="baseline"/>
        </w:rPr>
      </w:pPr>
      <w:r>
        <w:rPr>
          <w:rStyle w:val="Lbjegyzet-hivatkozs"/>
          <w:sz w:val="16"/>
          <w:szCs w:val="16"/>
          <w:lang w:val="en-GB"/>
        </w:rPr>
        <w:footnoteRef/>
      </w:r>
      <w:r w:rsidRPr="00117AD4">
        <w:rPr>
          <w:rStyle w:val="Lbjegyzet-hivatkozs"/>
          <w:sz w:val="16"/>
          <w:szCs w:val="16"/>
          <w:vertAlign w:val="baseline"/>
          <w:lang w:val="de-DE"/>
        </w:rPr>
        <w:t xml:space="preserve">Decision No 243/2012/EU of the European Parliament and of the Council of 14 March 2012 establishing a multiannual radio spectrum policy programme </w:t>
      </w:r>
      <w:r w:rsidRPr="00117AD4">
        <w:rPr>
          <w:sz w:val="16"/>
          <w:szCs w:val="16"/>
          <w:lang w:val="de-DE"/>
        </w:rPr>
        <w:t>–</w:t>
      </w:r>
      <w:r w:rsidRPr="00117AD4">
        <w:rPr>
          <w:rStyle w:val="Lbjegyzet-hivatkozs"/>
          <w:sz w:val="16"/>
          <w:szCs w:val="16"/>
          <w:vertAlign w:val="baseline"/>
          <w:lang w:val="de-DE"/>
        </w:rPr>
        <w:t xml:space="preserve"> Radio Spectum Policy Programme,</w:t>
      </w:r>
      <w:r w:rsidRPr="00117AD4">
        <w:rPr>
          <w:sz w:val="16"/>
          <w:szCs w:val="16"/>
          <w:lang w:val="de-DE"/>
        </w:rPr>
        <w:t xml:space="preserve"> RSPP</w:t>
      </w:r>
    </w:p>
  </w:footnote>
  <w:footnote w:id="6">
    <w:p w14:paraId="35B7CB40" w14:textId="77777777" w:rsidR="001D2AD7" w:rsidRPr="003355EA" w:rsidRDefault="001D2AD7">
      <w:pPr>
        <w:pStyle w:val="Lbjegyzetszveg"/>
        <w:rPr>
          <w:sz w:val="16"/>
          <w:szCs w:val="16"/>
        </w:rPr>
      </w:pPr>
      <w:r>
        <w:rPr>
          <w:rStyle w:val="Lbjegyzet-hivatkozs"/>
          <w:sz w:val="16"/>
          <w:szCs w:val="16"/>
          <w:lang w:val="en-GB"/>
        </w:rPr>
        <w:footnoteRef/>
      </w:r>
      <w:r>
        <w:rPr>
          <w:sz w:val="16"/>
          <w:szCs w:val="16"/>
          <w:lang w:val="en-GB"/>
        </w:rPr>
        <w:t xml:space="preserve"> Commission Implementing Decisions 2014/641/EU and 2016/339/EU</w:t>
      </w:r>
    </w:p>
  </w:footnote>
  <w:footnote w:id="7">
    <w:p w14:paraId="66FD2C91" w14:textId="77777777" w:rsidR="001D2AD7" w:rsidRPr="003355EA" w:rsidRDefault="001D2AD7">
      <w:pPr>
        <w:pStyle w:val="Lbjegyzetszveg"/>
        <w:rPr>
          <w:sz w:val="16"/>
        </w:rPr>
      </w:pPr>
      <w:r>
        <w:rPr>
          <w:rStyle w:val="Lbjegyzet-hivatkozs"/>
          <w:sz w:val="16"/>
          <w:lang w:val="en-GB"/>
        </w:rPr>
        <w:footnoteRef/>
      </w:r>
      <w:r>
        <w:rPr>
          <w:sz w:val="16"/>
          <w:lang w:val="en-GB"/>
        </w:rPr>
        <w:t>Radio Spectrum Policy Group</w:t>
      </w:r>
    </w:p>
  </w:footnote>
  <w:footnote w:id="8">
    <w:p w14:paraId="19A39A1C" w14:textId="77777777" w:rsidR="001D2AD7" w:rsidRPr="00CB7D6D" w:rsidRDefault="001D2AD7" w:rsidP="00C05447">
      <w:pPr>
        <w:pStyle w:val="Lbjegyzetszveg"/>
        <w:rPr>
          <w:rStyle w:val="Lbjegyzet-hivatkozs"/>
          <w:sz w:val="16"/>
          <w:szCs w:val="16"/>
          <w:vertAlign w:val="baseline"/>
        </w:rPr>
      </w:pPr>
      <w:r>
        <w:rPr>
          <w:rStyle w:val="Lbjegyzet-hivatkozs"/>
          <w:sz w:val="16"/>
          <w:lang w:val="en-GB"/>
        </w:rPr>
        <w:footnoteRef/>
      </w:r>
      <w:r>
        <w:rPr>
          <w:lang w:val="en-GB"/>
        </w:rPr>
        <w:t xml:space="preserve"> </w:t>
      </w:r>
      <w:r>
        <w:rPr>
          <w:rStyle w:val="Lbjegyzet-hivatkozs"/>
          <w:sz w:val="16"/>
          <w:szCs w:val="16"/>
          <w:vertAlign w:val="baseline"/>
          <w:lang w:val="en-GB"/>
        </w:rPr>
        <w:t>EC, DG-CONNECT (1103207): „Mandate to CEPT to develop harmonised technical conditions for the 2300-2400 MHz ('2.3 GHz') frequency band in the EU for the provision of wireless broadband electronic communications services”, (2014.03.)</w:t>
      </w:r>
      <w:r>
        <w:rPr>
          <w:lang w:val="en-GB"/>
        </w:rPr>
        <w:t xml:space="preserve"> </w:t>
      </w:r>
      <w:hyperlink r:id="rId1" w:history="1">
        <w:r>
          <w:rPr>
            <w:rStyle w:val="Hiperhivatkozs"/>
            <w:sz w:val="16"/>
            <w:szCs w:val="16"/>
            <w:lang w:val="en-GB"/>
          </w:rPr>
          <w:t>https://ec.europa.eu/digital-single-market/en/news/radio-spectrum-cept-mandates-0</w:t>
        </w:r>
      </w:hyperlink>
      <w:r>
        <w:rPr>
          <w:sz w:val="16"/>
          <w:szCs w:val="16"/>
          <w:lang w:val="en-GB"/>
        </w:rPr>
        <w:t xml:space="preserve">  </w:t>
      </w:r>
    </w:p>
  </w:footnote>
  <w:footnote w:id="9">
    <w:p w14:paraId="345BD913" w14:textId="77777777" w:rsidR="001D2AD7" w:rsidRDefault="001D2AD7">
      <w:pPr>
        <w:pStyle w:val="Lbjegyzetszveg"/>
      </w:pPr>
      <w:r>
        <w:rPr>
          <w:rStyle w:val="Lbjegyzet-hivatkozs"/>
          <w:lang w:val="en-GB"/>
        </w:rPr>
        <w:footnoteRef/>
      </w:r>
      <w:r>
        <w:rPr>
          <w:lang w:val="en-GB"/>
        </w:rPr>
        <w:t xml:space="preserve"> </w:t>
      </w:r>
      <w:r>
        <w:rPr>
          <w:rStyle w:val="Lbjegyzet-hivatkozs"/>
          <w:sz w:val="16"/>
          <w:szCs w:val="16"/>
          <w:vertAlign w:val="baseline"/>
          <w:lang w:val="en-GB"/>
        </w:rPr>
        <w:t>Electronic Communications Committee</w:t>
      </w:r>
    </w:p>
  </w:footnote>
  <w:footnote w:id="10">
    <w:p w14:paraId="42A36A85" w14:textId="77777777" w:rsidR="001D2AD7" w:rsidRPr="005A027E" w:rsidRDefault="001D2AD7" w:rsidP="00C05447">
      <w:pPr>
        <w:pStyle w:val="Lbjegyzetszveg"/>
        <w:rPr>
          <w:sz w:val="16"/>
          <w:szCs w:val="16"/>
        </w:rPr>
      </w:pPr>
      <w:r>
        <w:rPr>
          <w:rStyle w:val="Lbjegyzet-hivatkozs"/>
          <w:sz w:val="16"/>
          <w:szCs w:val="16"/>
          <w:lang w:val="en-GB"/>
        </w:rPr>
        <w:footnoteRef/>
      </w:r>
      <w:r>
        <w:rPr>
          <w:sz w:val="16"/>
          <w:szCs w:val="16"/>
          <w:lang w:val="en-GB"/>
        </w:rPr>
        <w:t xml:space="preserve"> New Radio</w:t>
      </w:r>
    </w:p>
  </w:footnote>
  <w:footnote w:id="11">
    <w:p w14:paraId="123A4823" w14:textId="77777777" w:rsidR="001D2AD7" w:rsidRPr="003355EA" w:rsidRDefault="001D2AD7">
      <w:pPr>
        <w:pStyle w:val="Lbjegyzetszveg"/>
        <w:rPr>
          <w:sz w:val="16"/>
        </w:rPr>
      </w:pPr>
      <w:r>
        <w:rPr>
          <w:rStyle w:val="Lbjegyzet-hivatkozs"/>
          <w:sz w:val="16"/>
          <w:lang w:val="en-GB"/>
        </w:rPr>
        <w:footnoteRef/>
      </w:r>
      <w:r>
        <w:rPr>
          <w:sz w:val="16"/>
          <w:lang w:val="en-GB"/>
        </w:rPr>
        <w:t>Unmanned Aerial System</w:t>
      </w:r>
    </w:p>
  </w:footnote>
  <w:footnote w:id="12">
    <w:p w14:paraId="60EE15B1" w14:textId="77777777" w:rsidR="001D2AD7" w:rsidRPr="00EF7841" w:rsidRDefault="001D2AD7" w:rsidP="00CB7D6D">
      <w:pPr>
        <w:pStyle w:val="Irodalomjegyzkfelsorolsnmhh"/>
        <w:numPr>
          <w:ilvl w:val="0"/>
          <w:numId w:val="0"/>
        </w:numPr>
        <w:spacing w:before="120" w:after="0"/>
        <w:rPr>
          <w:sz w:val="16"/>
          <w:szCs w:val="16"/>
        </w:rPr>
      </w:pPr>
      <w:r>
        <w:rPr>
          <w:rStyle w:val="Lbjegyzet-hivatkozs"/>
          <w:sz w:val="16"/>
          <w:szCs w:val="16"/>
          <w:lang w:val="en-GB"/>
        </w:rPr>
        <w:footnoteRef/>
      </w:r>
      <w:r>
        <w:rPr>
          <w:sz w:val="16"/>
          <w:szCs w:val="16"/>
          <w:lang w:val="en-GB"/>
        </w:rPr>
        <w:t xml:space="preserve"> ITU-R Recommendation ITU-R M.1036-6: </w:t>
      </w:r>
      <w:r>
        <w:rPr>
          <w:rFonts w:ascii="Arial" w:hAnsi="Arial"/>
          <w:sz w:val="16"/>
          <w:szCs w:val="16"/>
          <w:lang w:val="en-GB"/>
        </w:rPr>
        <w:t>Frequency arrangements for implementation of the terrestrial component of International Mobile Telecommunications in the bands identified for IMT in the Radio Regulations (10/2019)</w:t>
      </w:r>
    </w:p>
  </w:footnote>
  <w:footnote w:id="13">
    <w:p w14:paraId="28C3233C" w14:textId="77777777" w:rsidR="001D2AD7" w:rsidRPr="00EF7841" w:rsidRDefault="001D2AD7" w:rsidP="00227955">
      <w:pPr>
        <w:pStyle w:val="Lbjegyzetszveg"/>
        <w:rPr>
          <w:sz w:val="16"/>
          <w:szCs w:val="16"/>
        </w:rPr>
      </w:pPr>
      <w:r>
        <w:rPr>
          <w:rStyle w:val="Lbjegyzet-hivatkozs"/>
          <w:sz w:val="16"/>
          <w:szCs w:val="16"/>
          <w:lang w:val="en-GB"/>
        </w:rPr>
        <w:footnoteRef/>
      </w:r>
      <w:r>
        <w:rPr>
          <w:sz w:val="16"/>
          <w:szCs w:val="16"/>
          <w:lang w:val="en-GB"/>
        </w:rPr>
        <w:t xml:space="preserve"> International Mobile Telecommunication </w:t>
      </w:r>
    </w:p>
  </w:footnote>
  <w:footnote w:id="14">
    <w:p w14:paraId="612B78E8" w14:textId="77777777" w:rsidR="001D2AD7" w:rsidRPr="00EF7841" w:rsidRDefault="001D2AD7" w:rsidP="00CB7D6D">
      <w:pPr>
        <w:pStyle w:val="Irodalomjegyzkfelsorolsnmhh"/>
        <w:numPr>
          <w:ilvl w:val="0"/>
          <w:numId w:val="0"/>
        </w:numPr>
        <w:spacing w:before="120" w:after="0"/>
        <w:rPr>
          <w:sz w:val="16"/>
          <w:szCs w:val="16"/>
        </w:rPr>
      </w:pPr>
      <w:r>
        <w:rPr>
          <w:rStyle w:val="Lbjegyzet-hivatkozs"/>
          <w:sz w:val="16"/>
          <w:szCs w:val="16"/>
          <w:lang w:val="en-GB"/>
        </w:rPr>
        <w:footnoteRef/>
      </w:r>
      <w:r>
        <w:rPr>
          <w:sz w:val="16"/>
          <w:szCs w:val="16"/>
          <w:lang w:val="en-GB"/>
        </w:rPr>
        <w:t xml:space="preserve"> ITU-R Report ITU-R SM.2404-0: Regulatory tools to support enhanced shared use of the spectrum (2017.06.) </w:t>
      </w:r>
    </w:p>
  </w:footnote>
  <w:footnote w:id="15">
    <w:p w14:paraId="5BCA3A64" w14:textId="77777777" w:rsidR="001D2AD7" w:rsidRPr="004E2603" w:rsidRDefault="001D2AD7" w:rsidP="00CB7D6D">
      <w:pPr>
        <w:pStyle w:val="Irodalomjegyzkfelsorolsnmhh"/>
        <w:numPr>
          <w:ilvl w:val="0"/>
          <w:numId w:val="0"/>
        </w:numPr>
        <w:spacing w:before="120" w:after="0"/>
        <w:rPr>
          <w:sz w:val="16"/>
          <w:szCs w:val="16"/>
        </w:rPr>
      </w:pPr>
      <w:r>
        <w:rPr>
          <w:rStyle w:val="Lbjegyzet-hivatkozs"/>
          <w:sz w:val="16"/>
          <w:szCs w:val="16"/>
          <w:lang w:val="en-GB"/>
        </w:rPr>
        <w:footnoteRef/>
      </w:r>
      <w:r>
        <w:rPr>
          <w:sz w:val="16"/>
          <w:szCs w:val="16"/>
          <w:lang w:val="en-GB"/>
        </w:rPr>
        <w:t xml:space="preserve"> ECC/DEC/(14)02: Harmonised technical and regulatory conditions for the use of the band 2300-2400 MHz for Mobile/Fixed Communications Networks (MFCN) </w:t>
      </w:r>
    </w:p>
  </w:footnote>
  <w:footnote w:id="16">
    <w:p w14:paraId="782EED8F" w14:textId="77777777" w:rsidR="001D2AD7" w:rsidRPr="004E2603" w:rsidRDefault="001D2AD7" w:rsidP="00227955">
      <w:pPr>
        <w:pStyle w:val="Lbjegyzetszveg"/>
        <w:rPr>
          <w:sz w:val="16"/>
          <w:szCs w:val="16"/>
        </w:rPr>
      </w:pPr>
      <w:r>
        <w:rPr>
          <w:rStyle w:val="Lbjegyzet-hivatkozs"/>
          <w:sz w:val="16"/>
          <w:szCs w:val="16"/>
          <w:lang w:val="en-GB"/>
        </w:rPr>
        <w:footnoteRef/>
      </w:r>
      <w:r>
        <w:rPr>
          <w:sz w:val="16"/>
          <w:szCs w:val="16"/>
          <w:lang w:val="en-GB"/>
        </w:rPr>
        <w:t xml:space="preserve"> wireless broadband</w:t>
      </w:r>
    </w:p>
  </w:footnote>
  <w:footnote w:id="17">
    <w:p w14:paraId="3B5C81FB" w14:textId="77777777" w:rsidR="001D2AD7" w:rsidRPr="004E2603" w:rsidRDefault="001D2AD7" w:rsidP="00D04CAD">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ECC Report 172: Broadband Wireless Systems Usage in 2300-2400 MHz (2012.03.) </w:t>
      </w:r>
    </w:p>
  </w:footnote>
  <w:footnote w:id="18">
    <w:p w14:paraId="66F35DE9" w14:textId="77777777" w:rsidR="001D2AD7" w:rsidRPr="004E2603" w:rsidRDefault="001D2AD7" w:rsidP="00D04CAD">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ERC/REC/(14)04: Cross-border coordination for mobile/fixed communications networks (MFCN) and between MFCN and other systems in the frequency band 2300-2400 MHz (2014.05.30.) </w:t>
      </w:r>
    </w:p>
  </w:footnote>
  <w:footnote w:id="19">
    <w:p w14:paraId="2166AAC8" w14:textId="77777777" w:rsidR="001D2AD7" w:rsidRPr="004E2603" w:rsidRDefault="001D2AD7" w:rsidP="00D04CAD">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ECC Report 205: Licensed Shared Access (LSA), CEPT, (2014.02.) </w:t>
      </w:r>
    </w:p>
  </w:footnote>
  <w:footnote w:id="20">
    <w:p w14:paraId="7AB28D26" w14:textId="77777777" w:rsidR="001D2AD7" w:rsidRDefault="001D2AD7" w:rsidP="003D1D80">
      <w:pPr>
        <w:pStyle w:val="Irodalomjegyzkfelsorolsnmhh"/>
        <w:numPr>
          <w:ilvl w:val="0"/>
          <w:numId w:val="0"/>
        </w:numPr>
        <w:spacing w:after="0" w:line="240" w:lineRule="auto"/>
      </w:pPr>
      <w:r>
        <w:rPr>
          <w:rStyle w:val="Lbjegyzet-hivatkozs"/>
          <w:sz w:val="16"/>
          <w:szCs w:val="16"/>
          <w:lang w:val="en-GB"/>
        </w:rPr>
        <w:footnoteRef/>
      </w:r>
      <w:r>
        <w:rPr>
          <w:sz w:val="16"/>
          <w:szCs w:val="16"/>
          <w:lang w:val="en-GB"/>
        </w:rPr>
        <w:t xml:space="preserve"> ECC/REC/(15)04: Guidance for the implementation of a sharing framework between MFCN and PMSE within 2300-2400 MHz (2015.07.03.) </w:t>
      </w:r>
    </w:p>
  </w:footnote>
  <w:footnote w:id="21">
    <w:p w14:paraId="12795E4F" w14:textId="77777777" w:rsidR="001D2AD7" w:rsidRPr="004E2603" w:rsidRDefault="001D2AD7" w:rsidP="005D6DE4">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CEPT Report 55: Technical conditions for wireless broadband usage of the 2300-2400 MHz frequency band. </w:t>
      </w:r>
    </w:p>
  </w:footnote>
  <w:footnote w:id="22">
    <w:p w14:paraId="5523A635" w14:textId="77777777" w:rsidR="001D2AD7" w:rsidRPr="004E2603" w:rsidRDefault="001D2AD7" w:rsidP="005D6DE4">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CEPT Report 56: Technological and regulatory options facilitating sharing between Wireless broadband applications (WBB) and the relevant incumbent services/applications in the 2.3 GHz band, CEPT, March 2015 </w:t>
      </w:r>
    </w:p>
  </w:footnote>
  <w:footnote w:id="23">
    <w:p w14:paraId="53AC3138" w14:textId="77777777" w:rsidR="001D2AD7" w:rsidRPr="004E2603" w:rsidRDefault="001D2AD7" w:rsidP="005D6DE4">
      <w:pPr>
        <w:pStyle w:val="Irodalomjegyzkfelsorolsnmhh"/>
        <w:numPr>
          <w:ilvl w:val="0"/>
          <w:numId w:val="0"/>
        </w:numPr>
        <w:spacing w:after="0" w:line="240" w:lineRule="auto"/>
        <w:rPr>
          <w:sz w:val="16"/>
          <w:szCs w:val="16"/>
        </w:rPr>
      </w:pPr>
      <w:r>
        <w:rPr>
          <w:rStyle w:val="Lbjegyzet-hivatkozs"/>
          <w:sz w:val="16"/>
          <w:szCs w:val="16"/>
          <w:lang w:val="en-GB"/>
        </w:rPr>
        <w:footnoteRef/>
      </w:r>
      <w:r>
        <w:rPr>
          <w:sz w:val="16"/>
          <w:szCs w:val="16"/>
          <w:lang w:val="en-GB"/>
        </w:rPr>
        <w:t xml:space="preserve"> CEPT Report 58: Technical sharing solutions for the shared use of the 2 300</w:t>
      </w:r>
      <w:r>
        <w:rPr>
          <w:sz w:val="16"/>
          <w:szCs w:val="16"/>
          <w:lang w:val="en-GB"/>
        </w:rPr>
        <w:noBreakHyphen/>
        <w:t xml:space="preserve">2 400 MHz band for WBB and PMSE, CEPT, May 2015 </w:t>
      </w:r>
    </w:p>
  </w:footnote>
  <w:footnote w:id="24">
    <w:p w14:paraId="0FE915C0" w14:textId="77777777" w:rsidR="001D2AD7" w:rsidRPr="004E2603" w:rsidRDefault="001D2AD7" w:rsidP="00B200DF">
      <w:pPr>
        <w:pStyle w:val="Lbjegyzetszveg"/>
        <w:rPr>
          <w:sz w:val="16"/>
          <w:szCs w:val="16"/>
        </w:rPr>
      </w:pPr>
      <w:r>
        <w:rPr>
          <w:rStyle w:val="Lbjegyzet-hivatkozs"/>
          <w:sz w:val="16"/>
          <w:szCs w:val="16"/>
          <w:lang w:val="en-GB"/>
        </w:rPr>
        <w:footnoteRef/>
      </w:r>
      <w:r>
        <w:rPr>
          <w:sz w:val="16"/>
          <w:szCs w:val="16"/>
          <w:lang w:val="en-GB"/>
        </w:rPr>
        <w:t xml:space="preserve"> RSPG13-538: Opinion on Licensed Shared Access,  Radio Spectrum Policy Group, November 2013 </w:t>
      </w:r>
      <w:hyperlink r:id="rId2" w:history="1">
        <w:r>
          <w:rPr>
            <w:rStyle w:val="Hiperhivatkozs"/>
            <w:sz w:val="16"/>
            <w:szCs w:val="16"/>
            <w:lang w:val="en-GB"/>
          </w:rPr>
          <w:t>https://circabc.europa.eu/sd/d/3958ecef-c25e-4e4f-8e3b-469d1db6bc07/RSPG13-538_RSPG-Opinion-on-LSA%20.pdf</w:t>
        </w:r>
      </w:hyperlink>
      <w:r>
        <w:rPr>
          <w:sz w:val="16"/>
          <w:szCs w:val="16"/>
          <w:lang w:val="en-GB"/>
        </w:rPr>
        <w:t xml:space="preserve"> </w:t>
      </w:r>
    </w:p>
  </w:footnote>
  <w:footnote w:id="25">
    <w:p w14:paraId="7BF42982" w14:textId="77777777" w:rsidR="001D2AD7" w:rsidRPr="004E2603" w:rsidRDefault="001D2AD7">
      <w:pPr>
        <w:pStyle w:val="Lbjegyzetszveg"/>
        <w:rPr>
          <w:sz w:val="16"/>
          <w:szCs w:val="16"/>
        </w:rPr>
      </w:pPr>
      <w:r>
        <w:rPr>
          <w:rStyle w:val="Lbjegyzet-hivatkozs"/>
          <w:sz w:val="16"/>
          <w:szCs w:val="16"/>
          <w:lang w:val="en-GB"/>
        </w:rPr>
        <w:footnoteRef/>
      </w:r>
      <w:r>
        <w:rPr>
          <w:sz w:val="16"/>
          <w:szCs w:val="16"/>
          <w:lang w:val="en-GB"/>
        </w:rPr>
        <w:t xml:space="preserve"> 3</w:t>
      </w:r>
      <w:r>
        <w:rPr>
          <w:sz w:val="16"/>
          <w:szCs w:val="16"/>
          <w:vertAlign w:val="superscript"/>
          <w:lang w:val="en-GB"/>
        </w:rPr>
        <w:t xml:space="preserve">rd </w:t>
      </w:r>
      <w:r>
        <w:rPr>
          <w:sz w:val="16"/>
          <w:szCs w:val="16"/>
          <w:lang w:val="en-GB"/>
        </w:rPr>
        <w:t>Generation Partnership Project</w:t>
      </w:r>
    </w:p>
  </w:footnote>
  <w:footnote w:id="26">
    <w:p w14:paraId="60E95A5C" w14:textId="77777777" w:rsidR="001D2AD7" w:rsidRPr="004E2603" w:rsidRDefault="001D2AD7" w:rsidP="001307B1">
      <w:pPr>
        <w:pStyle w:val="Lbjegyzetszveg"/>
        <w:rPr>
          <w:sz w:val="16"/>
          <w:szCs w:val="16"/>
        </w:rPr>
      </w:pPr>
      <w:r>
        <w:rPr>
          <w:rStyle w:val="Lbjegyzet-hivatkozs"/>
          <w:sz w:val="16"/>
          <w:szCs w:val="16"/>
          <w:lang w:val="en-GB"/>
        </w:rPr>
        <w:footnoteRef/>
      </w:r>
      <w:r>
        <w:rPr>
          <w:sz w:val="16"/>
          <w:szCs w:val="16"/>
          <w:lang w:val="en-GB"/>
        </w:rPr>
        <w:t xml:space="preserve"> 3GPP TS 36.104 V8.1.0 (2008-03).: 3rd Generation Partnership Project; Technical Specification Group Radio Access Network; Evolved Universal Terrestrial Radio Access (E-UTRA); Base Station (BS) radio transmission and reception (Release 8), March 2008</w:t>
      </w:r>
      <w:hyperlink r:id="rId3" w:history="1">
        <w:r>
          <w:rPr>
            <w:rStyle w:val="Hiperhivatkozs"/>
            <w:sz w:val="16"/>
            <w:szCs w:val="16"/>
            <w:lang w:val="en-GB"/>
          </w:rPr>
          <w:t>https://portal.3gpp.org/ChangeRequests.aspx?q=1&amp;versionId=39719&amp;release=182</w:t>
        </w:r>
      </w:hyperlink>
      <w:r>
        <w:rPr>
          <w:sz w:val="16"/>
          <w:szCs w:val="16"/>
          <w:lang w:val="en-GB"/>
        </w:rPr>
        <w:t xml:space="preserve"> </w:t>
      </w:r>
    </w:p>
  </w:footnote>
  <w:footnote w:id="27">
    <w:p w14:paraId="733C5841" w14:textId="77777777" w:rsidR="001D2AD7" w:rsidRPr="004E2603" w:rsidRDefault="001D2AD7" w:rsidP="00473D30">
      <w:pPr>
        <w:pStyle w:val="Lbjegyzetszveg"/>
        <w:rPr>
          <w:sz w:val="16"/>
          <w:szCs w:val="16"/>
        </w:rPr>
      </w:pPr>
      <w:r>
        <w:rPr>
          <w:rStyle w:val="Lbjegyzet-hivatkozs"/>
          <w:sz w:val="16"/>
          <w:szCs w:val="16"/>
          <w:lang w:val="en-GB"/>
        </w:rPr>
        <w:footnoteRef/>
      </w:r>
      <w:r>
        <w:rPr>
          <w:sz w:val="16"/>
          <w:szCs w:val="16"/>
          <w:lang w:val="en-GB"/>
        </w:rPr>
        <w:t xml:space="preserve"> Short Range Device, SRD</w:t>
      </w:r>
    </w:p>
  </w:footnote>
  <w:footnote w:id="28">
    <w:p w14:paraId="6D12B7D6" w14:textId="77777777" w:rsidR="001D2AD7" w:rsidRPr="00E20B55" w:rsidRDefault="001D2AD7">
      <w:pPr>
        <w:pStyle w:val="Lbjegyzetszveg"/>
        <w:rPr>
          <w:sz w:val="16"/>
        </w:rPr>
      </w:pPr>
      <w:r>
        <w:rPr>
          <w:rStyle w:val="Lbjegyzet-hivatkozs"/>
          <w:sz w:val="16"/>
          <w:lang w:val="en-GB"/>
        </w:rPr>
        <w:footnoteRef/>
      </w:r>
      <w:r>
        <w:rPr>
          <w:sz w:val="16"/>
          <w:lang w:val="en-GB"/>
        </w:rPr>
        <w:t xml:space="preserve"> Ultra-Wideband</w:t>
      </w:r>
    </w:p>
  </w:footnote>
  <w:footnote w:id="29">
    <w:p w14:paraId="02238143" w14:textId="77777777" w:rsidR="001D2AD7" w:rsidRDefault="001D2AD7">
      <w:pPr>
        <w:pStyle w:val="Lbjegyzetszveg"/>
      </w:pPr>
      <w:r>
        <w:rPr>
          <w:rStyle w:val="Lbjegyzet-hivatkozs"/>
          <w:sz w:val="16"/>
          <w:lang w:val="en-GB"/>
        </w:rPr>
        <w:footnoteRef/>
      </w:r>
      <w:r>
        <w:rPr>
          <w:sz w:val="16"/>
          <w:lang w:val="en-GB"/>
        </w:rPr>
        <w:t xml:space="preserve"> Ground Probing Radar/Wall Probing Radar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18F5" w14:textId="77777777" w:rsidR="001D2AD7" w:rsidRDefault="001D2AD7">
    <w:pPr>
      <w:pStyle w:val="lfej"/>
    </w:pPr>
    <w:r>
      <w:rPr>
        <w:noProof/>
        <w:lang w:eastAsia="hu-HU"/>
      </w:rPr>
      <w:drawing>
        <wp:anchor distT="0" distB="0" distL="114300" distR="114300" simplePos="0" relativeHeight="251662848" behindDoc="0" locked="0" layoutInCell="1" allowOverlap="1" wp14:anchorId="1BCB8738" wp14:editId="6A0F219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0A60" w14:textId="77777777" w:rsidR="001D2AD7" w:rsidRDefault="001D2AD7">
    <w:pPr>
      <w:pStyle w:val="lfej"/>
    </w:pPr>
    <w:r>
      <w:rPr>
        <w:noProof/>
        <w:lang w:eastAsia="hu-HU"/>
      </w:rPr>
      <w:drawing>
        <wp:anchor distT="0" distB="0" distL="114300" distR="114300" simplePos="0" relativeHeight="251661824" behindDoc="0" locked="0" layoutInCell="1" allowOverlap="1" wp14:anchorId="6189A607" wp14:editId="78B34F81">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90F7" w14:textId="77777777" w:rsidR="001D2AD7" w:rsidRDefault="001D2AD7">
    <w:pPr>
      <w:pStyle w:val="lfej"/>
    </w:pPr>
    <w:r>
      <w:rPr>
        <w:noProof/>
        <w:lang w:eastAsia="hu-HU"/>
      </w:rPr>
      <w:drawing>
        <wp:anchor distT="0" distB="0" distL="114300" distR="114300" simplePos="0" relativeHeight="251660800" behindDoc="0" locked="0" layoutInCell="1" allowOverlap="1" wp14:anchorId="11FDF676" wp14:editId="56E4C43D">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871D" w14:textId="77777777" w:rsidR="001D2AD7" w:rsidRDefault="001D2AD7">
    <w:pPr>
      <w:pStyle w:val="lfej"/>
    </w:pPr>
    <w:r>
      <w:rPr>
        <w:noProof/>
        <w:lang w:eastAsia="hu-HU"/>
      </w:rPr>
      <w:drawing>
        <wp:anchor distT="0" distB="0" distL="114300" distR="114300" simplePos="0" relativeHeight="251664896" behindDoc="0" locked="0" layoutInCell="1" allowOverlap="1" wp14:anchorId="6C325779" wp14:editId="6252BC42">
          <wp:simplePos x="0" y="0"/>
          <wp:positionH relativeFrom="margin">
            <wp:posOffset>-907225</wp:posOffset>
          </wp:positionH>
          <wp:positionV relativeFrom="page">
            <wp:posOffset>-151130</wp:posOffset>
          </wp:positionV>
          <wp:extent cx="7529195" cy="1077595"/>
          <wp:effectExtent l="0" t="0" r="0" b="0"/>
          <wp:wrapTopAndBottom/>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1B6B129D"/>
    <w:multiLevelType w:val="hybridMultilevel"/>
    <w:tmpl w:val="554CBE6E"/>
    <w:lvl w:ilvl="0" w:tplc="4D004BD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784372"/>
    <w:multiLevelType w:val="hybridMultilevel"/>
    <w:tmpl w:val="4958322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8A3C1C"/>
    <w:multiLevelType w:val="multilevel"/>
    <w:tmpl w:val="8C422B7E"/>
    <w:lvl w:ilvl="0">
      <w:start w:val="1"/>
      <w:numFmt w:val="decimal"/>
      <w:pStyle w:val="Cmsor1szmozottnmhh"/>
      <w:lvlText w:val="%1"/>
      <w:lvlJc w:val="left"/>
      <w:pPr>
        <w:ind w:left="4685" w:hanging="432"/>
      </w:pPr>
    </w:lvl>
    <w:lvl w:ilvl="1">
      <w:start w:val="1"/>
      <w:numFmt w:val="decimal"/>
      <w:pStyle w:val="Cmsor2szmozottnmhh"/>
      <w:lvlText w:val="%1.%2"/>
      <w:lvlJc w:val="left"/>
      <w:pPr>
        <w:ind w:left="3270" w:hanging="576"/>
      </w:pPr>
    </w:lvl>
    <w:lvl w:ilvl="2">
      <w:start w:val="1"/>
      <w:numFmt w:val="decimal"/>
      <w:pStyle w:val="Cmsor3szmozottnmhh"/>
      <w:lvlText w:val="%1.%2.%3"/>
      <w:lvlJc w:val="left"/>
      <w:pPr>
        <w:ind w:left="720" w:hanging="720"/>
      </w:pPr>
    </w:lvl>
    <w:lvl w:ilvl="3">
      <w:start w:val="1"/>
      <w:numFmt w:val="decimal"/>
      <w:pStyle w:val="Cmsor4szmozottnmhh"/>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0365EB"/>
    <w:multiLevelType w:val="hybridMultilevel"/>
    <w:tmpl w:val="4872B43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0"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0B8785E"/>
    <w:multiLevelType w:val="hybridMultilevel"/>
    <w:tmpl w:val="191EFBB0"/>
    <w:lvl w:ilvl="0" w:tplc="F7147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0A3446"/>
    <w:multiLevelType w:val="hybridMultilevel"/>
    <w:tmpl w:val="467206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EA07EA"/>
    <w:multiLevelType w:val="hybridMultilevel"/>
    <w:tmpl w:val="4C245B0E"/>
    <w:lvl w:ilvl="0" w:tplc="1666B5F0">
      <w:numFmt w:val="bullet"/>
      <w:lvlText w:val="-"/>
      <w:lvlJc w:val="left"/>
      <w:pPr>
        <w:ind w:left="717" w:hanging="360"/>
      </w:pPr>
      <w:rPr>
        <w:rFonts w:ascii="Arial" w:eastAsiaTheme="minorHAnsi" w:hAnsi="Arial" w:cs="Aria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6"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C15CF4"/>
    <w:multiLevelType w:val="hybridMultilevel"/>
    <w:tmpl w:val="96D4A80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1" w15:restartNumberingAfterBreak="0">
    <w:nsid w:val="7F245715"/>
    <w:multiLevelType w:val="hybridMultilevel"/>
    <w:tmpl w:val="1B2A9222"/>
    <w:lvl w:ilvl="0" w:tplc="86DE814E">
      <w:start w:val="2019"/>
      <w:numFmt w:val="bullet"/>
      <w:lvlText w:val="-"/>
      <w:lvlJc w:val="left"/>
      <w:pPr>
        <w:ind w:left="717" w:hanging="360"/>
      </w:pPr>
      <w:rPr>
        <w:rFonts w:ascii="Arial" w:eastAsiaTheme="minorHAnsi" w:hAnsi="Arial" w:cs="Aria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num w:numId="1">
    <w:abstractNumId w:val="0"/>
  </w:num>
  <w:num w:numId="2">
    <w:abstractNumId w:val="16"/>
  </w:num>
  <w:num w:numId="3">
    <w:abstractNumId w:val="7"/>
  </w:num>
  <w:num w:numId="4">
    <w:abstractNumId w:val="3"/>
  </w:num>
  <w:num w:numId="5">
    <w:abstractNumId w:val="4"/>
  </w:num>
  <w:num w:numId="6">
    <w:abstractNumId w:val="6"/>
  </w:num>
  <w:num w:numId="7">
    <w:abstractNumId w:val="10"/>
  </w:num>
  <w:num w:numId="8">
    <w:abstractNumId w:val="20"/>
  </w:num>
  <w:num w:numId="9">
    <w:abstractNumId w:val="11"/>
  </w:num>
  <w:num w:numId="10">
    <w:abstractNumId w:val="12"/>
  </w:num>
  <w:num w:numId="11">
    <w:abstractNumId w:val="4"/>
  </w:num>
  <w:num w:numId="12">
    <w:abstractNumId w:val="11"/>
  </w:num>
  <w:num w:numId="13">
    <w:abstractNumId w:val="4"/>
  </w:num>
  <w:num w:numId="14">
    <w:abstractNumId w:val="4"/>
  </w:num>
  <w:num w:numId="15">
    <w:abstractNumId w:val="4"/>
  </w:num>
  <w:num w:numId="16">
    <w:abstractNumId w:val="15"/>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7"/>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
  </w:num>
  <w:num w:numId="38">
    <w:abstractNumId w:val="9"/>
  </w:num>
  <w:num w:numId="39">
    <w:abstractNumId w:val="4"/>
  </w:num>
  <w:num w:numId="40">
    <w:abstractNumId w:val="4"/>
  </w:num>
  <w:num w:numId="41">
    <w:abstractNumId w:val="4"/>
  </w:num>
  <w:num w:numId="42">
    <w:abstractNumId w:val="4"/>
  </w:num>
  <w:num w:numId="43">
    <w:abstractNumId w:val="4"/>
  </w:num>
  <w:num w:numId="44">
    <w:abstractNumId w:val="18"/>
  </w:num>
  <w:num w:numId="45">
    <w:abstractNumId w:val="8"/>
  </w:num>
  <w:num w:numId="46">
    <w:abstractNumId w:val="5"/>
  </w:num>
  <w:num w:numId="47">
    <w:abstractNumId w:val="19"/>
  </w:num>
  <w:num w:numId="48">
    <w:abstractNumId w:val="13"/>
  </w:num>
  <w:num w:numId="49">
    <w:abstractNumId w:val="21"/>
  </w:num>
  <w:num w:numId="50">
    <w:abstractNumId w:val="14"/>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en-GB"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D4"/>
    <w:rsid w:val="00000E45"/>
    <w:rsid w:val="00013E5D"/>
    <w:rsid w:val="000146CE"/>
    <w:rsid w:val="00015238"/>
    <w:rsid w:val="00016AC3"/>
    <w:rsid w:val="000174DF"/>
    <w:rsid w:val="0001797D"/>
    <w:rsid w:val="00020EB5"/>
    <w:rsid w:val="00022495"/>
    <w:rsid w:val="00022E75"/>
    <w:rsid w:val="00024AFF"/>
    <w:rsid w:val="000273A7"/>
    <w:rsid w:val="00030C37"/>
    <w:rsid w:val="00033171"/>
    <w:rsid w:val="00035AA1"/>
    <w:rsid w:val="00036EE1"/>
    <w:rsid w:val="000409C2"/>
    <w:rsid w:val="000513FC"/>
    <w:rsid w:val="00055684"/>
    <w:rsid w:val="00056D1D"/>
    <w:rsid w:val="000574F6"/>
    <w:rsid w:val="000641A7"/>
    <w:rsid w:val="0006439D"/>
    <w:rsid w:val="0006688E"/>
    <w:rsid w:val="00066E5C"/>
    <w:rsid w:val="00075D1D"/>
    <w:rsid w:val="000778F8"/>
    <w:rsid w:val="000819D4"/>
    <w:rsid w:val="00081DC5"/>
    <w:rsid w:val="000821C9"/>
    <w:rsid w:val="00082D80"/>
    <w:rsid w:val="00083508"/>
    <w:rsid w:val="000836DC"/>
    <w:rsid w:val="00083CE5"/>
    <w:rsid w:val="00085F30"/>
    <w:rsid w:val="000873B5"/>
    <w:rsid w:val="00087A8F"/>
    <w:rsid w:val="000919B8"/>
    <w:rsid w:val="000960D8"/>
    <w:rsid w:val="000967BE"/>
    <w:rsid w:val="000A0E71"/>
    <w:rsid w:val="000A1870"/>
    <w:rsid w:val="000A1FC0"/>
    <w:rsid w:val="000A4819"/>
    <w:rsid w:val="000A735D"/>
    <w:rsid w:val="000B09D1"/>
    <w:rsid w:val="000B45AF"/>
    <w:rsid w:val="000B4AEC"/>
    <w:rsid w:val="000C11AE"/>
    <w:rsid w:val="000C2E34"/>
    <w:rsid w:val="000C6D83"/>
    <w:rsid w:val="000D0922"/>
    <w:rsid w:val="000D0F70"/>
    <w:rsid w:val="000D5A13"/>
    <w:rsid w:val="000E0FE6"/>
    <w:rsid w:val="000E3EBF"/>
    <w:rsid w:val="000E433D"/>
    <w:rsid w:val="000E5962"/>
    <w:rsid w:val="000E6E57"/>
    <w:rsid w:val="000E7AA7"/>
    <w:rsid w:val="000F047E"/>
    <w:rsid w:val="000F0F7B"/>
    <w:rsid w:val="000F38A4"/>
    <w:rsid w:val="000F43AF"/>
    <w:rsid w:val="000F44B7"/>
    <w:rsid w:val="000F481A"/>
    <w:rsid w:val="000F61D3"/>
    <w:rsid w:val="000F6840"/>
    <w:rsid w:val="000F739D"/>
    <w:rsid w:val="000F78B3"/>
    <w:rsid w:val="001003BE"/>
    <w:rsid w:val="00102D54"/>
    <w:rsid w:val="0010514B"/>
    <w:rsid w:val="00107A51"/>
    <w:rsid w:val="001101AF"/>
    <w:rsid w:val="00112DD3"/>
    <w:rsid w:val="001131E2"/>
    <w:rsid w:val="00114877"/>
    <w:rsid w:val="00114BB3"/>
    <w:rsid w:val="0011720D"/>
    <w:rsid w:val="00117AD4"/>
    <w:rsid w:val="0012048A"/>
    <w:rsid w:val="0012059E"/>
    <w:rsid w:val="00121BE6"/>
    <w:rsid w:val="001234F9"/>
    <w:rsid w:val="00125CAC"/>
    <w:rsid w:val="001307B1"/>
    <w:rsid w:val="00133F71"/>
    <w:rsid w:val="001346DF"/>
    <w:rsid w:val="00135C79"/>
    <w:rsid w:val="00137D5E"/>
    <w:rsid w:val="00141769"/>
    <w:rsid w:val="00141929"/>
    <w:rsid w:val="001426C0"/>
    <w:rsid w:val="00144B8F"/>
    <w:rsid w:val="0014621D"/>
    <w:rsid w:val="00147D80"/>
    <w:rsid w:val="001543D5"/>
    <w:rsid w:val="00160AE9"/>
    <w:rsid w:val="00163C8E"/>
    <w:rsid w:val="001667B5"/>
    <w:rsid w:val="001677DA"/>
    <w:rsid w:val="00167976"/>
    <w:rsid w:val="00172E94"/>
    <w:rsid w:val="001756C3"/>
    <w:rsid w:val="00176364"/>
    <w:rsid w:val="00176539"/>
    <w:rsid w:val="0018360B"/>
    <w:rsid w:val="001848E4"/>
    <w:rsid w:val="00184A51"/>
    <w:rsid w:val="00184E8C"/>
    <w:rsid w:val="00184F2E"/>
    <w:rsid w:val="0018505D"/>
    <w:rsid w:val="00185D0C"/>
    <w:rsid w:val="00186107"/>
    <w:rsid w:val="00186434"/>
    <w:rsid w:val="001916AE"/>
    <w:rsid w:val="0019318C"/>
    <w:rsid w:val="00196D95"/>
    <w:rsid w:val="001A1FEB"/>
    <w:rsid w:val="001A2815"/>
    <w:rsid w:val="001A2F59"/>
    <w:rsid w:val="001A5538"/>
    <w:rsid w:val="001B036D"/>
    <w:rsid w:val="001B4876"/>
    <w:rsid w:val="001B583B"/>
    <w:rsid w:val="001B584F"/>
    <w:rsid w:val="001B78F5"/>
    <w:rsid w:val="001C0D17"/>
    <w:rsid w:val="001C1AF2"/>
    <w:rsid w:val="001C1E25"/>
    <w:rsid w:val="001C3337"/>
    <w:rsid w:val="001C65CF"/>
    <w:rsid w:val="001D1AE2"/>
    <w:rsid w:val="001D2AD7"/>
    <w:rsid w:val="001D35CA"/>
    <w:rsid w:val="001D60F5"/>
    <w:rsid w:val="001D64ED"/>
    <w:rsid w:val="001E07A0"/>
    <w:rsid w:val="001E1B73"/>
    <w:rsid w:val="001E264C"/>
    <w:rsid w:val="001E27F0"/>
    <w:rsid w:val="001E3A86"/>
    <w:rsid w:val="001E56BE"/>
    <w:rsid w:val="001E6472"/>
    <w:rsid w:val="001F027F"/>
    <w:rsid w:val="001F07EA"/>
    <w:rsid w:val="001F0AEC"/>
    <w:rsid w:val="001F2707"/>
    <w:rsid w:val="00203A31"/>
    <w:rsid w:val="00204525"/>
    <w:rsid w:val="00205392"/>
    <w:rsid w:val="00207092"/>
    <w:rsid w:val="0021048F"/>
    <w:rsid w:val="002106B3"/>
    <w:rsid w:val="00210B08"/>
    <w:rsid w:val="002146BC"/>
    <w:rsid w:val="002149E2"/>
    <w:rsid w:val="00216546"/>
    <w:rsid w:val="00217CC3"/>
    <w:rsid w:val="00221308"/>
    <w:rsid w:val="0022198C"/>
    <w:rsid w:val="002228F1"/>
    <w:rsid w:val="002246C2"/>
    <w:rsid w:val="002246EA"/>
    <w:rsid w:val="00227955"/>
    <w:rsid w:val="00230DC2"/>
    <w:rsid w:val="0023110A"/>
    <w:rsid w:val="002327E1"/>
    <w:rsid w:val="002329EB"/>
    <w:rsid w:val="00233018"/>
    <w:rsid w:val="00233AE1"/>
    <w:rsid w:val="00236EA8"/>
    <w:rsid w:val="00237669"/>
    <w:rsid w:val="00243782"/>
    <w:rsid w:val="00252267"/>
    <w:rsid w:val="002536C3"/>
    <w:rsid w:val="00257A26"/>
    <w:rsid w:val="00263505"/>
    <w:rsid w:val="00265750"/>
    <w:rsid w:val="002667F4"/>
    <w:rsid w:val="00270D28"/>
    <w:rsid w:val="00273072"/>
    <w:rsid w:val="00273F93"/>
    <w:rsid w:val="002745C4"/>
    <w:rsid w:val="002829CD"/>
    <w:rsid w:val="00283552"/>
    <w:rsid w:val="00292C54"/>
    <w:rsid w:val="002930CA"/>
    <w:rsid w:val="002942C9"/>
    <w:rsid w:val="0029683D"/>
    <w:rsid w:val="00297B79"/>
    <w:rsid w:val="002A0FEA"/>
    <w:rsid w:val="002A10E8"/>
    <w:rsid w:val="002A2127"/>
    <w:rsid w:val="002A406A"/>
    <w:rsid w:val="002A52DA"/>
    <w:rsid w:val="002A6655"/>
    <w:rsid w:val="002A67F6"/>
    <w:rsid w:val="002B2A3F"/>
    <w:rsid w:val="002C0F34"/>
    <w:rsid w:val="002C22DF"/>
    <w:rsid w:val="002C5905"/>
    <w:rsid w:val="002C6299"/>
    <w:rsid w:val="002C62F9"/>
    <w:rsid w:val="002D0411"/>
    <w:rsid w:val="002D48D3"/>
    <w:rsid w:val="002D510E"/>
    <w:rsid w:val="002D7A7C"/>
    <w:rsid w:val="002E249D"/>
    <w:rsid w:val="002E28F2"/>
    <w:rsid w:val="002E71A9"/>
    <w:rsid w:val="002F09E7"/>
    <w:rsid w:val="002F0AD1"/>
    <w:rsid w:val="002F0D3B"/>
    <w:rsid w:val="002F2C84"/>
    <w:rsid w:val="002F35EB"/>
    <w:rsid w:val="002F63AA"/>
    <w:rsid w:val="002F6B2E"/>
    <w:rsid w:val="00301645"/>
    <w:rsid w:val="00301C8E"/>
    <w:rsid w:val="0030399D"/>
    <w:rsid w:val="00303C56"/>
    <w:rsid w:val="003041AF"/>
    <w:rsid w:val="00306755"/>
    <w:rsid w:val="0031066C"/>
    <w:rsid w:val="003114D0"/>
    <w:rsid w:val="003167CD"/>
    <w:rsid w:val="003203B3"/>
    <w:rsid w:val="00320F6B"/>
    <w:rsid w:val="00322B46"/>
    <w:rsid w:val="00325027"/>
    <w:rsid w:val="003259FF"/>
    <w:rsid w:val="00325D18"/>
    <w:rsid w:val="0033104E"/>
    <w:rsid w:val="003315D5"/>
    <w:rsid w:val="00333729"/>
    <w:rsid w:val="003349CC"/>
    <w:rsid w:val="003355EA"/>
    <w:rsid w:val="00337337"/>
    <w:rsid w:val="00341E58"/>
    <w:rsid w:val="00345412"/>
    <w:rsid w:val="00345418"/>
    <w:rsid w:val="003455E0"/>
    <w:rsid w:val="00346364"/>
    <w:rsid w:val="00352923"/>
    <w:rsid w:val="0035431E"/>
    <w:rsid w:val="003555F8"/>
    <w:rsid w:val="0035725E"/>
    <w:rsid w:val="00361DDB"/>
    <w:rsid w:val="00363C1F"/>
    <w:rsid w:val="003734C3"/>
    <w:rsid w:val="003743B9"/>
    <w:rsid w:val="003824FB"/>
    <w:rsid w:val="00382907"/>
    <w:rsid w:val="0038378B"/>
    <w:rsid w:val="00386FFD"/>
    <w:rsid w:val="003879C9"/>
    <w:rsid w:val="00390673"/>
    <w:rsid w:val="00390F16"/>
    <w:rsid w:val="00396B26"/>
    <w:rsid w:val="0039749E"/>
    <w:rsid w:val="003A0631"/>
    <w:rsid w:val="003A26DF"/>
    <w:rsid w:val="003A3BC0"/>
    <w:rsid w:val="003B163A"/>
    <w:rsid w:val="003B317D"/>
    <w:rsid w:val="003B79C7"/>
    <w:rsid w:val="003C16FC"/>
    <w:rsid w:val="003C1BC4"/>
    <w:rsid w:val="003C516B"/>
    <w:rsid w:val="003C53A3"/>
    <w:rsid w:val="003C73FA"/>
    <w:rsid w:val="003C7433"/>
    <w:rsid w:val="003C7501"/>
    <w:rsid w:val="003D0CB5"/>
    <w:rsid w:val="003D13A7"/>
    <w:rsid w:val="003D1877"/>
    <w:rsid w:val="003D1D80"/>
    <w:rsid w:val="003D4E41"/>
    <w:rsid w:val="003D5D35"/>
    <w:rsid w:val="003E1D0C"/>
    <w:rsid w:val="003E33ED"/>
    <w:rsid w:val="003E71A8"/>
    <w:rsid w:val="003E7791"/>
    <w:rsid w:val="003E78B2"/>
    <w:rsid w:val="003E7D2F"/>
    <w:rsid w:val="003F1701"/>
    <w:rsid w:val="003F2E7F"/>
    <w:rsid w:val="003F41B4"/>
    <w:rsid w:val="003F5828"/>
    <w:rsid w:val="00400A76"/>
    <w:rsid w:val="00400C8D"/>
    <w:rsid w:val="004011EB"/>
    <w:rsid w:val="00404A3C"/>
    <w:rsid w:val="00405357"/>
    <w:rsid w:val="00412143"/>
    <w:rsid w:val="00416809"/>
    <w:rsid w:val="00420E09"/>
    <w:rsid w:val="00423B27"/>
    <w:rsid w:val="00426436"/>
    <w:rsid w:val="00427D7A"/>
    <w:rsid w:val="00427F71"/>
    <w:rsid w:val="0043182B"/>
    <w:rsid w:val="00434710"/>
    <w:rsid w:val="004363F7"/>
    <w:rsid w:val="004438BF"/>
    <w:rsid w:val="00443EBE"/>
    <w:rsid w:val="00444440"/>
    <w:rsid w:val="0044575E"/>
    <w:rsid w:val="004475AA"/>
    <w:rsid w:val="004501FE"/>
    <w:rsid w:val="00453D10"/>
    <w:rsid w:val="00455064"/>
    <w:rsid w:val="00455182"/>
    <w:rsid w:val="00455EB8"/>
    <w:rsid w:val="004562D8"/>
    <w:rsid w:val="00456BA9"/>
    <w:rsid w:val="004573D4"/>
    <w:rsid w:val="00460358"/>
    <w:rsid w:val="004618B9"/>
    <w:rsid w:val="00463699"/>
    <w:rsid w:val="00463DF7"/>
    <w:rsid w:val="004661C2"/>
    <w:rsid w:val="00467120"/>
    <w:rsid w:val="00470145"/>
    <w:rsid w:val="0047092E"/>
    <w:rsid w:val="00471F2D"/>
    <w:rsid w:val="00472059"/>
    <w:rsid w:val="00473451"/>
    <w:rsid w:val="00473D30"/>
    <w:rsid w:val="00474CE2"/>
    <w:rsid w:val="004751EA"/>
    <w:rsid w:val="00475E60"/>
    <w:rsid w:val="0047608B"/>
    <w:rsid w:val="00480B4F"/>
    <w:rsid w:val="00484FBD"/>
    <w:rsid w:val="00486B85"/>
    <w:rsid w:val="004920B0"/>
    <w:rsid w:val="004952DB"/>
    <w:rsid w:val="004961DF"/>
    <w:rsid w:val="00496963"/>
    <w:rsid w:val="00496E03"/>
    <w:rsid w:val="004A172B"/>
    <w:rsid w:val="004A6278"/>
    <w:rsid w:val="004A6B59"/>
    <w:rsid w:val="004B04F3"/>
    <w:rsid w:val="004B0A13"/>
    <w:rsid w:val="004B3332"/>
    <w:rsid w:val="004B39C4"/>
    <w:rsid w:val="004B3B69"/>
    <w:rsid w:val="004B58D2"/>
    <w:rsid w:val="004B5CE2"/>
    <w:rsid w:val="004B6AC3"/>
    <w:rsid w:val="004C3DAD"/>
    <w:rsid w:val="004C3ED5"/>
    <w:rsid w:val="004C3F11"/>
    <w:rsid w:val="004C4AAC"/>
    <w:rsid w:val="004C72AA"/>
    <w:rsid w:val="004D3B0E"/>
    <w:rsid w:val="004D3E01"/>
    <w:rsid w:val="004D5EB0"/>
    <w:rsid w:val="004E2603"/>
    <w:rsid w:val="004E2E7F"/>
    <w:rsid w:val="004E3BB2"/>
    <w:rsid w:val="004E5164"/>
    <w:rsid w:val="004E516E"/>
    <w:rsid w:val="004E60BB"/>
    <w:rsid w:val="004E6E1C"/>
    <w:rsid w:val="004E780F"/>
    <w:rsid w:val="004F2772"/>
    <w:rsid w:val="004F349A"/>
    <w:rsid w:val="004F5DBA"/>
    <w:rsid w:val="00501EF8"/>
    <w:rsid w:val="00502F50"/>
    <w:rsid w:val="005058AB"/>
    <w:rsid w:val="00507E95"/>
    <w:rsid w:val="0051050A"/>
    <w:rsid w:val="00510F5C"/>
    <w:rsid w:val="005164F3"/>
    <w:rsid w:val="0051650A"/>
    <w:rsid w:val="00521E46"/>
    <w:rsid w:val="005224DF"/>
    <w:rsid w:val="005234EF"/>
    <w:rsid w:val="00524013"/>
    <w:rsid w:val="00533F13"/>
    <w:rsid w:val="00534FD7"/>
    <w:rsid w:val="00536A43"/>
    <w:rsid w:val="00536D4C"/>
    <w:rsid w:val="00544146"/>
    <w:rsid w:val="00544F75"/>
    <w:rsid w:val="00547075"/>
    <w:rsid w:val="005505DB"/>
    <w:rsid w:val="005507DA"/>
    <w:rsid w:val="0055102E"/>
    <w:rsid w:val="00551965"/>
    <w:rsid w:val="00554CAF"/>
    <w:rsid w:val="00556BC3"/>
    <w:rsid w:val="00556EB6"/>
    <w:rsid w:val="00560394"/>
    <w:rsid w:val="0056388E"/>
    <w:rsid w:val="00563890"/>
    <w:rsid w:val="00566269"/>
    <w:rsid w:val="00571C18"/>
    <w:rsid w:val="00572413"/>
    <w:rsid w:val="00574785"/>
    <w:rsid w:val="00576471"/>
    <w:rsid w:val="00576C1E"/>
    <w:rsid w:val="00581DD8"/>
    <w:rsid w:val="00582D4C"/>
    <w:rsid w:val="0058383C"/>
    <w:rsid w:val="00586138"/>
    <w:rsid w:val="00586C02"/>
    <w:rsid w:val="00587570"/>
    <w:rsid w:val="005877D7"/>
    <w:rsid w:val="00587830"/>
    <w:rsid w:val="005911C4"/>
    <w:rsid w:val="005929D3"/>
    <w:rsid w:val="0059329E"/>
    <w:rsid w:val="00593FF0"/>
    <w:rsid w:val="00596CF5"/>
    <w:rsid w:val="00597040"/>
    <w:rsid w:val="005A027E"/>
    <w:rsid w:val="005A402B"/>
    <w:rsid w:val="005A42B2"/>
    <w:rsid w:val="005A738A"/>
    <w:rsid w:val="005B2D59"/>
    <w:rsid w:val="005B4775"/>
    <w:rsid w:val="005B7411"/>
    <w:rsid w:val="005C0B72"/>
    <w:rsid w:val="005C13BB"/>
    <w:rsid w:val="005C1B7B"/>
    <w:rsid w:val="005C215E"/>
    <w:rsid w:val="005C3427"/>
    <w:rsid w:val="005C3C52"/>
    <w:rsid w:val="005C5C80"/>
    <w:rsid w:val="005D09CC"/>
    <w:rsid w:val="005D2D7B"/>
    <w:rsid w:val="005D6071"/>
    <w:rsid w:val="005D6DE4"/>
    <w:rsid w:val="005E0B0A"/>
    <w:rsid w:val="005E3242"/>
    <w:rsid w:val="005E4F9C"/>
    <w:rsid w:val="005E5498"/>
    <w:rsid w:val="005E7CD4"/>
    <w:rsid w:val="005F3058"/>
    <w:rsid w:val="005F3820"/>
    <w:rsid w:val="005F3C6A"/>
    <w:rsid w:val="005F4CB7"/>
    <w:rsid w:val="00602A90"/>
    <w:rsid w:val="00602D3A"/>
    <w:rsid w:val="00604292"/>
    <w:rsid w:val="00604804"/>
    <w:rsid w:val="0060499A"/>
    <w:rsid w:val="0060736F"/>
    <w:rsid w:val="00610916"/>
    <w:rsid w:val="0061475A"/>
    <w:rsid w:val="00614813"/>
    <w:rsid w:val="006254C4"/>
    <w:rsid w:val="006309CF"/>
    <w:rsid w:val="00631FCB"/>
    <w:rsid w:val="006325B9"/>
    <w:rsid w:val="006337C4"/>
    <w:rsid w:val="00633B88"/>
    <w:rsid w:val="0063451C"/>
    <w:rsid w:val="00634521"/>
    <w:rsid w:val="00635389"/>
    <w:rsid w:val="0063585C"/>
    <w:rsid w:val="00640565"/>
    <w:rsid w:val="006422A6"/>
    <w:rsid w:val="00653F39"/>
    <w:rsid w:val="00655417"/>
    <w:rsid w:val="006554D7"/>
    <w:rsid w:val="00656557"/>
    <w:rsid w:val="0065666F"/>
    <w:rsid w:val="00660712"/>
    <w:rsid w:val="00675B8F"/>
    <w:rsid w:val="00676C6F"/>
    <w:rsid w:val="00677DCF"/>
    <w:rsid w:val="00691794"/>
    <w:rsid w:val="00691CE4"/>
    <w:rsid w:val="00695106"/>
    <w:rsid w:val="00696FDE"/>
    <w:rsid w:val="006A02BC"/>
    <w:rsid w:val="006A18D4"/>
    <w:rsid w:val="006A1953"/>
    <w:rsid w:val="006B03B5"/>
    <w:rsid w:val="006B069D"/>
    <w:rsid w:val="006B13D3"/>
    <w:rsid w:val="006B15A6"/>
    <w:rsid w:val="006B57E7"/>
    <w:rsid w:val="006B689B"/>
    <w:rsid w:val="006C0703"/>
    <w:rsid w:val="006C2B78"/>
    <w:rsid w:val="006C3705"/>
    <w:rsid w:val="006C380C"/>
    <w:rsid w:val="006C464B"/>
    <w:rsid w:val="006C69E5"/>
    <w:rsid w:val="006C6FB6"/>
    <w:rsid w:val="006D12DF"/>
    <w:rsid w:val="006D3241"/>
    <w:rsid w:val="006D56B2"/>
    <w:rsid w:val="006D6AF6"/>
    <w:rsid w:val="006E5A77"/>
    <w:rsid w:val="006E6450"/>
    <w:rsid w:val="006E7FB7"/>
    <w:rsid w:val="006F0159"/>
    <w:rsid w:val="006F116B"/>
    <w:rsid w:val="006F356E"/>
    <w:rsid w:val="006F3865"/>
    <w:rsid w:val="006F3B53"/>
    <w:rsid w:val="006F446C"/>
    <w:rsid w:val="006F7FBC"/>
    <w:rsid w:val="007003D5"/>
    <w:rsid w:val="00704CD1"/>
    <w:rsid w:val="00707BB2"/>
    <w:rsid w:val="0071014E"/>
    <w:rsid w:val="007111C2"/>
    <w:rsid w:val="00712ADC"/>
    <w:rsid w:val="0071390C"/>
    <w:rsid w:val="0071526D"/>
    <w:rsid w:val="00717D3A"/>
    <w:rsid w:val="007210F5"/>
    <w:rsid w:val="00722284"/>
    <w:rsid w:val="00731D56"/>
    <w:rsid w:val="00732363"/>
    <w:rsid w:val="0073250D"/>
    <w:rsid w:val="00734868"/>
    <w:rsid w:val="00740803"/>
    <w:rsid w:val="00742A3A"/>
    <w:rsid w:val="00743B67"/>
    <w:rsid w:val="00744155"/>
    <w:rsid w:val="00746A1A"/>
    <w:rsid w:val="00747901"/>
    <w:rsid w:val="00752166"/>
    <w:rsid w:val="007553B5"/>
    <w:rsid w:val="00756575"/>
    <w:rsid w:val="00765389"/>
    <w:rsid w:val="0076733F"/>
    <w:rsid w:val="00771589"/>
    <w:rsid w:val="00772957"/>
    <w:rsid w:val="00772F40"/>
    <w:rsid w:val="00775316"/>
    <w:rsid w:val="00775ABD"/>
    <w:rsid w:val="00777026"/>
    <w:rsid w:val="007778C1"/>
    <w:rsid w:val="00784A9F"/>
    <w:rsid w:val="00784DC9"/>
    <w:rsid w:val="00786ED9"/>
    <w:rsid w:val="00791054"/>
    <w:rsid w:val="007926BA"/>
    <w:rsid w:val="007928B0"/>
    <w:rsid w:val="0079534D"/>
    <w:rsid w:val="0079672B"/>
    <w:rsid w:val="007A51DE"/>
    <w:rsid w:val="007A74E0"/>
    <w:rsid w:val="007B0378"/>
    <w:rsid w:val="007B09DC"/>
    <w:rsid w:val="007B19B0"/>
    <w:rsid w:val="007B5E8C"/>
    <w:rsid w:val="007C2162"/>
    <w:rsid w:val="007C4380"/>
    <w:rsid w:val="007C7952"/>
    <w:rsid w:val="007D16C6"/>
    <w:rsid w:val="007D1912"/>
    <w:rsid w:val="007D2CD0"/>
    <w:rsid w:val="007D3867"/>
    <w:rsid w:val="007D4ABE"/>
    <w:rsid w:val="007D7C2E"/>
    <w:rsid w:val="007E2090"/>
    <w:rsid w:val="007E24DE"/>
    <w:rsid w:val="007E2915"/>
    <w:rsid w:val="007E2BF1"/>
    <w:rsid w:val="007E4E9F"/>
    <w:rsid w:val="007E7030"/>
    <w:rsid w:val="007F22ED"/>
    <w:rsid w:val="007F28EA"/>
    <w:rsid w:val="007F47DE"/>
    <w:rsid w:val="008009F0"/>
    <w:rsid w:val="00805B61"/>
    <w:rsid w:val="00806B9F"/>
    <w:rsid w:val="0081005F"/>
    <w:rsid w:val="00810A25"/>
    <w:rsid w:val="00811D96"/>
    <w:rsid w:val="0081251D"/>
    <w:rsid w:val="00812FAA"/>
    <w:rsid w:val="00813184"/>
    <w:rsid w:val="00813B92"/>
    <w:rsid w:val="00815CCF"/>
    <w:rsid w:val="0081605A"/>
    <w:rsid w:val="008172E7"/>
    <w:rsid w:val="008207C2"/>
    <w:rsid w:val="00821977"/>
    <w:rsid w:val="0082248B"/>
    <w:rsid w:val="008229C3"/>
    <w:rsid w:val="0083171E"/>
    <w:rsid w:val="008318DF"/>
    <w:rsid w:val="008323B4"/>
    <w:rsid w:val="0083338A"/>
    <w:rsid w:val="0084221F"/>
    <w:rsid w:val="008431C6"/>
    <w:rsid w:val="008434DF"/>
    <w:rsid w:val="00843B37"/>
    <w:rsid w:val="008455E4"/>
    <w:rsid w:val="00846429"/>
    <w:rsid w:val="00847550"/>
    <w:rsid w:val="00850433"/>
    <w:rsid w:val="008514AC"/>
    <w:rsid w:val="008522DB"/>
    <w:rsid w:val="00855891"/>
    <w:rsid w:val="008558A8"/>
    <w:rsid w:val="008602E0"/>
    <w:rsid w:val="0086055A"/>
    <w:rsid w:val="0086348F"/>
    <w:rsid w:val="0086464A"/>
    <w:rsid w:val="0086608B"/>
    <w:rsid w:val="00867514"/>
    <w:rsid w:val="00875FD0"/>
    <w:rsid w:val="00880DC0"/>
    <w:rsid w:val="0088177F"/>
    <w:rsid w:val="00883A52"/>
    <w:rsid w:val="008854B5"/>
    <w:rsid w:val="00890402"/>
    <w:rsid w:val="008914DD"/>
    <w:rsid w:val="00891BD3"/>
    <w:rsid w:val="00891BED"/>
    <w:rsid w:val="0089208B"/>
    <w:rsid w:val="008970E9"/>
    <w:rsid w:val="008A021D"/>
    <w:rsid w:val="008A2CC7"/>
    <w:rsid w:val="008A541B"/>
    <w:rsid w:val="008A5CAD"/>
    <w:rsid w:val="008B343A"/>
    <w:rsid w:val="008B4E2C"/>
    <w:rsid w:val="008B7228"/>
    <w:rsid w:val="008B7A8B"/>
    <w:rsid w:val="008C0113"/>
    <w:rsid w:val="008C1593"/>
    <w:rsid w:val="008C1BA0"/>
    <w:rsid w:val="008C4CDA"/>
    <w:rsid w:val="008C7860"/>
    <w:rsid w:val="008C7E54"/>
    <w:rsid w:val="008D2D73"/>
    <w:rsid w:val="008D2DC9"/>
    <w:rsid w:val="008D3E07"/>
    <w:rsid w:val="008D64A0"/>
    <w:rsid w:val="008D695D"/>
    <w:rsid w:val="008D6E69"/>
    <w:rsid w:val="008D72F4"/>
    <w:rsid w:val="008E3AAF"/>
    <w:rsid w:val="008E603C"/>
    <w:rsid w:val="008F07A7"/>
    <w:rsid w:val="008F1936"/>
    <w:rsid w:val="008F396A"/>
    <w:rsid w:val="008F4B4D"/>
    <w:rsid w:val="008F5159"/>
    <w:rsid w:val="009011A3"/>
    <w:rsid w:val="00901BB6"/>
    <w:rsid w:val="00902AB3"/>
    <w:rsid w:val="00903D87"/>
    <w:rsid w:val="00904E17"/>
    <w:rsid w:val="00905163"/>
    <w:rsid w:val="009119D6"/>
    <w:rsid w:val="00912763"/>
    <w:rsid w:val="00914DAF"/>
    <w:rsid w:val="00916A31"/>
    <w:rsid w:val="00916D28"/>
    <w:rsid w:val="00916ED8"/>
    <w:rsid w:val="00917C0D"/>
    <w:rsid w:val="00923776"/>
    <w:rsid w:val="00925A9C"/>
    <w:rsid w:val="00926429"/>
    <w:rsid w:val="00927192"/>
    <w:rsid w:val="00931CAC"/>
    <w:rsid w:val="00932381"/>
    <w:rsid w:val="00932D93"/>
    <w:rsid w:val="009356D7"/>
    <w:rsid w:val="00940AFE"/>
    <w:rsid w:val="009429C3"/>
    <w:rsid w:val="00942AAF"/>
    <w:rsid w:val="00943AE9"/>
    <w:rsid w:val="00943FC7"/>
    <w:rsid w:val="009454A1"/>
    <w:rsid w:val="00945A45"/>
    <w:rsid w:val="00945C45"/>
    <w:rsid w:val="00946D6C"/>
    <w:rsid w:val="00946ED5"/>
    <w:rsid w:val="009507B1"/>
    <w:rsid w:val="00953A5D"/>
    <w:rsid w:val="00955510"/>
    <w:rsid w:val="00957B03"/>
    <w:rsid w:val="00962795"/>
    <w:rsid w:val="00965AA1"/>
    <w:rsid w:val="00966A94"/>
    <w:rsid w:val="00966F4D"/>
    <w:rsid w:val="0097419D"/>
    <w:rsid w:val="00981D96"/>
    <w:rsid w:val="00982190"/>
    <w:rsid w:val="00982A11"/>
    <w:rsid w:val="009848B3"/>
    <w:rsid w:val="00984CBE"/>
    <w:rsid w:val="0098647D"/>
    <w:rsid w:val="00990B04"/>
    <w:rsid w:val="00992D46"/>
    <w:rsid w:val="00996F5C"/>
    <w:rsid w:val="009A34E4"/>
    <w:rsid w:val="009A49B6"/>
    <w:rsid w:val="009A52FF"/>
    <w:rsid w:val="009A596C"/>
    <w:rsid w:val="009A5CFD"/>
    <w:rsid w:val="009A6A65"/>
    <w:rsid w:val="009B158B"/>
    <w:rsid w:val="009B4085"/>
    <w:rsid w:val="009B57DB"/>
    <w:rsid w:val="009B7255"/>
    <w:rsid w:val="009C0F46"/>
    <w:rsid w:val="009C2635"/>
    <w:rsid w:val="009C4803"/>
    <w:rsid w:val="009C52A6"/>
    <w:rsid w:val="009C58D4"/>
    <w:rsid w:val="009C5B63"/>
    <w:rsid w:val="009D0CCD"/>
    <w:rsid w:val="009D3B9A"/>
    <w:rsid w:val="009D4191"/>
    <w:rsid w:val="009E0D09"/>
    <w:rsid w:val="009E172B"/>
    <w:rsid w:val="009E3C77"/>
    <w:rsid w:val="009E59F3"/>
    <w:rsid w:val="009E5A10"/>
    <w:rsid w:val="009E5F8B"/>
    <w:rsid w:val="009F01F5"/>
    <w:rsid w:val="009F1CDC"/>
    <w:rsid w:val="009F2E68"/>
    <w:rsid w:val="009F637B"/>
    <w:rsid w:val="00A00F75"/>
    <w:rsid w:val="00A01F74"/>
    <w:rsid w:val="00A036B5"/>
    <w:rsid w:val="00A06F87"/>
    <w:rsid w:val="00A11E2D"/>
    <w:rsid w:val="00A12497"/>
    <w:rsid w:val="00A21C9C"/>
    <w:rsid w:val="00A21EB3"/>
    <w:rsid w:val="00A23413"/>
    <w:rsid w:val="00A2453A"/>
    <w:rsid w:val="00A33E26"/>
    <w:rsid w:val="00A42F65"/>
    <w:rsid w:val="00A443F3"/>
    <w:rsid w:val="00A532B1"/>
    <w:rsid w:val="00A5370E"/>
    <w:rsid w:val="00A54398"/>
    <w:rsid w:val="00A56D74"/>
    <w:rsid w:val="00A65862"/>
    <w:rsid w:val="00A65C13"/>
    <w:rsid w:val="00A66270"/>
    <w:rsid w:val="00A673E4"/>
    <w:rsid w:val="00A7108C"/>
    <w:rsid w:val="00A7266F"/>
    <w:rsid w:val="00A75F49"/>
    <w:rsid w:val="00A777F5"/>
    <w:rsid w:val="00A8001C"/>
    <w:rsid w:val="00A80532"/>
    <w:rsid w:val="00A817AE"/>
    <w:rsid w:val="00A81A4D"/>
    <w:rsid w:val="00A8447E"/>
    <w:rsid w:val="00A85A2C"/>
    <w:rsid w:val="00A9525E"/>
    <w:rsid w:val="00A95AB9"/>
    <w:rsid w:val="00A97CA9"/>
    <w:rsid w:val="00AA73A5"/>
    <w:rsid w:val="00AB04D1"/>
    <w:rsid w:val="00AB0719"/>
    <w:rsid w:val="00AB206D"/>
    <w:rsid w:val="00AB25E1"/>
    <w:rsid w:val="00AB38A8"/>
    <w:rsid w:val="00AB57AB"/>
    <w:rsid w:val="00AB58EE"/>
    <w:rsid w:val="00AB6A7F"/>
    <w:rsid w:val="00AB7042"/>
    <w:rsid w:val="00AC427C"/>
    <w:rsid w:val="00AC5071"/>
    <w:rsid w:val="00AC75B1"/>
    <w:rsid w:val="00AD08FA"/>
    <w:rsid w:val="00AD13D3"/>
    <w:rsid w:val="00AD1F27"/>
    <w:rsid w:val="00AD2DDE"/>
    <w:rsid w:val="00AD3568"/>
    <w:rsid w:val="00AD3AB8"/>
    <w:rsid w:val="00AD59A0"/>
    <w:rsid w:val="00AD6F7C"/>
    <w:rsid w:val="00AD7B3B"/>
    <w:rsid w:val="00AE1D3D"/>
    <w:rsid w:val="00AE3419"/>
    <w:rsid w:val="00AE4FFD"/>
    <w:rsid w:val="00AE7707"/>
    <w:rsid w:val="00AF291C"/>
    <w:rsid w:val="00AF751D"/>
    <w:rsid w:val="00B025DF"/>
    <w:rsid w:val="00B056C0"/>
    <w:rsid w:val="00B0598C"/>
    <w:rsid w:val="00B061C2"/>
    <w:rsid w:val="00B0661F"/>
    <w:rsid w:val="00B10646"/>
    <w:rsid w:val="00B10A93"/>
    <w:rsid w:val="00B110B9"/>
    <w:rsid w:val="00B12780"/>
    <w:rsid w:val="00B14055"/>
    <w:rsid w:val="00B140BD"/>
    <w:rsid w:val="00B15912"/>
    <w:rsid w:val="00B16CD2"/>
    <w:rsid w:val="00B17DB7"/>
    <w:rsid w:val="00B17E0D"/>
    <w:rsid w:val="00B200DF"/>
    <w:rsid w:val="00B20577"/>
    <w:rsid w:val="00B209EF"/>
    <w:rsid w:val="00B217D3"/>
    <w:rsid w:val="00B22137"/>
    <w:rsid w:val="00B22AB6"/>
    <w:rsid w:val="00B30A36"/>
    <w:rsid w:val="00B31E4F"/>
    <w:rsid w:val="00B351BE"/>
    <w:rsid w:val="00B37E39"/>
    <w:rsid w:val="00B412F7"/>
    <w:rsid w:val="00B43B7C"/>
    <w:rsid w:val="00B52F66"/>
    <w:rsid w:val="00B605DC"/>
    <w:rsid w:val="00B606FA"/>
    <w:rsid w:val="00B61D3E"/>
    <w:rsid w:val="00B66497"/>
    <w:rsid w:val="00B7068F"/>
    <w:rsid w:val="00B719D2"/>
    <w:rsid w:val="00B72D7A"/>
    <w:rsid w:val="00B72FDA"/>
    <w:rsid w:val="00B75B11"/>
    <w:rsid w:val="00B75CB5"/>
    <w:rsid w:val="00B76CC3"/>
    <w:rsid w:val="00B76F78"/>
    <w:rsid w:val="00B81DBB"/>
    <w:rsid w:val="00B83163"/>
    <w:rsid w:val="00B8414E"/>
    <w:rsid w:val="00B87C38"/>
    <w:rsid w:val="00B9057B"/>
    <w:rsid w:val="00B91747"/>
    <w:rsid w:val="00B935CB"/>
    <w:rsid w:val="00B95920"/>
    <w:rsid w:val="00B972CB"/>
    <w:rsid w:val="00B97446"/>
    <w:rsid w:val="00BA1EA7"/>
    <w:rsid w:val="00BA647C"/>
    <w:rsid w:val="00BA663E"/>
    <w:rsid w:val="00BB0401"/>
    <w:rsid w:val="00BB417B"/>
    <w:rsid w:val="00BB48C3"/>
    <w:rsid w:val="00BB7D80"/>
    <w:rsid w:val="00BC0828"/>
    <w:rsid w:val="00BC0E47"/>
    <w:rsid w:val="00BC3F55"/>
    <w:rsid w:val="00BC44C8"/>
    <w:rsid w:val="00BC49CD"/>
    <w:rsid w:val="00BC7AFC"/>
    <w:rsid w:val="00BD1C06"/>
    <w:rsid w:val="00BD6D93"/>
    <w:rsid w:val="00BE07D2"/>
    <w:rsid w:val="00BE2636"/>
    <w:rsid w:val="00BE27E4"/>
    <w:rsid w:val="00BE2F8E"/>
    <w:rsid w:val="00BE4AD0"/>
    <w:rsid w:val="00BE5C9D"/>
    <w:rsid w:val="00BF54BD"/>
    <w:rsid w:val="00BF63EA"/>
    <w:rsid w:val="00BF79EF"/>
    <w:rsid w:val="00C0044B"/>
    <w:rsid w:val="00C01C5B"/>
    <w:rsid w:val="00C03EA4"/>
    <w:rsid w:val="00C044B9"/>
    <w:rsid w:val="00C05447"/>
    <w:rsid w:val="00C0625F"/>
    <w:rsid w:val="00C075C2"/>
    <w:rsid w:val="00C07B06"/>
    <w:rsid w:val="00C10C6A"/>
    <w:rsid w:val="00C115ED"/>
    <w:rsid w:val="00C20D3F"/>
    <w:rsid w:val="00C24420"/>
    <w:rsid w:val="00C27831"/>
    <w:rsid w:val="00C30B86"/>
    <w:rsid w:val="00C30DB4"/>
    <w:rsid w:val="00C312D5"/>
    <w:rsid w:val="00C33EEB"/>
    <w:rsid w:val="00C4264C"/>
    <w:rsid w:val="00C43C6F"/>
    <w:rsid w:val="00C447DB"/>
    <w:rsid w:val="00C44AB1"/>
    <w:rsid w:val="00C507D5"/>
    <w:rsid w:val="00C51380"/>
    <w:rsid w:val="00C519CB"/>
    <w:rsid w:val="00C53EA5"/>
    <w:rsid w:val="00C57915"/>
    <w:rsid w:val="00C61E39"/>
    <w:rsid w:val="00C64001"/>
    <w:rsid w:val="00C656D9"/>
    <w:rsid w:val="00C701A2"/>
    <w:rsid w:val="00C7088B"/>
    <w:rsid w:val="00C71F5A"/>
    <w:rsid w:val="00C7330F"/>
    <w:rsid w:val="00C75341"/>
    <w:rsid w:val="00C7538E"/>
    <w:rsid w:val="00C764EC"/>
    <w:rsid w:val="00C802E9"/>
    <w:rsid w:val="00C804F6"/>
    <w:rsid w:val="00C8185E"/>
    <w:rsid w:val="00C81E14"/>
    <w:rsid w:val="00C83679"/>
    <w:rsid w:val="00C87B29"/>
    <w:rsid w:val="00CA140D"/>
    <w:rsid w:val="00CA3119"/>
    <w:rsid w:val="00CA3CD6"/>
    <w:rsid w:val="00CA6AD4"/>
    <w:rsid w:val="00CA7BC8"/>
    <w:rsid w:val="00CB2F81"/>
    <w:rsid w:val="00CB319D"/>
    <w:rsid w:val="00CB7D6D"/>
    <w:rsid w:val="00CC13E4"/>
    <w:rsid w:val="00CC1764"/>
    <w:rsid w:val="00CC2BD2"/>
    <w:rsid w:val="00CC5852"/>
    <w:rsid w:val="00CC5EDA"/>
    <w:rsid w:val="00CC5F61"/>
    <w:rsid w:val="00CC6F0A"/>
    <w:rsid w:val="00CD093D"/>
    <w:rsid w:val="00CD0AFE"/>
    <w:rsid w:val="00CD4DFB"/>
    <w:rsid w:val="00CD6211"/>
    <w:rsid w:val="00CE1BBB"/>
    <w:rsid w:val="00CE3D8F"/>
    <w:rsid w:val="00CE5170"/>
    <w:rsid w:val="00CE5255"/>
    <w:rsid w:val="00CE5AA1"/>
    <w:rsid w:val="00CE6FFA"/>
    <w:rsid w:val="00CF1099"/>
    <w:rsid w:val="00CF307D"/>
    <w:rsid w:val="00CF3578"/>
    <w:rsid w:val="00D00C6F"/>
    <w:rsid w:val="00D04CAD"/>
    <w:rsid w:val="00D06855"/>
    <w:rsid w:val="00D06EA8"/>
    <w:rsid w:val="00D12E2B"/>
    <w:rsid w:val="00D13549"/>
    <w:rsid w:val="00D14177"/>
    <w:rsid w:val="00D14C44"/>
    <w:rsid w:val="00D20736"/>
    <w:rsid w:val="00D245BE"/>
    <w:rsid w:val="00D2734F"/>
    <w:rsid w:val="00D31942"/>
    <w:rsid w:val="00D35B9A"/>
    <w:rsid w:val="00D4409C"/>
    <w:rsid w:val="00D44F4B"/>
    <w:rsid w:val="00D457A2"/>
    <w:rsid w:val="00D5060B"/>
    <w:rsid w:val="00D50C8D"/>
    <w:rsid w:val="00D5278E"/>
    <w:rsid w:val="00D541E4"/>
    <w:rsid w:val="00D5460C"/>
    <w:rsid w:val="00D57096"/>
    <w:rsid w:val="00D5782A"/>
    <w:rsid w:val="00D601AB"/>
    <w:rsid w:val="00D60243"/>
    <w:rsid w:val="00D61F84"/>
    <w:rsid w:val="00D6398A"/>
    <w:rsid w:val="00D65314"/>
    <w:rsid w:val="00D71799"/>
    <w:rsid w:val="00D723FD"/>
    <w:rsid w:val="00D74CD5"/>
    <w:rsid w:val="00D81354"/>
    <w:rsid w:val="00D816A9"/>
    <w:rsid w:val="00D81FC7"/>
    <w:rsid w:val="00D86540"/>
    <w:rsid w:val="00D9298B"/>
    <w:rsid w:val="00D9498A"/>
    <w:rsid w:val="00D94B54"/>
    <w:rsid w:val="00D97073"/>
    <w:rsid w:val="00DA1153"/>
    <w:rsid w:val="00DA31F6"/>
    <w:rsid w:val="00DA6D9D"/>
    <w:rsid w:val="00DB34B9"/>
    <w:rsid w:val="00DB39A7"/>
    <w:rsid w:val="00DB4955"/>
    <w:rsid w:val="00DC15D3"/>
    <w:rsid w:val="00DD6833"/>
    <w:rsid w:val="00DD7790"/>
    <w:rsid w:val="00DE3EF5"/>
    <w:rsid w:val="00DE3F6E"/>
    <w:rsid w:val="00DF0860"/>
    <w:rsid w:val="00DF0F11"/>
    <w:rsid w:val="00DF1810"/>
    <w:rsid w:val="00DF49D3"/>
    <w:rsid w:val="00DF5C7F"/>
    <w:rsid w:val="00DF6557"/>
    <w:rsid w:val="00E019DC"/>
    <w:rsid w:val="00E01EDB"/>
    <w:rsid w:val="00E021CA"/>
    <w:rsid w:val="00E02AA3"/>
    <w:rsid w:val="00E034BF"/>
    <w:rsid w:val="00E03E18"/>
    <w:rsid w:val="00E03EF5"/>
    <w:rsid w:val="00E04D6B"/>
    <w:rsid w:val="00E056D5"/>
    <w:rsid w:val="00E10844"/>
    <w:rsid w:val="00E10E34"/>
    <w:rsid w:val="00E11A39"/>
    <w:rsid w:val="00E124DB"/>
    <w:rsid w:val="00E151B4"/>
    <w:rsid w:val="00E20B55"/>
    <w:rsid w:val="00E271B3"/>
    <w:rsid w:val="00E3635C"/>
    <w:rsid w:val="00E418D2"/>
    <w:rsid w:val="00E43936"/>
    <w:rsid w:val="00E47269"/>
    <w:rsid w:val="00E47B84"/>
    <w:rsid w:val="00E51C4E"/>
    <w:rsid w:val="00E5507A"/>
    <w:rsid w:val="00E5594A"/>
    <w:rsid w:val="00E55F4E"/>
    <w:rsid w:val="00E62F83"/>
    <w:rsid w:val="00E63079"/>
    <w:rsid w:val="00E67F4C"/>
    <w:rsid w:val="00E720B8"/>
    <w:rsid w:val="00E7319A"/>
    <w:rsid w:val="00E73965"/>
    <w:rsid w:val="00E74A6E"/>
    <w:rsid w:val="00E74CEB"/>
    <w:rsid w:val="00E80B61"/>
    <w:rsid w:val="00E80D26"/>
    <w:rsid w:val="00E81845"/>
    <w:rsid w:val="00E82069"/>
    <w:rsid w:val="00E825C5"/>
    <w:rsid w:val="00E83972"/>
    <w:rsid w:val="00E8578F"/>
    <w:rsid w:val="00E85E5A"/>
    <w:rsid w:val="00E9609E"/>
    <w:rsid w:val="00E96434"/>
    <w:rsid w:val="00EA2B95"/>
    <w:rsid w:val="00EA475C"/>
    <w:rsid w:val="00EA55D5"/>
    <w:rsid w:val="00EA6145"/>
    <w:rsid w:val="00EB0F6A"/>
    <w:rsid w:val="00EB2719"/>
    <w:rsid w:val="00EB328B"/>
    <w:rsid w:val="00EB4262"/>
    <w:rsid w:val="00EB44C7"/>
    <w:rsid w:val="00EB58F8"/>
    <w:rsid w:val="00EB6238"/>
    <w:rsid w:val="00EB7E5B"/>
    <w:rsid w:val="00EC1D5C"/>
    <w:rsid w:val="00EC5CE2"/>
    <w:rsid w:val="00EC6261"/>
    <w:rsid w:val="00ED370A"/>
    <w:rsid w:val="00EE153A"/>
    <w:rsid w:val="00EE1679"/>
    <w:rsid w:val="00EE312E"/>
    <w:rsid w:val="00EE4980"/>
    <w:rsid w:val="00EE6C35"/>
    <w:rsid w:val="00EF302B"/>
    <w:rsid w:val="00EF3118"/>
    <w:rsid w:val="00EF5F7B"/>
    <w:rsid w:val="00EF641E"/>
    <w:rsid w:val="00EF74AE"/>
    <w:rsid w:val="00EF7841"/>
    <w:rsid w:val="00F001D2"/>
    <w:rsid w:val="00F04D9B"/>
    <w:rsid w:val="00F10A81"/>
    <w:rsid w:val="00F116BB"/>
    <w:rsid w:val="00F1172B"/>
    <w:rsid w:val="00F207D2"/>
    <w:rsid w:val="00F2135C"/>
    <w:rsid w:val="00F25193"/>
    <w:rsid w:val="00F26BF1"/>
    <w:rsid w:val="00F27A47"/>
    <w:rsid w:val="00F301B1"/>
    <w:rsid w:val="00F3020E"/>
    <w:rsid w:val="00F3200F"/>
    <w:rsid w:val="00F36B47"/>
    <w:rsid w:val="00F37B80"/>
    <w:rsid w:val="00F41A8F"/>
    <w:rsid w:val="00F43C66"/>
    <w:rsid w:val="00F43F24"/>
    <w:rsid w:val="00F50143"/>
    <w:rsid w:val="00F50200"/>
    <w:rsid w:val="00F506B2"/>
    <w:rsid w:val="00F5495B"/>
    <w:rsid w:val="00F56BAC"/>
    <w:rsid w:val="00F61F82"/>
    <w:rsid w:val="00F61FBD"/>
    <w:rsid w:val="00F644F2"/>
    <w:rsid w:val="00F70995"/>
    <w:rsid w:val="00F709E1"/>
    <w:rsid w:val="00F7267F"/>
    <w:rsid w:val="00F81FF2"/>
    <w:rsid w:val="00F832E4"/>
    <w:rsid w:val="00F87DA3"/>
    <w:rsid w:val="00F908F5"/>
    <w:rsid w:val="00F91FD8"/>
    <w:rsid w:val="00F92C99"/>
    <w:rsid w:val="00F95F08"/>
    <w:rsid w:val="00F9670C"/>
    <w:rsid w:val="00FA0045"/>
    <w:rsid w:val="00FA093C"/>
    <w:rsid w:val="00FA15C8"/>
    <w:rsid w:val="00FA4622"/>
    <w:rsid w:val="00FA60A1"/>
    <w:rsid w:val="00FA7594"/>
    <w:rsid w:val="00FC16CF"/>
    <w:rsid w:val="00FC19E9"/>
    <w:rsid w:val="00FC2119"/>
    <w:rsid w:val="00FC21A5"/>
    <w:rsid w:val="00FC7415"/>
    <w:rsid w:val="00FD0FD3"/>
    <w:rsid w:val="00FD129D"/>
    <w:rsid w:val="00FD7160"/>
    <w:rsid w:val="00FD7A25"/>
    <w:rsid w:val="00FD7C01"/>
    <w:rsid w:val="00FE0253"/>
    <w:rsid w:val="00FE04D3"/>
    <w:rsid w:val="00FE171F"/>
    <w:rsid w:val="00FE47CB"/>
    <w:rsid w:val="00FE480D"/>
    <w:rsid w:val="00FF0590"/>
    <w:rsid w:val="00FF1DBA"/>
    <w:rsid w:val="00FF3121"/>
    <w:rsid w:val="00FF4421"/>
    <w:rsid w:val="00FF45DF"/>
    <w:rsid w:val="00FF4E26"/>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1DEA"/>
  <w15:docId w15:val="{21F4C68A-35B0-4F33-818A-0C4A4BE1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rsid w:val="00AD08FA"/>
    <w:pPr>
      <w:spacing w:after="120"/>
      <w:jc w:val="both"/>
    </w:pPr>
  </w:style>
  <w:style w:type="paragraph" w:styleId="Cmsor1">
    <w:name w:val="heading 1"/>
    <w:basedOn w:val="Norml"/>
    <w:next w:val="Norml"/>
    <w:link w:val="Cmsor1Char"/>
    <w:uiPriority w:val="9"/>
    <w:rsid w:val="00AD08FA"/>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rsid w:val="00AD08FA"/>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rsid w:val="00AD08FA"/>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rsid w:val="00AD08FA"/>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iPriority w:val="9"/>
    <w:semiHidden/>
    <w:unhideWhenUsed/>
    <w:rsid w:val="007D7C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AD08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AD08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D08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AD08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08FA"/>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rsid w:val="00AD08FA"/>
    <w:pPr>
      <w:numPr>
        <w:numId w:val="0"/>
      </w:numPr>
      <w:outlineLvl w:val="9"/>
    </w:pPr>
  </w:style>
  <w:style w:type="paragraph" w:styleId="lfej">
    <w:name w:val="header"/>
    <w:basedOn w:val="Norml"/>
    <w:link w:val="lfejChar"/>
    <w:uiPriority w:val="99"/>
    <w:unhideWhenUsed/>
    <w:rsid w:val="006F446C"/>
    <w:pPr>
      <w:tabs>
        <w:tab w:val="center" w:pos="4536"/>
        <w:tab w:val="right" w:pos="9072"/>
      </w:tabs>
      <w:spacing w:after="0" w:line="240" w:lineRule="auto"/>
    </w:pPr>
  </w:style>
  <w:style w:type="paragraph" w:styleId="Listaszerbekezds">
    <w:name w:val="List Paragraph"/>
    <w:basedOn w:val="Norml"/>
    <w:link w:val="ListaszerbekezdsChar"/>
    <w:uiPriority w:val="34"/>
    <w:qFormat/>
    <w:rsid w:val="00CA3CD6"/>
    <w:pPr>
      <w:ind w:left="720"/>
      <w:contextualSpacing/>
    </w:pPr>
  </w:style>
  <w:style w:type="character" w:customStyle="1" w:styleId="lfejChar">
    <w:name w:val="Élőfej Char"/>
    <w:basedOn w:val="Bekezdsalapbettpusa"/>
    <w:link w:val="lfej"/>
    <w:uiPriority w:val="99"/>
    <w:rsid w:val="006F446C"/>
  </w:style>
  <w:style w:type="paragraph" w:styleId="llb">
    <w:name w:val="footer"/>
    <w:basedOn w:val="Norml"/>
    <w:link w:val="llbChar"/>
    <w:uiPriority w:val="99"/>
    <w:unhideWhenUsed/>
    <w:rsid w:val="006F446C"/>
    <w:pPr>
      <w:tabs>
        <w:tab w:val="center" w:pos="4536"/>
        <w:tab w:val="right" w:pos="9072"/>
      </w:tabs>
      <w:spacing w:after="0" w:line="240" w:lineRule="auto"/>
    </w:pPr>
  </w:style>
  <w:style w:type="character" w:customStyle="1" w:styleId="llbChar">
    <w:name w:val="Élőláb Char"/>
    <w:basedOn w:val="Bekezdsalapbettpusa"/>
    <w:link w:val="llb"/>
    <w:uiPriority w:val="99"/>
    <w:rsid w:val="006F446C"/>
  </w:style>
  <w:style w:type="paragraph" w:customStyle="1" w:styleId="Cmnmhh">
    <w:name w:val="Cím_nmhh"/>
    <w:basedOn w:val="Cm"/>
    <w:qFormat/>
    <w:rsid w:val="007553B5"/>
    <w:pPr>
      <w:pBdr>
        <w:bottom w:val="none" w:sz="0" w:space="0" w:color="auto"/>
      </w:pBdr>
      <w:spacing w:after="480" w:line="720" w:lineRule="exact"/>
      <w:ind w:left="890"/>
      <w:contextualSpacing w:val="0"/>
      <w:jc w:val="left"/>
    </w:pPr>
    <w:rPr>
      <w:b/>
      <w:color w:val="2A4A96"/>
      <w:sz w:val="60"/>
    </w:rPr>
  </w:style>
  <w:style w:type="paragraph" w:customStyle="1" w:styleId="Osztlynmhh">
    <w:name w:val="Osztály_nmhh"/>
    <w:basedOn w:val="Norml"/>
    <w:next w:val="Norml"/>
    <w:qFormat/>
    <w:rsid w:val="00BB417B"/>
    <w:pPr>
      <w:spacing w:after="0"/>
      <w:ind w:left="890"/>
      <w:jc w:val="left"/>
    </w:pPr>
    <w:rPr>
      <w:caps/>
      <w:color w:val="465155"/>
      <w:sz w:val="36"/>
    </w:rPr>
  </w:style>
  <w:style w:type="paragraph" w:styleId="Cm">
    <w:name w:val="Title"/>
    <w:basedOn w:val="Norml"/>
    <w:next w:val="Norml"/>
    <w:link w:val="CmChar"/>
    <w:uiPriority w:val="10"/>
    <w:rsid w:val="00A81A4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A81A4D"/>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rsid w:val="00184A51"/>
    <w:pPr>
      <w:spacing w:after="0"/>
      <w:ind w:left="890"/>
      <w:jc w:val="left"/>
    </w:pPr>
    <w:rPr>
      <w:color w:val="4C5256"/>
      <w:sz w:val="30"/>
    </w:rPr>
  </w:style>
  <w:style w:type="paragraph" w:customStyle="1" w:styleId="Tartalomjegyzkcmsoranmhh">
    <w:name w:val="Tartalomjegyzék_címsora_nmhh"/>
    <w:basedOn w:val="Tartalomjegyzkcmsora"/>
    <w:link w:val="TartalomjegyzkcmsoranmhhChar"/>
    <w:qFormat/>
    <w:rsid w:val="00EA55D5"/>
    <w:pPr>
      <w:outlineLvl w:val="0"/>
    </w:pPr>
    <w:rPr>
      <w:sz w:val="36"/>
    </w:rPr>
  </w:style>
  <w:style w:type="character" w:customStyle="1" w:styleId="BortlapegybnmhhChar">
    <w:name w:val="Borítólap egyéb_nmhh Char"/>
    <w:basedOn w:val="Bekezdsalapbettpusa"/>
    <w:link w:val="Bortlapegybnmhh"/>
    <w:rsid w:val="00184A51"/>
    <w:rPr>
      <w:color w:val="4C5256"/>
      <w:sz w:val="30"/>
    </w:rPr>
  </w:style>
  <w:style w:type="paragraph" w:customStyle="1" w:styleId="Bekezdsnmhh">
    <w:name w:val="Bekezdés_nmhh"/>
    <w:basedOn w:val="Norml"/>
    <w:link w:val="BekezdsnmhhChar"/>
    <w:qFormat/>
    <w:rsid w:val="00DA31F6"/>
    <w:rPr>
      <w:sz w:val="20"/>
      <w:szCs w:val="20"/>
    </w:rPr>
  </w:style>
  <w:style w:type="character" w:customStyle="1" w:styleId="TartalomjegyzkcmsoraChar">
    <w:name w:val="Tartalomjegyzék címsora Char"/>
    <w:basedOn w:val="Cmsor1Char"/>
    <w:link w:val="Tartalomjegyzkcmsora"/>
    <w:uiPriority w:val="39"/>
    <w:rsid w:val="00087A8F"/>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sid w:val="00EA55D5"/>
    <w:rPr>
      <w:rFonts w:asciiTheme="majorHAnsi" w:eastAsiaTheme="majorEastAsia" w:hAnsiTheme="majorHAnsi" w:cstheme="majorBidi"/>
      <w:b/>
      <w:bCs/>
      <w:color w:val="000000" w:themeColor="text2" w:themeShade="BF"/>
      <w:sz w:val="36"/>
      <w:szCs w:val="28"/>
    </w:rPr>
  </w:style>
  <w:style w:type="paragraph" w:customStyle="1" w:styleId="Behzottbekezdsnmhh">
    <w:name w:val="Behúzott_bekezdés_nmhh"/>
    <w:basedOn w:val="Norml"/>
    <w:link w:val="BehzottbekezdsnmhhChar"/>
    <w:qFormat/>
    <w:rsid w:val="00CB2F81"/>
    <w:pPr>
      <w:ind w:firstLine="357"/>
    </w:pPr>
    <w:rPr>
      <w:sz w:val="20"/>
      <w:szCs w:val="20"/>
    </w:rPr>
  </w:style>
  <w:style w:type="character" w:customStyle="1" w:styleId="BekezdsnmhhChar">
    <w:name w:val="Bekezdés_nmhh Char"/>
    <w:basedOn w:val="Bekezdsalapbettpusa"/>
    <w:link w:val="Bekezdsnmhh"/>
    <w:rsid w:val="00DA31F6"/>
    <w:rPr>
      <w:sz w:val="20"/>
      <w:szCs w:val="20"/>
    </w:rPr>
  </w:style>
  <w:style w:type="paragraph" w:customStyle="1" w:styleId="Felsorolsbekezdsnmhh">
    <w:name w:val="Felsorolás_bekezdés_nmhh"/>
    <w:basedOn w:val="Norml"/>
    <w:qFormat/>
    <w:rsid w:val="00CB2F81"/>
    <w:pPr>
      <w:ind w:left="709"/>
    </w:pPr>
    <w:rPr>
      <w:sz w:val="20"/>
      <w:szCs w:val="20"/>
    </w:rPr>
  </w:style>
  <w:style w:type="character" w:customStyle="1" w:styleId="BehzottbekezdsnmhhChar">
    <w:name w:val="Behúzott_bekezdés_nmhh Char"/>
    <w:basedOn w:val="Bekezdsalapbettpusa"/>
    <w:link w:val="Behzottbekezdsnmhh"/>
    <w:rsid w:val="00CB2F81"/>
    <w:rPr>
      <w:sz w:val="20"/>
      <w:szCs w:val="20"/>
    </w:rPr>
  </w:style>
  <w:style w:type="paragraph" w:customStyle="1" w:styleId="Felsorolsnmhh">
    <w:name w:val="Felsorolás_nmhh"/>
    <w:basedOn w:val="Listaszerbekezds"/>
    <w:link w:val="FelsorolsnmhhChar"/>
    <w:qFormat/>
    <w:rsid w:val="00CB2F81"/>
    <w:pPr>
      <w:numPr>
        <w:numId w:val="2"/>
      </w:numPr>
      <w:ind w:left="714" w:hanging="357"/>
    </w:pPr>
    <w:rPr>
      <w:b/>
      <w:sz w:val="20"/>
      <w:szCs w:val="20"/>
    </w:rPr>
  </w:style>
  <w:style w:type="paragraph" w:customStyle="1" w:styleId="Felsorols1nmhh">
    <w:name w:val="Felsorolás1_nmhh"/>
    <w:basedOn w:val="Listaszerbekezds"/>
    <w:link w:val="Felsorols1nmhhChar"/>
    <w:qFormat/>
    <w:rsid w:val="002B2A3F"/>
    <w:pPr>
      <w:numPr>
        <w:numId w:val="4"/>
      </w:numPr>
      <w:ind w:left="357" w:hanging="357"/>
      <w:contextualSpacing w:val="0"/>
    </w:pPr>
    <w:rPr>
      <w:b/>
      <w:sz w:val="20"/>
      <w:szCs w:val="20"/>
    </w:rPr>
  </w:style>
  <w:style w:type="character" w:customStyle="1" w:styleId="ListaszerbekezdsChar">
    <w:name w:val="Listaszerű bekezdés Char"/>
    <w:basedOn w:val="Bekezdsalapbettpusa"/>
    <w:link w:val="Listaszerbekezds"/>
    <w:uiPriority w:val="34"/>
    <w:rsid w:val="00CB2F81"/>
  </w:style>
  <w:style w:type="character" w:customStyle="1" w:styleId="FelsorolsnmhhChar">
    <w:name w:val="Felsorolás_nmhh Char"/>
    <w:basedOn w:val="ListaszerbekezdsChar"/>
    <w:link w:val="Felsorolsnmhh"/>
    <w:rsid w:val="00CB2F81"/>
    <w:rPr>
      <w:b/>
      <w:sz w:val="20"/>
      <w:szCs w:val="20"/>
    </w:rPr>
  </w:style>
  <w:style w:type="character" w:customStyle="1" w:styleId="Cmsor5Char">
    <w:name w:val="Címsor 5 Char"/>
    <w:basedOn w:val="Bekezdsalapbettpusa"/>
    <w:link w:val="Cmsor5"/>
    <w:uiPriority w:val="9"/>
    <w:semiHidden/>
    <w:rsid w:val="007D7C2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D08F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D08F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D08F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AD08F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rsid w:val="00AD08FA"/>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rsid w:val="002B2A3F"/>
    <w:pPr>
      <w:numPr>
        <w:numId w:val="3"/>
      </w:numPr>
      <w:ind w:left="357" w:hanging="357"/>
    </w:pPr>
    <w:rPr>
      <w:b/>
      <w:sz w:val="20"/>
      <w:szCs w:val="20"/>
    </w:rPr>
  </w:style>
  <w:style w:type="character" w:customStyle="1" w:styleId="Felsorols1nmhhChar">
    <w:name w:val="Felsorolás1_nmhh Char"/>
    <w:basedOn w:val="ListaszerbekezdsChar"/>
    <w:link w:val="Felsorols1nmhh"/>
    <w:rsid w:val="002B2A3F"/>
    <w:rPr>
      <w:b/>
      <w:sz w:val="20"/>
      <w:szCs w:val="20"/>
    </w:rPr>
  </w:style>
  <w:style w:type="paragraph" w:customStyle="1" w:styleId="Lista1nmhh">
    <w:name w:val="Lista1_nmhh"/>
    <w:basedOn w:val="Listaszerbekezds"/>
    <w:link w:val="Lista1nmhhChar"/>
    <w:qFormat/>
    <w:rsid w:val="002B2A3F"/>
    <w:pPr>
      <w:numPr>
        <w:numId w:val="6"/>
      </w:numPr>
      <w:spacing w:after="0"/>
      <w:ind w:left="714" w:hanging="357"/>
    </w:pPr>
    <w:rPr>
      <w:sz w:val="20"/>
      <w:szCs w:val="20"/>
    </w:rPr>
  </w:style>
  <w:style w:type="character" w:customStyle="1" w:styleId="Felsorols2nmhhChar">
    <w:name w:val="Felsorolás2_nmhh Char"/>
    <w:basedOn w:val="ListaszerbekezdsChar"/>
    <w:link w:val="Felsorols2nmhh"/>
    <w:rsid w:val="002B2A3F"/>
    <w:rPr>
      <w:b/>
      <w:sz w:val="20"/>
      <w:szCs w:val="20"/>
    </w:rPr>
  </w:style>
  <w:style w:type="paragraph" w:customStyle="1" w:styleId="Lista2nmhh">
    <w:name w:val="Lista2_nmhh"/>
    <w:basedOn w:val="Listaszerbekezds"/>
    <w:link w:val="Lista2nmhhChar"/>
    <w:qFormat/>
    <w:rsid w:val="002B2A3F"/>
    <w:pPr>
      <w:numPr>
        <w:numId w:val="7"/>
      </w:numPr>
      <w:spacing w:after="0"/>
    </w:pPr>
    <w:rPr>
      <w:sz w:val="20"/>
      <w:szCs w:val="20"/>
    </w:rPr>
  </w:style>
  <w:style w:type="character" w:customStyle="1" w:styleId="Lista1nmhhChar">
    <w:name w:val="Lista1_nmhh Char"/>
    <w:basedOn w:val="ListaszerbekezdsChar"/>
    <w:link w:val="Lista1nmhh"/>
    <w:rsid w:val="002B2A3F"/>
    <w:rPr>
      <w:sz w:val="20"/>
      <w:szCs w:val="20"/>
    </w:rPr>
  </w:style>
  <w:style w:type="paragraph" w:customStyle="1" w:styleId="Cmsorszmozatlannmhh">
    <w:name w:val="Címsor_számozatlan_nmhh"/>
    <w:basedOn w:val="Norml"/>
    <w:next w:val="Behzottbekezdsnmhh"/>
    <w:link w:val="CmsorszmozatlannmhhChar"/>
    <w:qFormat/>
    <w:rsid w:val="00EA55D5"/>
    <w:pPr>
      <w:pageBreakBefore/>
      <w:spacing w:after="240"/>
      <w:jc w:val="left"/>
      <w:outlineLvl w:val="0"/>
    </w:pPr>
    <w:rPr>
      <w:rFonts w:asciiTheme="majorHAnsi" w:hAnsiTheme="majorHAnsi" w:cstheme="majorHAnsi"/>
      <w:b/>
      <w:sz w:val="36"/>
      <w:szCs w:val="36"/>
    </w:rPr>
  </w:style>
  <w:style w:type="character" w:customStyle="1" w:styleId="Lista2nmhhChar">
    <w:name w:val="Lista2_nmhh Char"/>
    <w:basedOn w:val="ListaszerbekezdsChar"/>
    <w:link w:val="Lista2nmhh"/>
    <w:rsid w:val="002B2A3F"/>
    <w:rPr>
      <w:sz w:val="20"/>
      <w:szCs w:val="20"/>
    </w:rPr>
  </w:style>
  <w:style w:type="paragraph" w:customStyle="1" w:styleId="Cmsor1szmozottnmhh">
    <w:name w:val="Címsor1_számozott_nmhh"/>
    <w:basedOn w:val="Listaszerbekezds"/>
    <w:next w:val="Behzottbekezdsnmhh"/>
    <w:link w:val="Cmsor1szmozottnmhhChar"/>
    <w:qFormat/>
    <w:rsid w:val="0022198C"/>
    <w:pPr>
      <w:numPr>
        <w:numId w:val="5"/>
      </w:numPr>
      <w:spacing w:after="240"/>
      <w:contextualSpacing w:val="0"/>
      <w:jc w:val="left"/>
      <w:outlineLvl w:val="0"/>
    </w:pPr>
    <w:rPr>
      <w:rFonts w:asciiTheme="majorHAnsi" w:hAnsiTheme="majorHAnsi" w:cstheme="majorHAnsi"/>
      <w:b/>
      <w:sz w:val="36"/>
      <w:szCs w:val="36"/>
    </w:rPr>
  </w:style>
  <w:style w:type="character" w:customStyle="1" w:styleId="CmsorszmozatlannmhhChar">
    <w:name w:val="Címsor_számozatlan_nmhh Char"/>
    <w:basedOn w:val="Bekezdsalapbettpusa"/>
    <w:link w:val="Cmsorszmozatlannmhh"/>
    <w:rsid w:val="00EA55D5"/>
    <w:rPr>
      <w:rFonts w:asciiTheme="majorHAnsi" w:hAnsiTheme="majorHAnsi" w:cstheme="majorHAnsi"/>
      <w:b/>
      <w:sz w:val="36"/>
      <w:szCs w:val="36"/>
    </w:rPr>
  </w:style>
  <w:style w:type="paragraph" w:customStyle="1" w:styleId="Cmsor2szmozottnmhh">
    <w:name w:val="Címsor2_számozott_nmhh"/>
    <w:basedOn w:val="Listaszerbekezds"/>
    <w:next w:val="Behzottbekezdsnmhh"/>
    <w:link w:val="Cmsor2szmozottnmhhChar"/>
    <w:qFormat/>
    <w:rsid w:val="002B2A3F"/>
    <w:pPr>
      <w:numPr>
        <w:ilvl w:val="1"/>
        <w:numId w:val="5"/>
      </w:numPr>
      <w:spacing w:after="240"/>
      <w:ind w:left="2561"/>
      <w:contextualSpacing w:val="0"/>
      <w:jc w:val="left"/>
      <w:outlineLvl w:val="1"/>
    </w:pPr>
    <w:rPr>
      <w:rFonts w:asciiTheme="majorHAnsi" w:hAnsiTheme="majorHAnsi" w:cstheme="majorHAnsi"/>
      <w:b/>
      <w:sz w:val="32"/>
      <w:szCs w:val="32"/>
    </w:rPr>
  </w:style>
  <w:style w:type="character" w:customStyle="1" w:styleId="Cmsor1szmozottnmhhChar">
    <w:name w:val="Címsor1_számozott_nmhh Char"/>
    <w:basedOn w:val="ListaszerbekezdsChar"/>
    <w:link w:val="Cmsor1szmozottnmhh"/>
    <w:rsid w:val="0022198C"/>
    <w:rPr>
      <w:rFonts w:asciiTheme="majorHAnsi" w:hAnsiTheme="majorHAnsi" w:cstheme="majorHAnsi"/>
      <w:b/>
      <w:sz w:val="36"/>
      <w:szCs w:val="36"/>
    </w:rPr>
  </w:style>
  <w:style w:type="paragraph" w:customStyle="1" w:styleId="Cmsor3szmozottnmhh">
    <w:name w:val="Címsor3_számozott_nmhh"/>
    <w:basedOn w:val="Listaszerbekezds"/>
    <w:next w:val="Behzottbekezdsnmhh"/>
    <w:link w:val="Cmsor3szmozottnmhhChar"/>
    <w:qFormat/>
    <w:rsid w:val="002B2A3F"/>
    <w:pPr>
      <w:numPr>
        <w:ilvl w:val="2"/>
        <w:numId w:val="5"/>
      </w:numPr>
      <w:spacing w:after="240"/>
      <w:contextualSpacing w:val="0"/>
      <w:jc w:val="left"/>
      <w:outlineLvl w:val="2"/>
    </w:pPr>
    <w:rPr>
      <w:rFonts w:asciiTheme="majorHAnsi" w:hAnsiTheme="majorHAnsi" w:cstheme="majorHAnsi"/>
      <w:b/>
      <w:sz w:val="28"/>
      <w:szCs w:val="28"/>
    </w:rPr>
  </w:style>
  <w:style w:type="character" w:customStyle="1" w:styleId="Cmsor2szmozottnmhhChar">
    <w:name w:val="Címsor2_számozott_nmhh Char"/>
    <w:basedOn w:val="ListaszerbekezdsChar"/>
    <w:link w:val="Cmsor2szmozottnmhh"/>
    <w:rsid w:val="002B2A3F"/>
    <w:rPr>
      <w:rFonts w:asciiTheme="majorHAnsi" w:hAnsiTheme="majorHAnsi" w:cstheme="majorHAnsi"/>
      <w:b/>
      <w:sz w:val="32"/>
      <w:szCs w:val="32"/>
    </w:rPr>
  </w:style>
  <w:style w:type="paragraph" w:customStyle="1" w:styleId="Cmsor4szmozottnmhh">
    <w:name w:val="Címsor4_számozott_nmhh"/>
    <w:basedOn w:val="Listaszerbekezds"/>
    <w:next w:val="Behzottbekezdsnmhh"/>
    <w:link w:val="Cmsor4szmozottnmhhChar"/>
    <w:qFormat/>
    <w:rsid w:val="002B2A3F"/>
    <w:pPr>
      <w:numPr>
        <w:ilvl w:val="3"/>
        <w:numId w:val="5"/>
      </w:numPr>
      <w:spacing w:after="240"/>
      <w:ind w:left="862" w:hanging="862"/>
      <w:contextualSpacing w:val="0"/>
      <w:jc w:val="left"/>
      <w:outlineLvl w:val="3"/>
    </w:pPr>
    <w:rPr>
      <w:rFonts w:asciiTheme="majorHAnsi" w:hAnsiTheme="majorHAnsi" w:cstheme="majorHAnsi"/>
      <w:b/>
      <w:sz w:val="24"/>
      <w:szCs w:val="24"/>
    </w:rPr>
  </w:style>
  <w:style w:type="character" w:customStyle="1" w:styleId="Cmsor3szmozottnmhhChar">
    <w:name w:val="Címsor3_számozott_nmhh Char"/>
    <w:basedOn w:val="ListaszerbekezdsChar"/>
    <w:link w:val="Cmsor3szmozottnmhh"/>
    <w:rsid w:val="002B2A3F"/>
    <w:rPr>
      <w:rFonts w:asciiTheme="majorHAnsi" w:hAnsiTheme="majorHAnsi" w:cstheme="majorHAnsi"/>
      <w:b/>
      <w:sz w:val="28"/>
      <w:szCs w:val="28"/>
    </w:rPr>
  </w:style>
  <w:style w:type="paragraph" w:customStyle="1" w:styleId="Irodalomjegyzkfelsorolsnmhh">
    <w:name w:val="Irodalomjegyzék_felsorolás_nmhh"/>
    <w:basedOn w:val="Bekezdsnmhh"/>
    <w:link w:val="IrodalomjegyzkfelsorolsnmhhChar"/>
    <w:qFormat/>
    <w:rsid w:val="0018360B"/>
    <w:pPr>
      <w:numPr>
        <w:numId w:val="8"/>
      </w:numPr>
      <w:jc w:val="left"/>
    </w:pPr>
  </w:style>
  <w:style w:type="character" w:customStyle="1" w:styleId="Cmsor4szmozottnmhhChar">
    <w:name w:val="Címsor4_számozott_nmhh Char"/>
    <w:basedOn w:val="ListaszerbekezdsChar"/>
    <w:link w:val="Cmsor4szmozottnmhh"/>
    <w:rsid w:val="002B2A3F"/>
    <w:rPr>
      <w:rFonts w:asciiTheme="majorHAnsi" w:hAnsiTheme="majorHAnsi" w:cstheme="majorHAnsi"/>
      <w:b/>
      <w:sz w:val="24"/>
      <w:szCs w:val="24"/>
    </w:rPr>
  </w:style>
  <w:style w:type="paragraph" w:styleId="TJ1">
    <w:name w:val="toc 1"/>
    <w:basedOn w:val="Norml"/>
    <w:next w:val="Norml"/>
    <w:autoRedefine/>
    <w:uiPriority w:val="39"/>
    <w:unhideWhenUsed/>
    <w:rsid w:val="0018360B"/>
    <w:pPr>
      <w:spacing w:after="100"/>
    </w:pPr>
  </w:style>
  <w:style w:type="character" w:customStyle="1" w:styleId="IrodalomjegyzkfelsorolsnmhhChar">
    <w:name w:val="Irodalomjegyzék_felsorolás_nmhh Char"/>
    <w:basedOn w:val="BekezdsnmhhChar"/>
    <w:link w:val="Irodalomjegyzkfelsorolsnmhh"/>
    <w:rsid w:val="0018360B"/>
    <w:rPr>
      <w:sz w:val="20"/>
      <w:szCs w:val="20"/>
    </w:rPr>
  </w:style>
  <w:style w:type="character" w:customStyle="1" w:styleId="Cmsor2Char">
    <w:name w:val="Címsor 2 Char"/>
    <w:basedOn w:val="Bekezdsalapbettpusa"/>
    <w:link w:val="Cmsor2"/>
    <w:uiPriority w:val="9"/>
    <w:semiHidden/>
    <w:rsid w:val="00AD08FA"/>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sid w:val="00AD08FA"/>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sid w:val="00AD08FA"/>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rsid w:val="0018360B"/>
    <w:pPr>
      <w:spacing w:after="100"/>
      <w:ind w:left="220"/>
    </w:pPr>
  </w:style>
  <w:style w:type="paragraph" w:styleId="TJ3">
    <w:name w:val="toc 3"/>
    <w:basedOn w:val="Norml"/>
    <w:next w:val="Norml"/>
    <w:autoRedefine/>
    <w:uiPriority w:val="39"/>
    <w:unhideWhenUsed/>
    <w:rsid w:val="0018360B"/>
    <w:pPr>
      <w:spacing w:after="100"/>
      <w:ind w:left="440"/>
    </w:pPr>
  </w:style>
  <w:style w:type="paragraph" w:customStyle="1" w:styleId="BasicParagraph">
    <w:name w:val="[Basic Paragraph]"/>
    <w:basedOn w:val="Norml"/>
    <w:uiPriority w:val="99"/>
    <w:rsid w:val="00AD08FA"/>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rsid w:val="006F446C"/>
    <w:pPr>
      <w:spacing w:after="240" w:line="720" w:lineRule="exact"/>
      <w:jc w:val="left"/>
    </w:pPr>
    <w:rPr>
      <w:rFonts w:ascii="Arial" w:hAnsi="Arial" w:cstheme="minorBidi"/>
      <w:b/>
      <w:color w:val="911E6C"/>
      <w:sz w:val="60"/>
      <w:szCs w:val="60"/>
    </w:rPr>
  </w:style>
  <w:style w:type="paragraph" w:customStyle="1" w:styleId="Style3">
    <w:name w:val="Style3"/>
    <w:basedOn w:val="Norml"/>
    <w:rsid w:val="00AD08FA"/>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rsid w:val="00A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D08FA"/>
    <w:rPr>
      <w:color w:val="808080"/>
    </w:rPr>
  </w:style>
  <w:style w:type="character" w:styleId="Hiperhivatkozs">
    <w:name w:val="Hyperlink"/>
    <w:basedOn w:val="Bekezdsalapbettpusa"/>
    <w:uiPriority w:val="99"/>
    <w:unhideWhenUsed/>
    <w:rsid w:val="00AD08FA"/>
    <w:rPr>
      <w:color w:val="0000FF" w:themeColor="hyperlink"/>
      <w:u w:val="single"/>
    </w:rPr>
  </w:style>
  <w:style w:type="paragraph" w:styleId="Buborkszveg">
    <w:name w:val="Balloon Text"/>
    <w:basedOn w:val="Norml"/>
    <w:link w:val="BuborkszvegChar"/>
    <w:uiPriority w:val="99"/>
    <w:semiHidden/>
    <w:unhideWhenUsed/>
    <w:rsid w:val="00AD08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08FA"/>
    <w:rPr>
      <w:rFonts w:ascii="Tahoma" w:hAnsi="Tahoma" w:cs="Tahoma"/>
      <w:sz w:val="16"/>
      <w:szCs w:val="16"/>
    </w:rPr>
  </w:style>
  <w:style w:type="paragraph" w:customStyle="1" w:styleId="ECCParagraph">
    <w:name w:val="ECC Paragraph"/>
    <w:basedOn w:val="Norml"/>
    <w:link w:val="ECCParagraphChar"/>
    <w:uiPriority w:val="99"/>
    <w:rsid w:val="008E3AAF"/>
    <w:pPr>
      <w:spacing w:after="240" w:line="240" w:lineRule="auto"/>
    </w:pPr>
    <w:rPr>
      <w:rFonts w:ascii="Arial" w:eastAsia="Times New Roman" w:hAnsi="Arial" w:cs="Times New Roman"/>
      <w:sz w:val="20"/>
      <w:szCs w:val="24"/>
      <w:lang w:val="en-GB"/>
    </w:rPr>
  </w:style>
  <w:style w:type="paragraph" w:customStyle="1" w:styleId="ECCParBulleted">
    <w:name w:val="ECC Par Bulleted"/>
    <w:basedOn w:val="ECCParagraph"/>
    <w:rsid w:val="008E3AAF"/>
    <w:pPr>
      <w:numPr>
        <w:numId w:val="9"/>
      </w:numPr>
      <w:spacing w:after="120"/>
    </w:pPr>
  </w:style>
  <w:style w:type="character" w:customStyle="1" w:styleId="ECCParagraphChar">
    <w:name w:val="ECC Paragraph Char"/>
    <w:link w:val="ECCParagraph"/>
    <w:uiPriority w:val="99"/>
    <w:locked/>
    <w:rsid w:val="008E3AAF"/>
    <w:rPr>
      <w:rFonts w:ascii="Arial" w:eastAsia="Times New Roman" w:hAnsi="Arial" w:cs="Times New Roman"/>
      <w:sz w:val="20"/>
      <w:szCs w:val="24"/>
      <w:lang w:val="en-GB"/>
    </w:rPr>
  </w:style>
  <w:style w:type="paragraph" w:customStyle="1" w:styleId="Default">
    <w:name w:val="Default"/>
    <w:rsid w:val="00CE6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l"/>
    <w:rsid w:val="00CE6FFA"/>
    <w:pPr>
      <w:numPr>
        <w:numId w:val="10"/>
      </w:numPr>
      <w:spacing w:after="0" w:line="240" w:lineRule="auto"/>
      <w:jc w:val="left"/>
    </w:pPr>
    <w:rPr>
      <w:rFonts w:ascii="Arial" w:eastAsia="Times New Roman" w:hAnsi="Arial" w:cs="Times New Roman"/>
      <w:sz w:val="20"/>
      <w:szCs w:val="24"/>
      <w:lang w:val="en-US" w:eastAsia="ja-JP"/>
    </w:rPr>
  </w:style>
  <w:style w:type="character" w:styleId="Mrltotthiperhivatkozs">
    <w:name w:val="FollowedHyperlink"/>
    <w:basedOn w:val="Bekezdsalapbettpusa"/>
    <w:uiPriority w:val="99"/>
    <w:semiHidden/>
    <w:unhideWhenUsed/>
    <w:rsid w:val="00CE6FFA"/>
    <w:rPr>
      <w:color w:val="800080" w:themeColor="followedHyperlink"/>
      <w:u w:val="single"/>
    </w:rPr>
  </w:style>
  <w:style w:type="paragraph" w:styleId="NormlWeb">
    <w:name w:val="Normal (Web)"/>
    <w:basedOn w:val="Norml"/>
    <w:uiPriority w:val="99"/>
    <w:unhideWhenUsed/>
    <w:rsid w:val="00D6024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labjegyzetlistajaazonosito">
    <w:name w:val="labjegyzet_listaja_azonosito"/>
    <w:basedOn w:val="Bekezdsalapbettpusa"/>
    <w:rsid w:val="00D60243"/>
  </w:style>
  <w:style w:type="paragraph" w:customStyle="1" w:styleId="Reftext">
    <w:name w:val="Ref_text"/>
    <w:basedOn w:val="Norml"/>
    <w:rsid w:val="007E2090"/>
    <w:pPr>
      <w:tabs>
        <w:tab w:val="left" w:pos="1134"/>
        <w:tab w:val="left" w:pos="1871"/>
        <w:tab w:val="left" w:pos="2268"/>
      </w:tabs>
      <w:overflowPunct w:val="0"/>
      <w:autoSpaceDE w:val="0"/>
      <w:autoSpaceDN w:val="0"/>
      <w:adjustRightInd w:val="0"/>
      <w:spacing w:before="120" w:after="0" w:line="240" w:lineRule="auto"/>
      <w:ind w:left="1134" w:hanging="1134"/>
      <w:jc w:val="left"/>
      <w:textAlignment w:val="baseline"/>
    </w:pPr>
    <w:rPr>
      <w:rFonts w:ascii="Times New Roman" w:eastAsia="Times New Roman" w:hAnsi="Times New Roman" w:cs="Times New Roman"/>
      <w:sz w:val="24"/>
      <w:szCs w:val="20"/>
      <w:lang w:val="en-GB"/>
    </w:rPr>
  </w:style>
  <w:style w:type="paragraph" w:styleId="Vgjegyzetszvege">
    <w:name w:val="endnote text"/>
    <w:basedOn w:val="Norml"/>
    <w:link w:val="VgjegyzetszvegeChar"/>
    <w:uiPriority w:val="99"/>
    <w:semiHidden/>
    <w:unhideWhenUsed/>
    <w:rsid w:val="00501EF8"/>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01EF8"/>
    <w:rPr>
      <w:sz w:val="20"/>
      <w:szCs w:val="20"/>
    </w:rPr>
  </w:style>
  <w:style w:type="character" w:styleId="Vgjegyzet-hivatkozs">
    <w:name w:val="endnote reference"/>
    <w:basedOn w:val="Bekezdsalapbettpusa"/>
    <w:uiPriority w:val="99"/>
    <w:semiHidden/>
    <w:unhideWhenUsed/>
    <w:rsid w:val="00501EF8"/>
    <w:rPr>
      <w:vertAlign w:val="superscript"/>
    </w:rPr>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114877"/>
    <w:pPr>
      <w:spacing w:after="0" w:line="240" w:lineRule="auto"/>
      <w:jc w:val="left"/>
    </w:pPr>
    <w:rPr>
      <w:rFonts w:cstheme="minorBidi"/>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114877"/>
    <w:rPr>
      <w:rFonts w:cstheme="minorBidi"/>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114877"/>
    <w:rPr>
      <w:vertAlign w:val="superscript"/>
    </w:rPr>
  </w:style>
  <w:style w:type="character" w:styleId="Jegyzethivatkozs">
    <w:name w:val="annotation reference"/>
    <w:basedOn w:val="Bekezdsalapbettpusa"/>
    <w:uiPriority w:val="99"/>
    <w:semiHidden/>
    <w:unhideWhenUsed/>
    <w:rsid w:val="00955510"/>
    <w:rPr>
      <w:sz w:val="16"/>
      <w:szCs w:val="16"/>
    </w:rPr>
  </w:style>
  <w:style w:type="paragraph" w:styleId="Jegyzetszveg">
    <w:name w:val="annotation text"/>
    <w:basedOn w:val="Norml"/>
    <w:link w:val="JegyzetszvegChar"/>
    <w:uiPriority w:val="99"/>
    <w:unhideWhenUsed/>
    <w:rsid w:val="00955510"/>
    <w:pPr>
      <w:spacing w:line="240" w:lineRule="auto"/>
    </w:pPr>
    <w:rPr>
      <w:sz w:val="20"/>
      <w:szCs w:val="20"/>
    </w:rPr>
  </w:style>
  <w:style w:type="character" w:customStyle="1" w:styleId="JegyzetszvegChar">
    <w:name w:val="Jegyzetszöveg Char"/>
    <w:basedOn w:val="Bekezdsalapbettpusa"/>
    <w:link w:val="Jegyzetszveg"/>
    <w:uiPriority w:val="99"/>
    <w:rsid w:val="00955510"/>
    <w:rPr>
      <w:sz w:val="20"/>
      <w:szCs w:val="20"/>
    </w:rPr>
  </w:style>
  <w:style w:type="paragraph" w:styleId="Megjegyzstrgya">
    <w:name w:val="annotation subject"/>
    <w:basedOn w:val="Jegyzetszveg"/>
    <w:next w:val="Jegyzetszveg"/>
    <w:link w:val="MegjegyzstrgyaChar"/>
    <w:uiPriority w:val="99"/>
    <w:semiHidden/>
    <w:unhideWhenUsed/>
    <w:rsid w:val="00955510"/>
    <w:rPr>
      <w:b/>
      <w:bCs/>
    </w:rPr>
  </w:style>
  <w:style w:type="character" w:customStyle="1" w:styleId="MegjegyzstrgyaChar">
    <w:name w:val="Megjegyzés tárgya Char"/>
    <w:basedOn w:val="JegyzetszvegChar"/>
    <w:link w:val="Megjegyzstrgya"/>
    <w:uiPriority w:val="99"/>
    <w:semiHidden/>
    <w:rsid w:val="00955510"/>
    <w:rPr>
      <w:b/>
      <w:bCs/>
      <w:sz w:val="20"/>
      <w:szCs w:val="20"/>
    </w:rPr>
  </w:style>
  <w:style w:type="paragraph" w:styleId="Alcm">
    <w:name w:val="Subtitle"/>
    <w:basedOn w:val="Norml"/>
    <w:next w:val="Norml"/>
    <w:link w:val="AlcmChar"/>
    <w:uiPriority w:val="11"/>
    <w:qFormat/>
    <w:rsid w:val="00CE5170"/>
    <w:pPr>
      <w:numPr>
        <w:ilvl w:val="1"/>
      </w:numPr>
      <w:spacing w:after="200"/>
    </w:pPr>
    <w:rPr>
      <w:rFonts w:asciiTheme="majorHAnsi" w:eastAsiaTheme="majorEastAsia" w:hAnsiTheme="majorHAnsi" w:cstheme="majorBidi"/>
      <w:i/>
      <w:iCs/>
      <w:color w:val="4F81BD" w:themeColor="accent1"/>
      <w:spacing w:val="15"/>
      <w:sz w:val="24"/>
      <w:szCs w:val="24"/>
      <w:lang w:val="en-US" w:bidi="en-US"/>
    </w:rPr>
  </w:style>
  <w:style w:type="character" w:customStyle="1" w:styleId="AlcmChar">
    <w:name w:val="Alcím Char"/>
    <w:basedOn w:val="Bekezdsalapbettpusa"/>
    <w:link w:val="Alcm"/>
    <w:uiPriority w:val="11"/>
    <w:rsid w:val="00CE5170"/>
    <w:rPr>
      <w:rFonts w:asciiTheme="majorHAnsi" w:eastAsiaTheme="majorEastAsia" w:hAnsiTheme="majorHAnsi" w:cstheme="majorBidi"/>
      <w:i/>
      <w:iCs/>
      <w:color w:val="4F81BD" w:themeColor="accent1"/>
      <w:spacing w:val="15"/>
      <w:sz w:val="24"/>
      <w:szCs w:val="24"/>
      <w:lang w:val="en-US" w:bidi="en-US"/>
    </w:rPr>
  </w:style>
  <w:style w:type="character" w:styleId="Kiemels">
    <w:name w:val="Emphasis"/>
    <w:basedOn w:val="Bekezdsalapbettpusa"/>
    <w:uiPriority w:val="20"/>
    <w:qFormat/>
    <w:rsid w:val="008C7E54"/>
    <w:rPr>
      <w:i/>
      <w:iCs/>
    </w:rPr>
  </w:style>
  <w:style w:type="character" w:customStyle="1" w:styleId="shorttext">
    <w:name w:val="short_text"/>
    <w:basedOn w:val="Bekezdsalapbettpusa"/>
    <w:rsid w:val="00547075"/>
  </w:style>
  <w:style w:type="paragraph" w:customStyle="1" w:styleId="mellekletpontformazott">
    <w:name w:val="melleklet_pont_formazott"/>
    <w:basedOn w:val="Norml"/>
    <w:rsid w:val="0089208B"/>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9208B"/>
    <w:rPr>
      <w:b/>
      <w:bCs/>
    </w:rPr>
  </w:style>
  <w:style w:type="table" w:customStyle="1" w:styleId="NormalTablePHPDOCX">
    <w:name w:val="Normal Table PHPDOCX"/>
    <w:uiPriority w:val="99"/>
    <w:semiHidden/>
    <w:unhideWhenUsed/>
    <w:qFormat/>
    <w:rsid w:val="00475E60"/>
    <w:rPr>
      <w:rFonts w:cstheme="minorBidi"/>
      <w:lang w:val="en-US"/>
    </w:rPr>
    <w:tblPr>
      <w:tblInd w:w="0" w:type="dxa"/>
      <w:tblCellMar>
        <w:top w:w="0" w:type="dxa"/>
        <w:left w:w="108" w:type="dxa"/>
        <w:bottom w:w="0" w:type="dxa"/>
        <w:right w:w="108" w:type="dxa"/>
      </w:tblCellMar>
    </w:tblPr>
  </w:style>
  <w:style w:type="paragraph" w:styleId="Vltozat">
    <w:name w:val="Revision"/>
    <w:hidden/>
    <w:uiPriority w:val="99"/>
    <w:semiHidden/>
    <w:rsid w:val="00CD4DFB"/>
    <w:pPr>
      <w:spacing w:after="0" w:line="240" w:lineRule="auto"/>
    </w:pPr>
  </w:style>
  <w:style w:type="table" w:styleId="Tblzatrcsosvilgos">
    <w:name w:val="Grid Table Light"/>
    <w:basedOn w:val="Normltblzat"/>
    <w:uiPriority w:val="40"/>
    <w:rsid w:val="00121B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Bekezdsalapbettpusa"/>
    <w:rsid w:val="00E8578F"/>
  </w:style>
  <w:style w:type="character" w:customStyle="1" w:styleId="jlqj4b">
    <w:name w:val="jlqj4b"/>
    <w:basedOn w:val="Bekezdsalapbettpusa"/>
    <w:rsid w:val="00E8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7177">
      <w:bodyDiv w:val="1"/>
      <w:marLeft w:val="0"/>
      <w:marRight w:val="0"/>
      <w:marTop w:val="0"/>
      <w:marBottom w:val="0"/>
      <w:divBdr>
        <w:top w:val="none" w:sz="0" w:space="0" w:color="auto"/>
        <w:left w:val="none" w:sz="0" w:space="0" w:color="auto"/>
        <w:bottom w:val="none" w:sz="0" w:space="0" w:color="auto"/>
        <w:right w:val="none" w:sz="0" w:space="0" w:color="auto"/>
      </w:divBdr>
    </w:div>
    <w:div w:id="140081595">
      <w:bodyDiv w:val="1"/>
      <w:marLeft w:val="0"/>
      <w:marRight w:val="0"/>
      <w:marTop w:val="0"/>
      <w:marBottom w:val="0"/>
      <w:divBdr>
        <w:top w:val="none" w:sz="0" w:space="0" w:color="auto"/>
        <w:left w:val="none" w:sz="0" w:space="0" w:color="auto"/>
        <w:bottom w:val="none" w:sz="0" w:space="0" w:color="auto"/>
        <w:right w:val="none" w:sz="0" w:space="0" w:color="auto"/>
      </w:divBdr>
    </w:div>
    <w:div w:id="178400206">
      <w:bodyDiv w:val="1"/>
      <w:marLeft w:val="0"/>
      <w:marRight w:val="0"/>
      <w:marTop w:val="0"/>
      <w:marBottom w:val="0"/>
      <w:divBdr>
        <w:top w:val="none" w:sz="0" w:space="0" w:color="auto"/>
        <w:left w:val="none" w:sz="0" w:space="0" w:color="auto"/>
        <w:bottom w:val="none" w:sz="0" w:space="0" w:color="auto"/>
        <w:right w:val="none" w:sz="0" w:space="0" w:color="auto"/>
      </w:divBdr>
      <w:divsChild>
        <w:div w:id="195851903">
          <w:marLeft w:val="0"/>
          <w:marRight w:val="0"/>
          <w:marTop w:val="0"/>
          <w:marBottom w:val="0"/>
          <w:divBdr>
            <w:top w:val="none" w:sz="0" w:space="0" w:color="auto"/>
            <w:left w:val="none" w:sz="0" w:space="0" w:color="auto"/>
            <w:bottom w:val="none" w:sz="0" w:space="0" w:color="auto"/>
            <w:right w:val="none" w:sz="0" w:space="0" w:color="auto"/>
          </w:divBdr>
        </w:div>
        <w:div w:id="382413315">
          <w:marLeft w:val="0"/>
          <w:marRight w:val="0"/>
          <w:marTop w:val="0"/>
          <w:marBottom w:val="0"/>
          <w:divBdr>
            <w:top w:val="none" w:sz="0" w:space="0" w:color="auto"/>
            <w:left w:val="none" w:sz="0" w:space="0" w:color="auto"/>
            <w:bottom w:val="none" w:sz="0" w:space="0" w:color="auto"/>
            <w:right w:val="none" w:sz="0" w:space="0" w:color="auto"/>
          </w:divBdr>
        </w:div>
        <w:div w:id="996222482">
          <w:marLeft w:val="0"/>
          <w:marRight w:val="0"/>
          <w:marTop w:val="0"/>
          <w:marBottom w:val="0"/>
          <w:divBdr>
            <w:top w:val="none" w:sz="0" w:space="0" w:color="auto"/>
            <w:left w:val="none" w:sz="0" w:space="0" w:color="auto"/>
            <w:bottom w:val="none" w:sz="0" w:space="0" w:color="auto"/>
            <w:right w:val="none" w:sz="0" w:space="0" w:color="auto"/>
          </w:divBdr>
        </w:div>
      </w:divsChild>
    </w:div>
    <w:div w:id="238638878">
      <w:bodyDiv w:val="1"/>
      <w:marLeft w:val="0"/>
      <w:marRight w:val="0"/>
      <w:marTop w:val="0"/>
      <w:marBottom w:val="0"/>
      <w:divBdr>
        <w:top w:val="none" w:sz="0" w:space="0" w:color="auto"/>
        <w:left w:val="none" w:sz="0" w:space="0" w:color="auto"/>
        <w:bottom w:val="none" w:sz="0" w:space="0" w:color="auto"/>
        <w:right w:val="none" w:sz="0" w:space="0" w:color="auto"/>
      </w:divBdr>
      <w:divsChild>
        <w:div w:id="1599868381">
          <w:marLeft w:val="0"/>
          <w:marRight w:val="0"/>
          <w:marTop w:val="0"/>
          <w:marBottom w:val="0"/>
          <w:divBdr>
            <w:top w:val="none" w:sz="0" w:space="0" w:color="auto"/>
            <w:left w:val="none" w:sz="0" w:space="0" w:color="auto"/>
            <w:bottom w:val="none" w:sz="0" w:space="0" w:color="auto"/>
            <w:right w:val="none" w:sz="0" w:space="0" w:color="auto"/>
          </w:divBdr>
        </w:div>
        <w:div w:id="1926499719">
          <w:marLeft w:val="0"/>
          <w:marRight w:val="0"/>
          <w:marTop w:val="0"/>
          <w:marBottom w:val="0"/>
          <w:divBdr>
            <w:top w:val="none" w:sz="0" w:space="0" w:color="auto"/>
            <w:left w:val="none" w:sz="0" w:space="0" w:color="auto"/>
            <w:bottom w:val="none" w:sz="0" w:space="0" w:color="auto"/>
            <w:right w:val="none" w:sz="0" w:space="0" w:color="auto"/>
          </w:divBdr>
        </w:div>
      </w:divsChild>
    </w:div>
    <w:div w:id="288168157">
      <w:bodyDiv w:val="1"/>
      <w:marLeft w:val="0"/>
      <w:marRight w:val="0"/>
      <w:marTop w:val="0"/>
      <w:marBottom w:val="0"/>
      <w:divBdr>
        <w:top w:val="none" w:sz="0" w:space="0" w:color="auto"/>
        <w:left w:val="none" w:sz="0" w:space="0" w:color="auto"/>
        <w:bottom w:val="none" w:sz="0" w:space="0" w:color="auto"/>
        <w:right w:val="none" w:sz="0" w:space="0" w:color="auto"/>
      </w:divBdr>
    </w:div>
    <w:div w:id="319113571">
      <w:bodyDiv w:val="1"/>
      <w:marLeft w:val="0"/>
      <w:marRight w:val="0"/>
      <w:marTop w:val="0"/>
      <w:marBottom w:val="0"/>
      <w:divBdr>
        <w:top w:val="none" w:sz="0" w:space="0" w:color="auto"/>
        <w:left w:val="none" w:sz="0" w:space="0" w:color="auto"/>
        <w:bottom w:val="none" w:sz="0" w:space="0" w:color="auto"/>
        <w:right w:val="none" w:sz="0" w:space="0" w:color="auto"/>
      </w:divBdr>
    </w:div>
    <w:div w:id="350569063">
      <w:bodyDiv w:val="1"/>
      <w:marLeft w:val="0"/>
      <w:marRight w:val="0"/>
      <w:marTop w:val="0"/>
      <w:marBottom w:val="0"/>
      <w:divBdr>
        <w:top w:val="none" w:sz="0" w:space="0" w:color="auto"/>
        <w:left w:val="none" w:sz="0" w:space="0" w:color="auto"/>
        <w:bottom w:val="none" w:sz="0" w:space="0" w:color="auto"/>
        <w:right w:val="none" w:sz="0" w:space="0" w:color="auto"/>
      </w:divBdr>
    </w:div>
    <w:div w:id="485560958">
      <w:bodyDiv w:val="1"/>
      <w:marLeft w:val="0"/>
      <w:marRight w:val="0"/>
      <w:marTop w:val="0"/>
      <w:marBottom w:val="0"/>
      <w:divBdr>
        <w:top w:val="none" w:sz="0" w:space="0" w:color="auto"/>
        <w:left w:val="none" w:sz="0" w:space="0" w:color="auto"/>
        <w:bottom w:val="none" w:sz="0" w:space="0" w:color="auto"/>
        <w:right w:val="none" w:sz="0" w:space="0" w:color="auto"/>
      </w:divBdr>
    </w:div>
    <w:div w:id="573202463">
      <w:bodyDiv w:val="1"/>
      <w:marLeft w:val="0"/>
      <w:marRight w:val="0"/>
      <w:marTop w:val="0"/>
      <w:marBottom w:val="0"/>
      <w:divBdr>
        <w:top w:val="none" w:sz="0" w:space="0" w:color="auto"/>
        <w:left w:val="none" w:sz="0" w:space="0" w:color="auto"/>
        <w:bottom w:val="none" w:sz="0" w:space="0" w:color="auto"/>
        <w:right w:val="none" w:sz="0" w:space="0" w:color="auto"/>
      </w:divBdr>
    </w:div>
    <w:div w:id="642123367">
      <w:bodyDiv w:val="1"/>
      <w:marLeft w:val="0"/>
      <w:marRight w:val="0"/>
      <w:marTop w:val="0"/>
      <w:marBottom w:val="0"/>
      <w:divBdr>
        <w:top w:val="none" w:sz="0" w:space="0" w:color="auto"/>
        <w:left w:val="none" w:sz="0" w:space="0" w:color="auto"/>
        <w:bottom w:val="none" w:sz="0" w:space="0" w:color="auto"/>
        <w:right w:val="none" w:sz="0" w:space="0" w:color="auto"/>
      </w:divBdr>
    </w:div>
    <w:div w:id="856774722">
      <w:bodyDiv w:val="1"/>
      <w:marLeft w:val="0"/>
      <w:marRight w:val="0"/>
      <w:marTop w:val="0"/>
      <w:marBottom w:val="0"/>
      <w:divBdr>
        <w:top w:val="none" w:sz="0" w:space="0" w:color="auto"/>
        <w:left w:val="none" w:sz="0" w:space="0" w:color="auto"/>
        <w:bottom w:val="none" w:sz="0" w:space="0" w:color="auto"/>
        <w:right w:val="none" w:sz="0" w:space="0" w:color="auto"/>
      </w:divBdr>
    </w:div>
    <w:div w:id="872687799">
      <w:bodyDiv w:val="1"/>
      <w:marLeft w:val="0"/>
      <w:marRight w:val="0"/>
      <w:marTop w:val="0"/>
      <w:marBottom w:val="0"/>
      <w:divBdr>
        <w:top w:val="none" w:sz="0" w:space="0" w:color="auto"/>
        <w:left w:val="none" w:sz="0" w:space="0" w:color="auto"/>
        <w:bottom w:val="none" w:sz="0" w:space="0" w:color="auto"/>
        <w:right w:val="none" w:sz="0" w:space="0" w:color="auto"/>
      </w:divBdr>
      <w:divsChild>
        <w:div w:id="365522334">
          <w:marLeft w:val="0"/>
          <w:marRight w:val="0"/>
          <w:marTop w:val="0"/>
          <w:marBottom w:val="0"/>
          <w:divBdr>
            <w:top w:val="none" w:sz="0" w:space="0" w:color="auto"/>
            <w:left w:val="none" w:sz="0" w:space="0" w:color="auto"/>
            <w:bottom w:val="none" w:sz="0" w:space="0" w:color="auto"/>
            <w:right w:val="none" w:sz="0" w:space="0" w:color="auto"/>
          </w:divBdr>
        </w:div>
        <w:div w:id="1248729282">
          <w:marLeft w:val="0"/>
          <w:marRight w:val="0"/>
          <w:marTop w:val="0"/>
          <w:marBottom w:val="0"/>
          <w:divBdr>
            <w:top w:val="none" w:sz="0" w:space="0" w:color="auto"/>
            <w:left w:val="none" w:sz="0" w:space="0" w:color="auto"/>
            <w:bottom w:val="none" w:sz="0" w:space="0" w:color="auto"/>
            <w:right w:val="none" w:sz="0" w:space="0" w:color="auto"/>
          </w:divBdr>
        </w:div>
        <w:div w:id="1309239470">
          <w:marLeft w:val="0"/>
          <w:marRight w:val="0"/>
          <w:marTop w:val="0"/>
          <w:marBottom w:val="0"/>
          <w:divBdr>
            <w:top w:val="none" w:sz="0" w:space="0" w:color="auto"/>
            <w:left w:val="none" w:sz="0" w:space="0" w:color="auto"/>
            <w:bottom w:val="none" w:sz="0" w:space="0" w:color="auto"/>
            <w:right w:val="none" w:sz="0" w:space="0" w:color="auto"/>
          </w:divBdr>
        </w:div>
        <w:div w:id="1719940418">
          <w:marLeft w:val="0"/>
          <w:marRight w:val="0"/>
          <w:marTop w:val="0"/>
          <w:marBottom w:val="0"/>
          <w:divBdr>
            <w:top w:val="none" w:sz="0" w:space="0" w:color="auto"/>
            <w:left w:val="none" w:sz="0" w:space="0" w:color="auto"/>
            <w:bottom w:val="none" w:sz="0" w:space="0" w:color="auto"/>
            <w:right w:val="none" w:sz="0" w:space="0" w:color="auto"/>
          </w:divBdr>
        </w:div>
        <w:div w:id="1936014941">
          <w:marLeft w:val="0"/>
          <w:marRight w:val="0"/>
          <w:marTop w:val="0"/>
          <w:marBottom w:val="0"/>
          <w:divBdr>
            <w:top w:val="none" w:sz="0" w:space="0" w:color="auto"/>
            <w:left w:val="none" w:sz="0" w:space="0" w:color="auto"/>
            <w:bottom w:val="none" w:sz="0" w:space="0" w:color="auto"/>
            <w:right w:val="none" w:sz="0" w:space="0" w:color="auto"/>
          </w:divBdr>
        </w:div>
        <w:div w:id="2034073035">
          <w:marLeft w:val="0"/>
          <w:marRight w:val="0"/>
          <w:marTop w:val="0"/>
          <w:marBottom w:val="0"/>
          <w:divBdr>
            <w:top w:val="none" w:sz="0" w:space="0" w:color="auto"/>
            <w:left w:val="none" w:sz="0" w:space="0" w:color="auto"/>
            <w:bottom w:val="none" w:sz="0" w:space="0" w:color="auto"/>
            <w:right w:val="none" w:sz="0" w:space="0" w:color="auto"/>
          </w:divBdr>
        </w:div>
        <w:div w:id="2080402137">
          <w:marLeft w:val="0"/>
          <w:marRight w:val="0"/>
          <w:marTop w:val="0"/>
          <w:marBottom w:val="0"/>
          <w:divBdr>
            <w:top w:val="none" w:sz="0" w:space="0" w:color="auto"/>
            <w:left w:val="none" w:sz="0" w:space="0" w:color="auto"/>
            <w:bottom w:val="none" w:sz="0" w:space="0" w:color="auto"/>
            <w:right w:val="none" w:sz="0" w:space="0" w:color="auto"/>
          </w:divBdr>
        </w:div>
      </w:divsChild>
    </w:div>
    <w:div w:id="920716897">
      <w:bodyDiv w:val="1"/>
      <w:marLeft w:val="0"/>
      <w:marRight w:val="0"/>
      <w:marTop w:val="0"/>
      <w:marBottom w:val="0"/>
      <w:divBdr>
        <w:top w:val="none" w:sz="0" w:space="0" w:color="auto"/>
        <w:left w:val="none" w:sz="0" w:space="0" w:color="auto"/>
        <w:bottom w:val="none" w:sz="0" w:space="0" w:color="auto"/>
        <w:right w:val="none" w:sz="0" w:space="0" w:color="auto"/>
      </w:divBdr>
    </w:div>
    <w:div w:id="999117059">
      <w:bodyDiv w:val="1"/>
      <w:marLeft w:val="0"/>
      <w:marRight w:val="0"/>
      <w:marTop w:val="0"/>
      <w:marBottom w:val="0"/>
      <w:divBdr>
        <w:top w:val="none" w:sz="0" w:space="0" w:color="auto"/>
        <w:left w:val="none" w:sz="0" w:space="0" w:color="auto"/>
        <w:bottom w:val="none" w:sz="0" w:space="0" w:color="auto"/>
        <w:right w:val="none" w:sz="0" w:space="0" w:color="auto"/>
      </w:divBdr>
    </w:div>
    <w:div w:id="1033310374">
      <w:bodyDiv w:val="1"/>
      <w:marLeft w:val="0"/>
      <w:marRight w:val="0"/>
      <w:marTop w:val="0"/>
      <w:marBottom w:val="0"/>
      <w:divBdr>
        <w:top w:val="none" w:sz="0" w:space="0" w:color="auto"/>
        <w:left w:val="none" w:sz="0" w:space="0" w:color="auto"/>
        <w:bottom w:val="none" w:sz="0" w:space="0" w:color="auto"/>
        <w:right w:val="none" w:sz="0" w:space="0" w:color="auto"/>
      </w:divBdr>
    </w:div>
    <w:div w:id="1048383334">
      <w:bodyDiv w:val="1"/>
      <w:marLeft w:val="0"/>
      <w:marRight w:val="0"/>
      <w:marTop w:val="0"/>
      <w:marBottom w:val="0"/>
      <w:divBdr>
        <w:top w:val="none" w:sz="0" w:space="0" w:color="auto"/>
        <w:left w:val="none" w:sz="0" w:space="0" w:color="auto"/>
        <w:bottom w:val="none" w:sz="0" w:space="0" w:color="auto"/>
        <w:right w:val="none" w:sz="0" w:space="0" w:color="auto"/>
      </w:divBdr>
    </w:div>
    <w:div w:id="1121995944">
      <w:bodyDiv w:val="1"/>
      <w:marLeft w:val="0"/>
      <w:marRight w:val="0"/>
      <w:marTop w:val="0"/>
      <w:marBottom w:val="0"/>
      <w:divBdr>
        <w:top w:val="none" w:sz="0" w:space="0" w:color="auto"/>
        <w:left w:val="none" w:sz="0" w:space="0" w:color="auto"/>
        <w:bottom w:val="none" w:sz="0" w:space="0" w:color="auto"/>
        <w:right w:val="none" w:sz="0" w:space="0" w:color="auto"/>
      </w:divBdr>
    </w:div>
    <w:div w:id="1193035548">
      <w:bodyDiv w:val="1"/>
      <w:marLeft w:val="0"/>
      <w:marRight w:val="0"/>
      <w:marTop w:val="0"/>
      <w:marBottom w:val="0"/>
      <w:divBdr>
        <w:top w:val="none" w:sz="0" w:space="0" w:color="auto"/>
        <w:left w:val="none" w:sz="0" w:space="0" w:color="auto"/>
        <w:bottom w:val="none" w:sz="0" w:space="0" w:color="auto"/>
        <w:right w:val="none" w:sz="0" w:space="0" w:color="auto"/>
      </w:divBdr>
    </w:div>
    <w:div w:id="1285848522">
      <w:bodyDiv w:val="1"/>
      <w:marLeft w:val="0"/>
      <w:marRight w:val="0"/>
      <w:marTop w:val="0"/>
      <w:marBottom w:val="0"/>
      <w:divBdr>
        <w:top w:val="none" w:sz="0" w:space="0" w:color="auto"/>
        <w:left w:val="none" w:sz="0" w:space="0" w:color="auto"/>
        <w:bottom w:val="none" w:sz="0" w:space="0" w:color="auto"/>
        <w:right w:val="none" w:sz="0" w:space="0" w:color="auto"/>
      </w:divBdr>
    </w:div>
    <w:div w:id="1318151663">
      <w:bodyDiv w:val="1"/>
      <w:marLeft w:val="0"/>
      <w:marRight w:val="0"/>
      <w:marTop w:val="0"/>
      <w:marBottom w:val="0"/>
      <w:divBdr>
        <w:top w:val="none" w:sz="0" w:space="0" w:color="auto"/>
        <w:left w:val="none" w:sz="0" w:space="0" w:color="auto"/>
        <w:bottom w:val="none" w:sz="0" w:space="0" w:color="auto"/>
        <w:right w:val="none" w:sz="0" w:space="0" w:color="auto"/>
      </w:divBdr>
    </w:div>
    <w:div w:id="1320189781">
      <w:bodyDiv w:val="1"/>
      <w:marLeft w:val="0"/>
      <w:marRight w:val="0"/>
      <w:marTop w:val="0"/>
      <w:marBottom w:val="0"/>
      <w:divBdr>
        <w:top w:val="none" w:sz="0" w:space="0" w:color="auto"/>
        <w:left w:val="none" w:sz="0" w:space="0" w:color="auto"/>
        <w:bottom w:val="none" w:sz="0" w:space="0" w:color="auto"/>
        <w:right w:val="none" w:sz="0" w:space="0" w:color="auto"/>
      </w:divBdr>
      <w:divsChild>
        <w:div w:id="55278336">
          <w:marLeft w:val="0"/>
          <w:marRight w:val="0"/>
          <w:marTop w:val="0"/>
          <w:marBottom w:val="0"/>
          <w:divBdr>
            <w:top w:val="none" w:sz="0" w:space="0" w:color="auto"/>
            <w:left w:val="none" w:sz="0" w:space="0" w:color="auto"/>
            <w:bottom w:val="none" w:sz="0" w:space="0" w:color="auto"/>
            <w:right w:val="none" w:sz="0" w:space="0" w:color="auto"/>
          </w:divBdr>
        </w:div>
        <w:div w:id="420880583">
          <w:marLeft w:val="0"/>
          <w:marRight w:val="0"/>
          <w:marTop w:val="0"/>
          <w:marBottom w:val="0"/>
          <w:divBdr>
            <w:top w:val="none" w:sz="0" w:space="0" w:color="auto"/>
            <w:left w:val="none" w:sz="0" w:space="0" w:color="auto"/>
            <w:bottom w:val="none" w:sz="0" w:space="0" w:color="auto"/>
            <w:right w:val="none" w:sz="0" w:space="0" w:color="auto"/>
          </w:divBdr>
        </w:div>
        <w:div w:id="598104105">
          <w:marLeft w:val="0"/>
          <w:marRight w:val="0"/>
          <w:marTop w:val="0"/>
          <w:marBottom w:val="0"/>
          <w:divBdr>
            <w:top w:val="none" w:sz="0" w:space="0" w:color="auto"/>
            <w:left w:val="none" w:sz="0" w:space="0" w:color="auto"/>
            <w:bottom w:val="none" w:sz="0" w:space="0" w:color="auto"/>
            <w:right w:val="none" w:sz="0" w:space="0" w:color="auto"/>
          </w:divBdr>
        </w:div>
        <w:div w:id="716121025">
          <w:marLeft w:val="0"/>
          <w:marRight w:val="0"/>
          <w:marTop w:val="0"/>
          <w:marBottom w:val="0"/>
          <w:divBdr>
            <w:top w:val="none" w:sz="0" w:space="0" w:color="auto"/>
            <w:left w:val="none" w:sz="0" w:space="0" w:color="auto"/>
            <w:bottom w:val="none" w:sz="0" w:space="0" w:color="auto"/>
            <w:right w:val="none" w:sz="0" w:space="0" w:color="auto"/>
          </w:divBdr>
        </w:div>
        <w:div w:id="837692773">
          <w:marLeft w:val="0"/>
          <w:marRight w:val="0"/>
          <w:marTop w:val="0"/>
          <w:marBottom w:val="0"/>
          <w:divBdr>
            <w:top w:val="none" w:sz="0" w:space="0" w:color="auto"/>
            <w:left w:val="none" w:sz="0" w:space="0" w:color="auto"/>
            <w:bottom w:val="none" w:sz="0" w:space="0" w:color="auto"/>
            <w:right w:val="none" w:sz="0" w:space="0" w:color="auto"/>
          </w:divBdr>
        </w:div>
        <w:div w:id="1369261657">
          <w:marLeft w:val="0"/>
          <w:marRight w:val="0"/>
          <w:marTop w:val="0"/>
          <w:marBottom w:val="0"/>
          <w:divBdr>
            <w:top w:val="none" w:sz="0" w:space="0" w:color="auto"/>
            <w:left w:val="none" w:sz="0" w:space="0" w:color="auto"/>
            <w:bottom w:val="none" w:sz="0" w:space="0" w:color="auto"/>
            <w:right w:val="none" w:sz="0" w:space="0" w:color="auto"/>
          </w:divBdr>
        </w:div>
      </w:divsChild>
    </w:div>
    <w:div w:id="1381707246">
      <w:bodyDiv w:val="1"/>
      <w:marLeft w:val="0"/>
      <w:marRight w:val="0"/>
      <w:marTop w:val="0"/>
      <w:marBottom w:val="0"/>
      <w:divBdr>
        <w:top w:val="none" w:sz="0" w:space="0" w:color="auto"/>
        <w:left w:val="none" w:sz="0" w:space="0" w:color="auto"/>
        <w:bottom w:val="none" w:sz="0" w:space="0" w:color="auto"/>
        <w:right w:val="none" w:sz="0" w:space="0" w:color="auto"/>
      </w:divBdr>
    </w:div>
    <w:div w:id="1395349365">
      <w:bodyDiv w:val="1"/>
      <w:marLeft w:val="0"/>
      <w:marRight w:val="0"/>
      <w:marTop w:val="0"/>
      <w:marBottom w:val="0"/>
      <w:divBdr>
        <w:top w:val="none" w:sz="0" w:space="0" w:color="auto"/>
        <w:left w:val="none" w:sz="0" w:space="0" w:color="auto"/>
        <w:bottom w:val="none" w:sz="0" w:space="0" w:color="auto"/>
        <w:right w:val="none" w:sz="0" w:space="0" w:color="auto"/>
      </w:divBdr>
    </w:div>
    <w:div w:id="1412237218">
      <w:bodyDiv w:val="1"/>
      <w:marLeft w:val="0"/>
      <w:marRight w:val="0"/>
      <w:marTop w:val="0"/>
      <w:marBottom w:val="0"/>
      <w:divBdr>
        <w:top w:val="none" w:sz="0" w:space="0" w:color="auto"/>
        <w:left w:val="none" w:sz="0" w:space="0" w:color="auto"/>
        <w:bottom w:val="none" w:sz="0" w:space="0" w:color="auto"/>
        <w:right w:val="none" w:sz="0" w:space="0" w:color="auto"/>
      </w:divBdr>
      <w:divsChild>
        <w:div w:id="688138859">
          <w:marLeft w:val="0"/>
          <w:marRight w:val="0"/>
          <w:marTop w:val="0"/>
          <w:marBottom w:val="0"/>
          <w:divBdr>
            <w:top w:val="none" w:sz="0" w:space="0" w:color="auto"/>
            <w:left w:val="none" w:sz="0" w:space="0" w:color="auto"/>
            <w:bottom w:val="none" w:sz="0" w:space="0" w:color="auto"/>
            <w:right w:val="none" w:sz="0" w:space="0" w:color="auto"/>
          </w:divBdr>
        </w:div>
        <w:div w:id="1865709485">
          <w:marLeft w:val="0"/>
          <w:marRight w:val="0"/>
          <w:marTop w:val="0"/>
          <w:marBottom w:val="0"/>
          <w:divBdr>
            <w:top w:val="none" w:sz="0" w:space="0" w:color="auto"/>
            <w:left w:val="none" w:sz="0" w:space="0" w:color="auto"/>
            <w:bottom w:val="none" w:sz="0" w:space="0" w:color="auto"/>
            <w:right w:val="none" w:sz="0" w:space="0" w:color="auto"/>
          </w:divBdr>
        </w:div>
      </w:divsChild>
    </w:div>
    <w:div w:id="1438599711">
      <w:bodyDiv w:val="1"/>
      <w:marLeft w:val="0"/>
      <w:marRight w:val="0"/>
      <w:marTop w:val="0"/>
      <w:marBottom w:val="0"/>
      <w:divBdr>
        <w:top w:val="none" w:sz="0" w:space="0" w:color="auto"/>
        <w:left w:val="none" w:sz="0" w:space="0" w:color="auto"/>
        <w:bottom w:val="none" w:sz="0" w:space="0" w:color="auto"/>
        <w:right w:val="none" w:sz="0" w:space="0" w:color="auto"/>
      </w:divBdr>
    </w:div>
    <w:div w:id="1508397764">
      <w:bodyDiv w:val="1"/>
      <w:marLeft w:val="0"/>
      <w:marRight w:val="0"/>
      <w:marTop w:val="0"/>
      <w:marBottom w:val="0"/>
      <w:divBdr>
        <w:top w:val="none" w:sz="0" w:space="0" w:color="auto"/>
        <w:left w:val="none" w:sz="0" w:space="0" w:color="auto"/>
        <w:bottom w:val="none" w:sz="0" w:space="0" w:color="auto"/>
        <w:right w:val="none" w:sz="0" w:space="0" w:color="auto"/>
      </w:divBdr>
    </w:div>
    <w:div w:id="1548494709">
      <w:bodyDiv w:val="1"/>
      <w:marLeft w:val="0"/>
      <w:marRight w:val="0"/>
      <w:marTop w:val="0"/>
      <w:marBottom w:val="0"/>
      <w:divBdr>
        <w:top w:val="none" w:sz="0" w:space="0" w:color="auto"/>
        <w:left w:val="none" w:sz="0" w:space="0" w:color="auto"/>
        <w:bottom w:val="none" w:sz="0" w:space="0" w:color="auto"/>
        <w:right w:val="none" w:sz="0" w:space="0" w:color="auto"/>
      </w:divBdr>
    </w:div>
    <w:div w:id="1578898052">
      <w:bodyDiv w:val="1"/>
      <w:marLeft w:val="0"/>
      <w:marRight w:val="0"/>
      <w:marTop w:val="0"/>
      <w:marBottom w:val="0"/>
      <w:divBdr>
        <w:top w:val="none" w:sz="0" w:space="0" w:color="auto"/>
        <w:left w:val="none" w:sz="0" w:space="0" w:color="auto"/>
        <w:bottom w:val="none" w:sz="0" w:space="0" w:color="auto"/>
        <w:right w:val="none" w:sz="0" w:space="0" w:color="auto"/>
      </w:divBdr>
      <w:divsChild>
        <w:div w:id="889415106">
          <w:marLeft w:val="0"/>
          <w:marRight w:val="0"/>
          <w:marTop w:val="0"/>
          <w:marBottom w:val="0"/>
          <w:divBdr>
            <w:top w:val="none" w:sz="0" w:space="0" w:color="auto"/>
            <w:left w:val="none" w:sz="0" w:space="0" w:color="auto"/>
            <w:bottom w:val="none" w:sz="0" w:space="0" w:color="auto"/>
            <w:right w:val="none" w:sz="0" w:space="0" w:color="auto"/>
          </w:divBdr>
        </w:div>
        <w:div w:id="1920167679">
          <w:marLeft w:val="0"/>
          <w:marRight w:val="0"/>
          <w:marTop w:val="0"/>
          <w:marBottom w:val="0"/>
          <w:divBdr>
            <w:top w:val="none" w:sz="0" w:space="0" w:color="auto"/>
            <w:left w:val="none" w:sz="0" w:space="0" w:color="auto"/>
            <w:bottom w:val="none" w:sz="0" w:space="0" w:color="auto"/>
            <w:right w:val="none" w:sz="0" w:space="0" w:color="auto"/>
          </w:divBdr>
        </w:div>
      </w:divsChild>
    </w:div>
    <w:div w:id="1615793152">
      <w:bodyDiv w:val="1"/>
      <w:marLeft w:val="0"/>
      <w:marRight w:val="0"/>
      <w:marTop w:val="0"/>
      <w:marBottom w:val="0"/>
      <w:divBdr>
        <w:top w:val="none" w:sz="0" w:space="0" w:color="auto"/>
        <w:left w:val="none" w:sz="0" w:space="0" w:color="auto"/>
        <w:bottom w:val="none" w:sz="0" w:space="0" w:color="auto"/>
        <w:right w:val="none" w:sz="0" w:space="0" w:color="auto"/>
      </w:divBdr>
    </w:div>
    <w:div w:id="1623921434">
      <w:bodyDiv w:val="1"/>
      <w:marLeft w:val="0"/>
      <w:marRight w:val="0"/>
      <w:marTop w:val="0"/>
      <w:marBottom w:val="0"/>
      <w:divBdr>
        <w:top w:val="none" w:sz="0" w:space="0" w:color="auto"/>
        <w:left w:val="none" w:sz="0" w:space="0" w:color="auto"/>
        <w:bottom w:val="none" w:sz="0" w:space="0" w:color="auto"/>
        <w:right w:val="none" w:sz="0" w:space="0" w:color="auto"/>
      </w:divBdr>
    </w:div>
    <w:div w:id="1634940746">
      <w:bodyDiv w:val="1"/>
      <w:marLeft w:val="0"/>
      <w:marRight w:val="0"/>
      <w:marTop w:val="0"/>
      <w:marBottom w:val="0"/>
      <w:divBdr>
        <w:top w:val="none" w:sz="0" w:space="0" w:color="auto"/>
        <w:left w:val="none" w:sz="0" w:space="0" w:color="auto"/>
        <w:bottom w:val="none" w:sz="0" w:space="0" w:color="auto"/>
        <w:right w:val="none" w:sz="0" w:space="0" w:color="auto"/>
      </w:divBdr>
    </w:div>
    <w:div w:id="1654489084">
      <w:bodyDiv w:val="1"/>
      <w:marLeft w:val="0"/>
      <w:marRight w:val="0"/>
      <w:marTop w:val="0"/>
      <w:marBottom w:val="0"/>
      <w:divBdr>
        <w:top w:val="none" w:sz="0" w:space="0" w:color="auto"/>
        <w:left w:val="none" w:sz="0" w:space="0" w:color="auto"/>
        <w:bottom w:val="none" w:sz="0" w:space="0" w:color="auto"/>
        <w:right w:val="none" w:sz="0" w:space="0" w:color="auto"/>
      </w:divBdr>
      <w:divsChild>
        <w:div w:id="1946493466">
          <w:marLeft w:val="547"/>
          <w:marRight w:val="0"/>
          <w:marTop w:val="0"/>
          <w:marBottom w:val="0"/>
          <w:divBdr>
            <w:top w:val="none" w:sz="0" w:space="0" w:color="auto"/>
            <w:left w:val="none" w:sz="0" w:space="0" w:color="auto"/>
            <w:bottom w:val="none" w:sz="0" w:space="0" w:color="auto"/>
            <w:right w:val="none" w:sz="0" w:space="0" w:color="auto"/>
          </w:divBdr>
        </w:div>
      </w:divsChild>
    </w:div>
    <w:div w:id="1683312550">
      <w:bodyDiv w:val="1"/>
      <w:marLeft w:val="0"/>
      <w:marRight w:val="0"/>
      <w:marTop w:val="0"/>
      <w:marBottom w:val="0"/>
      <w:divBdr>
        <w:top w:val="none" w:sz="0" w:space="0" w:color="auto"/>
        <w:left w:val="none" w:sz="0" w:space="0" w:color="auto"/>
        <w:bottom w:val="none" w:sz="0" w:space="0" w:color="auto"/>
        <w:right w:val="none" w:sz="0" w:space="0" w:color="auto"/>
      </w:divBdr>
      <w:divsChild>
        <w:div w:id="233470138">
          <w:marLeft w:val="0"/>
          <w:marRight w:val="0"/>
          <w:marTop w:val="0"/>
          <w:marBottom w:val="0"/>
          <w:divBdr>
            <w:top w:val="none" w:sz="0" w:space="0" w:color="auto"/>
            <w:left w:val="none" w:sz="0" w:space="0" w:color="auto"/>
            <w:bottom w:val="none" w:sz="0" w:space="0" w:color="auto"/>
            <w:right w:val="none" w:sz="0" w:space="0" w:color="auto"/>
          </w:divBdr>
        </w:div>
        <w:div w:id="290551402">
          <w:marLeft w:val="0"/>
          <w:marRight w:val="0"/>
          <w:marTop w:val="0"/>
          <w:marBottom w:val="0"/>
          <w:divBdr>
            <w:top w:val="none" w:sz="0" w:space="0" w:color="auto"/>
            <w:left w:val="none" w:sz="0" w:space="0" w:color="auto"/>
            <w:bottom w:val="none" w:sz="0" w:space="0" w:color="auto"/>
            <w:right w:val="none" w:sz="0" w:space="0" w:color="auto"/>
          </w:divBdr>
        </w:div>
        <w:div w:id="594751767">
          <w:marLeft w:val="0"/>
          <w:marRight w:val="0"/>
          <w:marTop w:val="0"/>
          <w:marBottom w:val="0"/>
          <w:divBdr>
            <w:top w:val="none" w:sz="0" w:space="0" w:color="auto"/>
            <w:left w:val="none" w:sz="0" w:space="0" w:color="auto"/>
            <w:bottom w:val="none" w:sz="0" w:space="0" w:color="auto"/>
            <w:right w:val="none" w:sz="0" w:space="0" w:color="auto"/>
          </w:divBdr>
        </w:div>
        <w:div w:id="1416392148">
          <w:marLeft w:val="0"/>
          <w:marRight w:val="0"/>
          <w:marTop w:val="0"/>
          <w:marBottom w:val="0"/>
          <w:divBdr>
            <w:top w:val="none" w:sz="0" w:space="0" w:color="auto"/>
            <w:left w:val="none" w:sz="0" w:space="0" w:color="auto"/>
            <w:bottom w:val="none" w:sz="0" w:space="0" w:color="auto"/>
            <w:right w:val="none" w:sz="0" w:space="0" w:color="auto"/>
          </w:divBdr>
        </w:div>
      </w:divsChild>
    </w:div>
    <w:div w:id="1720275202">
      <w:bodyDiv w:val="1"/>
      <w:marLeft w:val="0"/>
      <w:marRight w:val="0"/>
      <w:marTop w:val="0"/>
      <w:marBottom w:val="0"/>
      <w:divBdr>
        <w:top w:val="none" w:sz="0" w:space="0" w:color="auto"/>
        <w:left w:val="none" w:sz="0" w:space="0" w:color="auto"/>
        <w:bottom w:val="none" w:sz="0" w:space="0" w:color="auto"/>
        <w:right w:val="none" w:sz="0" w:space="0" w:color="auto"/>
      </w:divBdr>
    </w:div>
    <w:div w:id="1788499210">
      <w:bodyDiv w:val="1"/>
      <w:marLeft w:val="0"/>
      <w:marRight w:val="0"/>
      <w:marTop w:val="0"/>
      <w:marBottom w:val="0"/>
      <w:divBdr>
        <w:top w:val="none" w:sz="0" w:space="0" w:color="auto"/>
        <w:left w:val="none" w:sz="0" w:space="0" w:color="auto"/>
        <w:bottom w:val="none" w:sz="0" w:space="0" w:color="auto"/>
        <w:right w:val="none" w:sz="0" w:space="0" w:color="auto"/>
      </w:divBdr>
    </w:div>
    <w:div w:id="1845197891">
      <w:bodyDiv w:val="1"/>
      <w:marLeft w:val="0"/>
      <w:marRight w:val="0"/>
      <w:marTop w:val="0"/>
      <w:marBottom w:val="0"/>
      <w:divBdr>
        <w:top w:val="none" w:sz="0" w:space="0" w:color="auto"/>
        <w:left w:val="none" w:sz="0" w:space="0" w:color="auto"/>
        <w:bottom w:val="none" w:sz="0" w:space="0" w:color="auto"/>
        <w:right w:val="none" w:sz="0" w:space="0" w:color="auto"/>
      </w:divBdr>
    </w:div>
    <w:div w:id="1939286203">
      <w:bodyDiv w:val="1"/>
      <w:marLeft w:val="0"/>
      <w:marRight w:val="0"/>
      <w:marTop w:val="0"/>
      <w:marBottom w:val="0"/>
      <w:divBdr>
        <w:top w:val="none" w:sz="0" w:space="0" w:color="auto"/>
        <w:left w:val="none" w:sz="0" w:space="0" w:color="auto"/>
        <w:bottom w:val="none" w:sz="0" w:space="0" w:color="auto"/>
        <w:right w:val="none" w:sz="0" w:space="0" w:color="auto"/>
      </w:divBdr>
      <w:divsChild>
        <w:div w:id="101581997">
          <w:marLeft w:val="0"/>
          <w:marRight w:val="0"/>
          <w:marTop w:val="0"/>
          <w:marBottom w:val="0"/>
          <w:divBdr>
            <w:top w:val="none" w:sz="0" w:space="0" w:color="auto"/>
            <w:left w:val="none" w:sz="0" w:space="0" w:color="auto"/>
            <w:bottom w:val="none" w:sz="0" w:space="0" w:color="auto"/>
            <w:right w:val="none" w:sz="0" w:space="0" w:color="auto"/>
          </w:divBdr>
        </w:div>
        <w:div w:id="630479239">
          <w:marLeft w:val="0"/>
          <w:marRight w:val="0"/>
          <w:marTop w:val="0"/>
          <w:marBottom w:val="0"/>
          <w:divBdr>
            <w:top w:val="none" w:sz="0" w:space="0" w:color="auto"/>
            <w:left w:val="none" w:sz="0" w:space="0" w:color="auto"/>
            <w:bottom w:val="none" w:sz="0" w:space="0" w:color="auto"/>
            <w:right w:val="none" w:sz="0" w:space="0" w:color="auto"/>
          </w:divBdr>
        </w:div>
        <w:div w:id="903956085">
          <w:marLeft w:val="0"/>
          <w:marRight w:val="0"/>
          <w:marTop w:val="0"/>
          <w:marBottom w:val="0"/>
          <w:divBdr>
            <w:top w:val="none" w:sz="0" w:space="0" w:color="auto"/>
            <w:left w:val="none" w:sz="0" w:space="0" w:color="auto"/>
            <w:bottom w:val="none" w:sz="0" w:space="0" w:color="auto"/>
            <w:right w:val="none" w:sz="0" w:space="0" w:color="auto"/>
          </w:divBdr>
        </w:div>
        <w:div w:id="954098278">
          <w:marLeft w:val="0"/>
          <w:marRight w:val="0"/>
          <w:marTop w:val="0"/>
          <w:marBottom w:val="0"/>
          <w:divBdr>
            <w:top w:val="none" w:sz="0" w:space="0" w:color="auto"/>
            <w:left w:val="none" w:sz="0" w:space="0" w:color="auto"/>
            <w:bottom w:val="none" w:sz="0" w:space="0" w:color="auto"/>
            <w:right w:val="none" w:sz="0" w:space="0" w:color="auto"/>
          </w:divBdr>
        </w:div>
        <w:div w:id="1480227750">
          <w:marLeft w:val="0"/>
          <w:marRight w:val="0"/>
          <w:marTop w:val="0"/>
          <w:marBottom w:val="0"/>
          <w:divBdr>
            <w:top w:val="none" w:sz="0" w:space="0" w:color="auto"/>
            <w:left w:val="none" w:sz="0" w:space="0" w:color="auto"/>
            <w:bottom w:val="none" w:sz="0" w:space="0" w:color="auto"/>
            <w:right w:val="none" w:sz="0" w:space="0" w:color="auto"/>
          </w:divBdr>
        </w:div>
      </w:divsChild>
    </w:div>
    <w:div w:id="1951547733">
      <w:bodyDiv w:val="1"/>
      <w:marLeft w:val="0"/>
      <w:marRight w:val="0"/>
      <w:marTop w:val="0"/>
      <w:marBottom w:val="0"/>
      <w:divBdr>
        <w:top w:val="none" w:sz="0" w:space="0" w:color="auto"/>
        <w:left w:val="none" w:sz="0" w:space="0" w:color="auto"/>
        <w:bottom w:val="none" w:sz="0" w:space="0" w:color="auto"/>
        <w:right w:val="none" w:sz="0" w:space="0" w:color="auto"/>
      </w:divBdr>
    </w:div>
    <w:div w:id="1987975907">
      <w:bodyDiv w:val="1"/>
      <w:marLeft w:val="0"/>
      <w:marRight w:val="0"/>
      <w:marTop w:val="0"/>
      <w:marBottom w:val="0"/>
      <w:divBdr>
        <w:top w:val="none" w:sz="0" w:space="0" w:color="auto"/>
        <w:left w:val="none" w:sz="0" w:space="0" w:color="auto"/>
        <w:bottom w:val="none" w:sz="0" w:space="0" w:color="auto"/>
        <w:right w:val="none" w:sz="0" w:space="0" w:color="auto"/>
      </w:divBdr>
    </w:div>
    <w:div w:id="20293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ortal.3gpp.org/ChangeRequests.aspx?q=1&amp;amp;amp;versionId=39719&amp;amp;amp;release=182" TargetMode="External"/><Relationship Id="rId2" Type="http://schemas.openxmlformats.org/officeDocument/2006/relationships/hyperlink" Target="https://circabc.europa.eu/sd/d/3958ecef-c25e-4e4f-8e3b-469d1db6bc07/RSPG13-538_RSPG-Opinion-on-LSA%20.pdf" TargetMode="External"/><Relationship Id="rId1" Type="http://schemas.openxmlformats.org/officeDocument/2006/relationships/hyperlink" Target="https://ec.europa.eu/digital-single-market/en/news/radio-spectrum-cept-mandat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F1B3B340945E8AC20E073004A5FB4"/>
        <w:category>
          <w:name w:val="Általános"/>
          <w:gallery w:val="placeholder"/>
        </w:category>
        <w:types>
          <w:type w:val="bbPlcHdr"/>
        </w:types>
        <w:behaviors>
          <w:behavior w:val="content"/>
        </w:behaviors>
        <w:guid w:val="{EFF34B26-AB2A-4A79-A2E2-7FF84DA89C4C}"/>
      </w:docPartPr>
      <w:docPartBody>
        <w:p w:rsidR="007E100F" w:rsidRDefault="00157177" w:rsidP="00157177">
          <w:pPr>
            <w:pStyle w:val="060F1B3B340945E8AC20E073004A5FB4"/>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77"/>
    <w:rsid w:val="0004438F"/>
    <w:rsid w:val="00053A93"/>
    <w:rsid w:val="0007559E"/>
    <w:rsid w:val="00157177"/>
    <w:rsid w:val="0019022D"/>
    <w:rsid w:val="002D0CBF"/>
    <w:rsid w:val="003B28DF"/>
    <w:rsid w:val="003C1D89"/>
    <w:rsid w:val="003E57CF"/>
    <w:rsid w:val="003F54E8"/>
    <w:rsid w:val="005E6C27"/>
    <w:rsid w:val="007E100F"/>
    <w:rsid w:val="008E2BC1"/>
    <w:rsid w:val="00B54D2E"/>
    <w:rsid w:val="00DD4B94"/>
    <w:rsid w:val="00F012CC"/>
    <w:rsid w:val="00F87DA1"/>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60F1B3B340945E8AC20E073004A5FB4">
    <w:name w:val="060F1B3B340945E8AC20E073004A5FB4"/>
    <w:rsid w:val="00157177"/>
  </w:style>
  <w:style w:type="character" w:styleId="Helyrzszveg">
    <w:name w:val="Placeholder Text"/>
    <w:basedOn w:val="Bekezdsalapbettpusa"/>
    <w:uiPriority w:val="99"/>
    <w:semiHidden/>
    <w:rsid w:val="001571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546B-1067-4611-9266-CA896713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3355</Words>
  <Characters>23156</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Spektrumgazdálkodási osztály</dc:creator>
  <cp:keywords/>
  <dc:description/>
  <cp:lastModifiedBy>Ulelay Emília dr.</cp:lastModifiedBy>
  <cp:revision>3</cp:revision>
  <cp:lastPrinted>2017-10-24T11:15:00Z</cp:lastPrinted>
  <dcterms:created xsi:type="dcterms:W3CDTF">2022-05-11T09:38:00Z</dcterms:created>
  <dcterms:modified xsi:type="dcterms:W3CDTF">2022-05-11T10:23:00Z</dcterms:modified>
</cp:coreProperties>
</file>