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color w:val="auto"/>
          <w:spacing w:val="0"/>
          <w:kern w:val="0"/>
          <w:sz w:val="22"/>
          <w:szCs w:val="22"/>
        </w:rPr>
        <w:id w:val="7557074"/>
        <w:docPartObj>
          <w:docPartGallery w:val="Cover Pages"/>
          <w:docPartUnique/>
        </w:docPartObj>
      </w:sdtPr>
      <w:sdtEndPr>
        <w:rPr>
          <w:bCs/>
        </w:rPr>
      </w:sdtEndPr>
      <w:sdtContent>
        <w:p w14:paraId="6CF1E2AC" w14:textId="76480E29" w:rsidR="00517579" w:rsidRDefault="00537B19" w:rsidP="007B2341">
          <w:pPr>
            <w:pStyle w:val="Cmnmhh"/>
            <w:jc w:val="center"/>
          </w:pPr>
          <w:r>
            <w:rPr>
              <w:noProof/>
              <w:lang w:eastAsia="hu-HU"/>
            </w:rPr>
            <w:drawing>
              <wp:anchor distT="0" distB="1011555" distL="114300" distR="114300" simplePos="0" relativeHeight="251652608" behindDoc="1" locked="0" layoutInCell="1" allowOverlap="1" wp14:anchorId="1CFE83A5" wp14:editId="6B0D210A">
                <wp:simplePos x="0" y="0"/>
                <wp:positionH relativeFrom="page">
                  <wp:posOffset>0</wp:posOffset>
                </wp:positionH>
                <wp:positionV relativeFrom="page">
                  <wp:posOffset>4445</wp:posOffset>
                </wp:positionV>
                <wp:extent cx="7556500" cy="3351530"/>
                <wp:effectExtent l="0" t="0" r="0" b="0"/>
                <wp:wrapTopAndBottom/>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3351530"/>
                        </a:xfrm>
                        <a:prstGeom prst="rect">
                          <a:avLst/>
                        </a:prstGeom>
                      </pic:spPr>
                    </pic:pic>
                  </a:graphicData>
                </a:graphic>
                <wp14:sizeRelV relativeFrom="margin">
                  <wp14:pctHeight>0</wp14:pctHeight>
                </wp14:sizeRelV>
              </wp:anchor>
            </w:drawing>
          </w:r>
          <w:sdt>
            <w:sdtPr>
              <w:alias w:val="Cím"/>
              <w:tag w:val="Cím"/>
              <w:id w:val="11965258"/>
              <w:placeholder>
                <w:docPart w:val="A7E85A2A3E904405895CBFB5452ECE0A"/>
              </w:placeholder>
            </w:sdtPr>
            <w:sdtEndPr/>
            <w:sdtContent>
              <w:sdt>
                <w:sdtPr>
                  <w:alias w:val="Cím"/>
                  <w:tag w:val="Cím"/>
                  <w:id w:val="1727338726"/>
                </w:sdtPr>
                <w:sdtEndPr/>
                <w:sdtContent>
                  <w:sdt>
                    <w:sdtPr>
                      <w:alias w:val="Cím"/>
                      <w:tag w:val="Cím"/>
                      <w:id w:val="27217761"/>
                    </w:sdtPr>
                    <w:sdtEndPr/>
                    <w:sdtContent>
                      <w:r w:rsidR="009166F7">
                        <w:t>Sávismertető</w:t>
                      </w:r>
                      <w:r w:rsidR="009166F7">
                        <w:br/>
                        <w:t xml:space="preserve">26 </w:t>
                      </w:r>
                      <w:proofErr w:type="spellStart"/>
                      <w:r w:rsidR="009166F7">
                        <w:t>GHz</w:t>
                      </w:r>
                      <w:proofErr w:type="spellEnd"/>
                      <w:r w:rsidR="000D0B0A">
                        <w:t>-es</w:t>
                      </w:r>
                      <w:r w:rsidR="009166F7">
                        <w:t xml:space="preserve"> frekvenciasáv</w:t>
                      </w:r>
                    </w:sdtContent>
                  </w:sdt>
                </w:sdtContent>
              </w:sdt>
            </w:sdtContent>
          </w:sdt>
        </w:p>
        <w:p w14:paraId="556648C6" w14:textId="77777777" w:rsidR="009166F7" w:rsidRDefault="009166F7">
          <w:pPr>
            <w:pStyle w:val="Bortlapegybnmhh"/>
            <w:spacing w:before="240"/>
            <w:rPr>
              <w:rStyle w:val="BortlapegybnmhhChar"/>
            </w:rPr>
          </w:pPr>
        </w:p>
        <w:p w14:paraId="1135F73A" w14:textId="77777777" w:rsidR="009166F7" w:rsidRDefault="009166F7">
          <w:pPr>
            <w:pStyle w:val="Bortlapegybnmhh"/>
            <w:spacing w:before="240"/>
            <w:rPr>
              <w:rStyle w:val="BortlapegybnmhhChar"/>
            </w:rPr>
          </w:pPr>
        </w:p>
        <w:p w14:paraId="41429D80" w14:textId="77777777" w:rsidR="009166F7" w:rsidRDefault="009166F7">
          <w:pPr>
            <w:pStyle w:val="Bortlapegybnmhh"/>
            <w:spacing w:before="240"/>
            <w:rPr>
              <w:rStyle w:val="BortlapegybnmhhChar"/>
            </w:rPr>
          </w:pPr>
        </w:p>
        <w:p w14:paraId="42C76370" w14:textId="77777777" w:rsidR="009166F7" w:rsidRDefault="009166F7">
          <w:pPr>
            <w:pStyle w:val="Bortlapegybnmhh"/>
            <w:spacing w:before="240"/>
            <w:rPr>
              <w:rStyle w:val="BortlapegybnmhhChar"/>
            </w:rPr>
          </w:pPr>
        </w:p>
        <w:p w14:paraId="57F9BFB8" w14:textId="77777777" w:rsidR="009166F7" w:rsidRDefault="009166F7">
          <w:pPr>
            <w:pStyle w:val="Bortlapegybnmhh"/>
            <w:spacing w:before="240"/>
            <w:rPr>
              <w:rStyle w:val="BortlapegybnmhhChar"/>
            </w:rPr>
          </w:pPr>
        </w:p>
        <w:p w14:paraId="6E79C3EF" w14:textId="77777777" w:rsidR="009166F7" w:rsidRDefault="009166F7">
          <w:pPr>
            <w:pStyle w:val="Bortlapegybnmhh"/>
            <w:spacing w:before="240"/>
            <w:rPr>
              <w:rStyle w:val="BortlapegybnmhhChar"/>
            </w:rPr>
          </w:pPr>
        </w:p>
        <w:p w14:paraId="58BD392C" w14:textId="77777777" w:rsidR="009166F7" w:rsidRDefault="009166F7">
          <w:pPr>
            <w:pStyle w:val="Bortlapegybnmhh"/>
            <w:spacing w:before="240"/>
            <w:rPr>
              <w:rStyle w:val="BortlapegybnmhhChar"/>
            </w:rPr>
          </w:pPr>
        </w:p>
        <w:p w14:paraId="776A0802" w14:textId="398B6589" w:rsidR="00517579" w:rsidRDefault="00AA3C2D" w:rsidP="001055DF">
          <w:pPr>
            <w:pStyle w:val="Bortlapegybnmhh"/>
            <w:spacing w:before="240"/>
            <w:jc w:val="center"/>
          </w:pPr>
          <w:sdt>
            <w:sdtPr>
              <w:rPr>
                <w:rStyle w:val="BortlapegybnmhhChar"/>
              </w:rPr>
              <w:alias w:val="Dátum"/>
              <w:tag w:val="Dátum"/>
              <w:id w:val="923614243"/>
              <w:date w:fullDate="2022-02-15T00:00:00Z">
                <w:dateFormat w:val="yyyy. MMMM d."/>
                <w:lid w:val="hu-HU"/>
                <w:storeMappedDataAs w:val="dateTime"/>
                <w:calendar w:val="gregorian"/>
              </w:date>
            </w:sdtPr>
            <w:sdtEndPr>
              <w:rPr>
                <w:rStyle w:val="Bekezdsalapbettpusa"/>
              </w:rPr>
            </w:sdtEndPr>
            <w:sdtContent>
              <w:r w:rsidR="00187EEB">
                <w:rPr>
                  <w:rStyle w:val="BortlapegybnmhhChar"/>
                </w:rPr>
                <w:t>2022. február 15.</w:t>
              </w:r>
            </w:sdtContent>
          </w:sdt>
        </w:p>
        <w:p w14:paraId="19AC32EB" w14:textId="77777777" w:rsidR="00517579" w:rsidRDefault="00AA3C2D">
          <w:pPr>
            <w:spacing w:after="200"/>
            <w:jc w:val="left"/>
            <w:rPr>
              <w:b/>
              <w:bCs/>
            </w:rPr>
            <w:sectPr w:rsidR="00517579">
              <w:headerReference w:type="even" r:id="rId9"/>
              <w:headerReference w:type="default" r:id="rId10"/>
              <w:footerReference w:type="even" r:id="rId11"/>
              <w:footerReference w:type="default" r:id="rId12"/>
              <w:headerReference w:type="first" r:id="rId13"/>
              <w:pgSz w:w="11906" w:h="16838"/>
              <w:pgMar w:top="1417" w:right="1417" w:bottom="1417" w:left="1417" w:header="1417" w:footer="709" w:gutter="0"/>
              <w:cols w:space="708"/>
              <w:titlePg/>
              <w:docGrid w:linePitch="360"/>
            </w:sectPr>
          </w:pPr>
        </w:p>
      </w:sdtContent>
    </w:sdt>
    <w:sdt>
      <w:sdtPr>
        <w:rPr>
          <w:rFonts w:asciiTheme="minorHAnsi" w:eastAsiaTheme="minorHAnsi" w:hAnsiTheme="minorHAnsi" w:cstheme="minorHAnsi"/>
          <w:b w:val="0"/>
          <w:bCs w:val="0"/>
          <w:color w:val="auto"/>
          <w:sz w:val="22"/>
          <w:szCs w:val="22"/>
        </w:rPr>
        <w:id w:val="28749728"/>
        <w:docPartObj>
          <w:docPartGallery w:val="Table of Contents"/>
          <w:docPartUnique/>
        </w:docPartObj>
      </w:sdtPr>
      <w:sdtEndPr/>
      <w:sdtContent>
        <w:bookmarkStart w:id="0" w:name="_GoBack" w:displacedByCustomXml="prev"/>
        <w:p w14:paraId="7E2A1DC3" w14:textId="77777777" w:rsidR="00517579" w:rsidRDefault="00537B19">
          <w:pPr>
            <w:pStyle w:val="Tartalomjegyzkcmsoranmhh"/>
          </w:pPr>
          <w:r>
            <w:t>Tartalomjegyzék</w:t>
          </w:r>
        </w:p>
        <w:p w14:paraId="26BFF16D" w14:textId="05705B4A" w:rsidR="002C361E" w:rsidRDefault="00537B19">
          <w:pPr>
            <w:pStyle w:val="TJ1"/>
            <w:tabs>
              <w:tab w:val="left" w:pos="440"/>
              <w:tab w:val="right" w:leader="dot" w:pos="9062"/>
            </w:tabs>
            <w:rPr>
              <w:rFonts w:eastAsiaTheme="minorEastAsia" w:cstheme="minorBidi"/>
              <w:noProof/>
              <w:lang w:eastAsia="hu-HU"/>
            </w:rPr>
          </w:pPr>
          <w:r>
            <w:fldChar w:fldCharType="begin"/>
          </w:r>
          <w:r>
            <w:instrText xml:space="preserve"> TOC \o "1-3" \h \z \u </w:instrText>
          </w:r>
          <w:r>
            <w:fldChar w:fldCharType="separate"/>
          </w:r>
          <w:hyperlink w:anchor="_Toc96075598" w:history="1">
            <w:r w:rsidR="002C361E" w:rsidRPr="008D4383">
              <w:rPr>
                <w:rStyle w:val="Hiperhivatkozs"/>
                <w:noProof/>
              </w:rPr>
              <w:t>1.</w:t>
            </w:r>
            <w:r w:rsidR="002C361E">
              <w:rPr>
                <w:rFonts w:eastAsiaTheme="minorEastAsia" w:cstheme="minorBidi"/>
                <w:noProof/>
                <w:lang w:eastAsia="hu-HU"/>
              </w:rPr>
              <w:tab/>
            </w:r>
            <w:r w:rsidR="002C361E" w:rsidRPr="008D4383">
              <w:rPr>
                <w:rStyle w:val="Hiperhivatkozs"/>
                <w:noProof/>
              </w:rPr>
              <w:t>Összefoglaló</w:t>
            </w:r>
            <w:r w:rsidR="002C361E">
              <w:rPr>
                <w:noProof/>
                <w:webHidden/>
              </w:rPr>
              <w:tab/>
            </w:r>
            <w:r w:rsidR="002C361E">
              <w:rPr>
                <w:noProof/>
                <w:webHidden/>
              </w:rPr>
              <w:fldChar w:fldCharType="begin"/>
            </w:r>
            <w:r w:rsidR="002C361E">
              <w:rPr>
                <w:noProof/>
                <w:webHidden/>
              </w:rPr>
              <w:instrText xml:space="preserve"> PAGEREF _Toc96075598 \h </w:instrText>
            </w:r>
            <w:r w:rsidR="002C361E">
              <w:rPr>
                <w:noProof/>
                <w:webHidden/>
              </w:rPr>
            </w:r>
            <w:r w:rsidR="002C361E">
              <w:rPr>
                <w:noProof/>
                <w:webHidden/>
              </w:rPr>
              <w:fldChar w:fldCharType="separate"/>
            </w:r>
            <w:r w:rsidR="002C361E">
              <w:rPr>
                <w:noProof/>
                <w:webHidden/>
              </w:rPr>
              <w:t>3</w:t>
            </w:r>
            <w:r w:rsidR="002C361E">
              <w:rPr>
                <w:noProof/>
                <w:webHidden/>
              </w:rPr>
              <w:fldChar w:fldCharType="end"/>
            </w:r>
          </w:hyperlink>
        </w:p>
        <w:p w14:paraId="2C9D9879" w14:textId="0AD8F6ED" w:rsidR="002C361E" w:rsidRDefault="002C361E">
          <w:pPr>
            <w:pStyle w:val="TJ1"/>
            <w:tabs>
              <w:tab w:val="left" w:pos="440"/>
              <w:tab w:val="right" w:leader="dot" w:pos="9062"/>
            </w:tabs>
            <w:rPr>
              <w:rFonts w:eastAsiaTheme="minorEastAsia" w:cstheme="minorBidi"/>
              <w:noProof/>
              <w:lang w:eastAsia="hu-HU"/>
            </w:rPr>
          </w:pPr>
          <w:hyperlink w:anchor="_Toc96075599" w:history="1">
            <w:r w:rsidRPr="008D4383">
              <w:rPr>
                <w:rStyle w:val="Hiperhivatkozs"/>
                <w:noProof/>
              </w:rPr>
              <w:t>2.</w:t>
            </w:r>
            <w:r>
              <w:rPr>
                <w:rFonts w:eastAsiaTheme="minorEastAsia" w:cstheme="minorBidi"/>
                <w:noProof/>
                <w:lang w:eastAsia="hu-HU"/>
              </w:rPr>
              <w:tab/>
            </w:r>
            <w:r w:rsidRPr="008D4383">
              <w:rPr>
                <w:rStyle w:val="Hiperhivatkozs"/>
                <w:noProof/>
              </w:rPr>
              <w:t>Bevezetés</w:t>
            </w:r>
            <w:r>
              <w:rPr>
                <w:noProof/>
                <w:webHidden/>
              </w:rPr>
              <w:tab/>
            </w:r>
            <w:r>
              <w:rPr>
                <w:noProof/>
                <w:webHidden/>
              </w:rPr>
              <w:fldChar w:fldCharType="begin"/>
            </w:r>
            <w:r>
              <w:rPr>
                <w:noProof/>
                <w:webHidden/>
              </w:rPr>
              <w:instrText xml:space="preserve"> PAGEREF _Toc96075599 \h </w:instrText>
            </w:r>
            <w:r>
              <w:rPr>
                <w:noProof/>
                <w:webHidden/>
              </w:rPr>
            </w:r>
            <w:r>
              <w:rPr>
                <w:noProof/>
                <w:webHidden/>
              </w:rPr>
              <w:fldChar w:fldCharType="separate"/>
            </w:r>
            <w:r>
              <w:rPr>
                <w:noProof/>
                <w:webHidden/>
              </w:rPr>
              <w:t>4</w:t>
            </w:r>
            <w:r>
              <w:rPr>
                <w:noProof/>
                <w:webHidden/>
              </w:rPr>
              <w:fldChar w:fldCharType="end"/>
            </w:r>
          </w:hyperlink>
        </w:p>
        <w:p w14:paraId="34EF2470" w14:textId="55E3FAE4" w:rsidR="002C361E" w:rsidRDefault="002C361E">
          <w:pPr>
            <w:pStyle w:val="TJ1"/>
            <w:tabs>
              <w:tab w:val="left" w:pos="440"/>
              <w:tab w:val="right" w:leader="dot" w:pos="9062"/>
            </w:tabs>
            <w:rPr>
              <w:rFonts w:eastAsiaTheme="minorEastAsia" w:cstheme="minorBidi"/>
              <w:noProof/>
              <w:lang w:eastAsia="hu-HU"/>
            </w:rPr>
          </w:pPr>
          <w:hyperlink w:anchor="_Toc96075600" w:history="1">
            <w:r w:rsidRPr="008D4383">
              <w:rPr>
                <w:rStyle w:val="Hiperhivatkozs"/>
                <w:noProof/>
              </w:rPr>
              <w:t>3.</w:t>
            </w:r>
            <w:r>
              <w:rPr>
                <w:rFonts w:eastAsiaTheme="minorEastAsia" w:cstheme="minorBidi"/>
                <w:noProof/>
                <w:lang w:eastAsia="hu-HU"/>
              </w:rPr>
              <w:tab/>
            </w:r>
            <w:r w:rsidRPr="008D4383">
              <w:rPr>
                <w:rStyle w:val="Hiperhivatkozs"/>
                <w:noProof/>
              </w:rPr>
              <w:t>A 26 GHz-es frekvenciasáv szabályozása</w:t>
            </w:r>
            <w:r>
              <w:rPr>
                <w:noProof/>
                <w:webHidden/>
              </w:rPr>
              <w:tab/>
            </w:r>
            <w:r>
              <w:rPr>
                <w:noProof/>
                <w:webHidden/>
              </w:rPr>
              <w:fldChar w:fldCharType="begin"/>
            </w:r>
            <w:r>
              <w:rPr>
                <w:noProof/>
                <w:webHidden/>
              </w:rPr>
              <w:instrText xml:space="preserve"> PAGEREF _Toc96075600 \h </w:instrText>
            </w:r>
            <w:r>
              <w:rPr>
                <w:noProof/>
                <w:webHidden/>
              </w:rPr>
            </w:r>
            <w:r>
              <w:rPr>
                <w:noProof/>
                <w:webHidden/>
              </w:rPr>
              <w:fldChar w:fldCharType="separate"/>
            </w:r>
            <w:r>
              <w:rPr>
                <w:noProof/>
                <w:webHidden/>
              </w:rPr>
              <w:t>8</w:t>
            </w:r>
            <w:r>
              <w:rPr>
                <w:noProof/>
                <w:webHidden/>
              </w:rPr>
              <w:fldChar w:fldCharType="end"/>
            </w:r>
          </w:hyperlink>
        </w:p>
        <w:p w14:paraId="5555A54B" w14:textId="637D461B" w:rsidR="002C361E" w:rsidRDefault="002C361E">
          <w:pPr>
            <w:pStyle w:val="TJ2"/>
            <w:tabs>
              <w:tab w:val="left" w:pos="880"/>
              <w:tab w:val="right" w:leader="dot" w:pos="9062"/>
            </w:tabs>
            <w:rPr>
              <w:rFonts w:eastAsiaTheme="minorEastAsia" w:cstheme="minorBidi"/>
              <w:noProof/>
              <w:lang w:eastAsia="hu-HU"/>
            </w:rPr>
          </w:pPr>
          <w:hyperlink w:anchor="_Toc96075601" w:history="1">
            <w:r w:rsidRPr="008D4383">
              <w:rPr>
                <w:rStyle w:val="Hiperhivatkozs"/>
                <w:noProof/>
              </w:rPr>
              <w:t>3.1.</w:t>
            </w:r>
            <w:r>
              <w:rPr>
                <w:rFonts w:eastAsiaTheme="minorEastAsia" w:cstheme="minorBidi"/>
                <w:noProof/>
                <w:lang w:eastAsia="hu-HU"/>
              </w:rPr>
              <w:tab/>
            </w:r>
            <w:r w:rsidRPr="008D4383">
              <w:rPr>
                <w:rStyle w:val="Hiperhivatkozs"/>
                <w:noProof/>
              </w:rPr>
              <w:t>Nemzetközi szabályozás</w:t>
            </w:r>
            <w:r>
              <w:rPr>
                <w:noProof/>
                <w:webHidden/>
              </w:rPr>
              <w:tab/>
            </w:r>
            <w:r>
              <w:rPr>
                <w:noProof/>
                <w:webHidden/>
              </w:rPr>
              <w:fldChar w:fldCharType="begin"/>
            </w:r>
            <w:r>
              <w:rPr>
                <w:noProof/>
                <w:webHidden/>
              </w:rPr>
              <w:instrText xml:space="preserve"> PAGEREF _Toc96075601 \h </w:instrText>
            </w:r>
            <w:r>
              <w:rPr>
                <w:noProof/>
                <w:webHidden/>
              </w:rPr>
            </w:r>
            <w:r>
              <w:rPr>
                <w:noProof/>
                <w:webHidden/>
              </w:rPr>
              <w:fldChar w:fldCharType="separate"/>
            </w:r>
            <w:r>
              <w:rPr>
                <w:noProof/>
                <w:webHidden/>
              </w:rPr>
              <w:t>8</w:t>
            </w:r>
            <w:r>
              <w:rPr>
                <w:noProof/>
                <w:webHidden/>
              </w:rPr>
              <w:fldChar w:fldCharType="end"/>
            </w:r>
          </w:hyperlink>
        </w:p>
        <w:p w14:paraId="51B30876" w14:textId="34AA60F6" w:rsidR="002C361E" w:rsidRDefault="002C361E">
          <w:pPr>
            <w:pStyle w:val="TJ3"/>
            <w:tabs>
              <w:tab w:val="left" w:pos="1320"/>
              <w:tab w:val="right" w:leader="dot" w:pos="9062"/>
            </w:tabs>
            <w:rPr>
              <w:rFonts w:eastAsiaTheme="minorEastAsia" w:cstheme="minorBidi"/>
              <w:noProof/>
              <w:lang w:eastAsia="hu-HU"/>
            </w:rPr>
          </w:pPr>
          <w:hyperlink w:anchor="_Toc96075602" w:history="1">
            <w:r w:rsidRPr="008D4383">
              <w:rPr>
                <w:rStyle w:val="Hiperhivatkozs"/>
                <w:noProof/>
              </w:rPr>
              <w:t>3.1.1.</w:t>
            </w:r>
            <w:r>
              <w:rPr>
                <w:rFonts w:eastAsiaTheme="minorEastAsia" w:cstheme="minorBidi"/>
                <w:noProof/>
                <w:lang w:eastAsia="hu-HU"/>
              </w:rPr>
              <w:tab/>
            </w:r>
            <w:r w:rsidRPr="008D4383">
              <w:rPr>
                <w:rStyle w:val="Hiperhivatkozs"/>
                <w:noProof/>
              </w:rPr>
              <w:t>ITU</w:t>
            </w:r>
            <w:r>
              <w:rPr>
                <w:noProof/>
                <w:webHidden/>
              </w:rPr>
              <w:tab/>
            </w:r>
            <w:r>
              <w:rPr>
                <w:noProof/>
                <w:webHidden/>
              </w:rPr>
              <w:fldChar w:fldCharType="begin"/>
            </w:r>
            <w:r>
              <w:rPr>
                <w:noProof/>
                <w:webHidden/>
              </w:rPr>
              <w:instrText xml:space="preserve"> PAGEREF _Toc96075602 \h </w:instrText>
            </w:r>
            <w:r>
              <w:rPr>
                <w:noProof/>
                <w:webHidden/>
              </w:rPr>
            </w:r>
            <w:r>
              <w:rPr>
                <w:noProof/>
                <w:webHidden/>
              </w:rPr>
              <w:fldChar w:fldCharType="separate"/>
            </w:r>
            <w:r>
              <w:rPr>
                <w:noProof/>
                <w:webHidden/>
              </w:rPr>
              <w:t>8</w:t>
            </w:r>
            <w:r>
              <w:rPr>
                <w:noProof/>
                <w:webHidden/>
              </w:rPr>
              <w:fldChar w:fldCharType="end"/>
            </w:r>
          </w:hyperlink>
        </w:p>
        <w:p w14:paraId="5C586504" w14:textId="3BC2FECA" w:rsidR="002C361E" w:rsidRDefault="002C361E">
          <w:pPr>
            <w:pStyle w:val="TJ3"/>
            <w:tabs>
              <w:tab w:val="left" w:pos="1320"/>
              <w:tab w:val="right" w:leader="dot" w:pos="9062"/>
            </w:tabs>
            <w:rPr>
              <w:rFonts w:eastAsiaTheme="minorEastAsia" w:cstheme="minorBidi"/>
              <w:noProof/>
              <w:lang w:eastAsia="hu-HU"/>
            </w:rPr>
          </w:pPr>
          <w:hyperlink w:anchor="_Toc96075603" w:history="1">
            <w:r w:rsidRPr="008D4383">
              <w:rPr>
                <w:rStyle w:val="Hiperhivatkozs"/>
                <w:noProof/>
              </w:rPr>
              <w:t>3.1.2.</w:t>
            </w:r>
            <w:r>
              <w:rPr>
                <w:rFonts w:eastAsiaTheme="minorEastAsia" w:cstheme="minorBidi"/>
                <w:noProof/>
                <w:lang w:eastAsia="hu-HU"/>
              </w:rPr>
              <w:tab/>
            </w:r>
            <w:r w:rsidRPr="008D4383">
              <w:rPr>
                <w:rStyle w:val="Hiperhivatkozs"/>
                <w:noProof/>
              </w:rPr>
              <w:t>CEPT</w:t>
            </w:r>
            <w:r>
              <w:rPr>
                <w:noProof/>
                <w:webHidden/>
              </w:rPr>
              <w:tab/>
            </w:r>
            <w:r>
              <w:rPr>
                <w:noProof/>
                <w:webHidden/>
              </w:rPr>
              <w:fldChar w:fldCharType="begin"/>
            </w:r>
            <w:r>
              <w:rPr>
                <w:noProof/>
                <w:webHidden/>
              </w:rPr>
              <w:instrText xml:space="preserve"> PAGEREF _Toc96075603 \h </w:instrText>
            </w:r>
            <w:r>
              <w:rPr>
                <w:noProof/>
                <w:webHidden/>
              </w:rPr>
            </w:r>
            <w:r>
              <w:rPr>
                <w:noProof/>
                <w:webHidden/>
              </w:rPr>
              <w:fldChar w:fldCharType="separate"/>
            </w:r>
            <w:r>
              <w:rPr>
                <w:noProof/>
                <w:webHidden/>
              </w:rPr>
              <w:t>8</w:t>
            </w:r>
            <w:r>
              <w:rPr>
                <w:noProof/>
                <w:webHidden/>
              </w:rPr>
              <w:fldChar w:fldCharType="end"/>
            </w:r>
          </w:hyperlink>
        </w:p>
        <w:p w14:paraId="4628359A" w14:textId="1050E8F8" w:rsidR="002C361E" w:rsidRDefault="002C361E">
          <w:pPr>
            <w:pStyle w:val="TJ3"/>
            <w:tabs>
              <w:tab w:val="left" w:pos="1320"/>
              <w:tab w:val="right" w:leader="dot" w:pos="9062"/>
            </w:tabs>
            <w:rPr>
              <w:rFonts w:eastAsiaTheme="minorEastAsia" w:cstheme="minorBidi"/>
              <w:noProof/>
              <w:lang w:eastAsia="hu-HU"/>
            </w:rPr>
          </w:pPr>
          <w:hyperlink w:anchor="_Toc96075604" w:history="1">
            <w:r w:rsidRPr="008D4383">
              <w:rPr>
                <w:rStyle w:val="Hiperhivatkozs"/>
                <w:noProof/>
              </w:rPr>
              <w:t>3.1.3.</w:t>
            </w:r>
            <w:r>
              <w:rPr>
                <w:rFonts w:eastAsiaTheme="minorEastAsia" w:cstheme="minorBidi"/>
                <w:noProof/>
                <w:lang w:eastAsia="hu-HU"/>
              </w:rPr>
              <w:tab/>
            </w:r>
            <w:r w:rsidRPr="008D4383">
              <w:rPr>
                <w:rStyle w:val="Hiperhivatkozs"/>
                <w:noProof/>
              </w:rPr>
              <w:t>EU</w:t>
            </w:r>
            <w:r>
              <w:rPr>
                <w:noProof/>
                <w:webHidden/>
              </w:rPr>
              <w:tab/>
            </w:r>
            <w:r>
              <w:rPr>
                <w:noProof/>
                <w:webHidden/>
              </w:rPr>
              <w:fldChar w:fldCharType="begin"/>
            </w:r>
            <w:r>
              <w:rPr>
                <w:noProof/>
                <w:webHidden/>
              </w:rPr>
              <w:instrText xml:space="preserve"> PAGEREF _Toc96075604 \h </w:instrText>
            </w:r>
            <w:r>
              <w:rPr>
                <w:noProof/>
                <w:webHidden/>
              </w:rPr>
            </w:r>
            <w:r>
              <w:rPr>
                <w:noProof/>
                <w:webHidden/>
              </w:rPr>
              <w:fldChar w:fldCharType="separate"/>
            </w:r>
            <w:r>
              <w:rPr>
                <w:noProof/>
                <w:webHidden/>
              </w:rPr>
              <w:t>14</w:t>
            </w:r>
            <w:r>
              <w:rPr>
                <w:noProof/>
                <w:webHidden/>
              </w:rPr>
              <w:fldChar w:fldCharType="end"/>
            </w:r>
          </w:hyperlink>
        </w:p>
        <w:p w14:paraId="0F9D250C" w14:textId="4445EDA4" w:rsidR="002C361E" w:rsidRDefault="002C361E">
          <w:pPr>
            <w:pStyle w:val="TJ2"/>
            <w:tabs>
              <w:tab w:val="left" w:pos="880"/>
              <w:tab w:val="right" w:leader="dot" w:pos="9062"/>
            </w:tabs>
            <w:rPr>
              <w:rFonts w:eastAsiaTheme="minorEastAsia" w:cstheme="minorBidi"/>
              <w:noProof/>
              <w:lang w:eastAsia="hu-HU"/>
            </w:rPr>
          </w:pPr>
          <w:hyperlink w:anchor="_Toc96075605" w:history="1">
            <w:r w:rsidRPr="008D4383">
              <w:rPr>
                <w:rStyle w:val="Hiperhivatkozs"/>
                <w:noProof/>
              </w:rPr>
              <w:t>3.2.</w:t>
            </w:r>
            <w:r>
              <w:rPr>
                <w:rFonts w:eastAsiaTheme="minorEastAsia" w:cstheme="minorBidi"/>
                <w:noProof/>
                <w:lang w:eastAsia="hu-HU"/>
              </w:rPr>
              <w:tab/>
            </w:r>
            <w:r w:rsidRPr="008D4383">
              <w:rPr>
                <w:rStyle w:val="Hiperhivatkozs"/>
                <w:noProof/>
              </w:rPr>
              <w:t>Nemzeti szabályozás</w:t>
            </w:r>
            <w:r>
              <w:rPr>
                <w:noProof/>
                <w:webHidden/>
              </w:rPr>
              <w:tab/>
            </w:r>
            <w:r>
              <w:rPr>
                <w:noProof/>
                <w:webHidden/>
              </w:rPr>
              <w:fldChar w:fldCharType="begin"/>
            </w:r>
            <w:r>
              <w:rPr>
                <w:noProof/>
                <w:webHidden/>
              </w:rPr>
              <w:instrText xml:space="preserve"> PAGEREF _Toc96075605 \h </w:instrText>
            </w:r>
            <w:r>
              <w:rPr>
                <w:noProof/>
                <w:webHidden/>
              </w:rPr>
            </w:r>
            <w:r>
              <w:rPr>
                <w:noProof/>
                <w:webHidden/>
              </w:rPr>
              <w:fldChar w:fldCharType="separate"/>
            </w:r>
            <w:r>
              <w:rPr>
                <w:noProof/>
                <w:webHidden/>
              </w:rPr>
              <w:t>16</w:t>
            </w:r>
            <w:r>
              <w:rPr>
                <w:noProof/>
                <w:webHidden/>
              </w:rPr>
              <w:fldChar w:fldCharType="end"/>
            </w:r>
          </w:hyperlink>
        </w:p>
        <w:p w14:paraId="1AA2F782" w14:textId="74338F33" w:rsidR="002C361E" w:rsidRDefault="002C361E">
          <w:pPr>
            <w:pStyle w:val="TJ3"/>
            <w:tabs>
              <w:tab w:val="left" w:pos="1320"/>
              <w:tab w:val="right" w:leader="dot" w:pos="9062"/>
            </w:tabs>
            <w:rPr>
              <w:rFonts w:eastAsiaTheme="minorEastAsia" w:cstheme="minorBidi"/>
              <w:noProof/>
              <w:lang w:eastAsia="hu-HU"/>
            </w:rPr>
          </w:pPr>
          <w:hyperlink w:anchor="_Toc96075606" w:history="1">
            <w:r w:rsidRPr="008D4383">
              <w:rPr>
                <w:rStyle w:val="Hiperhivatkozs"/>
                <w:noProof/>
              </w:rPr>
              <w:t>3.2.1.</w:t>
            </w:r>
            <w:r>
              <w:rPr>
                <w:rFonts w:eastAsiaTheme="minorEastAsia" w:cstheme="minorBidi"/>
                <w:noProof/>
                <w:lang w:eastAsia="hu-HU"/>
              </w:rPr>
              <w:tab/>
            </w:r>
            <w:r w:rsidRPr="008D4383">
              <w:rPr>
                <w:rStyle w:val="Hiperhivatkozs"/>
                <w:noProof/>
              </w:rPr>
              <w:t>Jelenlegi szabályozás és használat</w:t>
            </w:r>
            <w:r>
              <w:rPr>
                <w:noProof/>
                <w:webHidden/>
              </w:rPr>
              <w:tab/>
            </w:r>
            <w:r>
              <w:rPr>
                <w:noProof/>
                <w:webHidden/>
              </w:rPr>
              <w:fldChar w:fldCharType="begin"/>
            </w:r>
            <w:r>
              <w:rPr>
                <w:noProof/>
                <w:webHidden/>
              </w:rPr>
              <w:instrText xml:space="preserve"> PAGEREF _Toc96075606 \h </w:instrText>
            </w:r>
            <w:r>
              <w:rPr>
                <w:noProof/>
                <w:webHidden/>
              </w:rPr>
            </w:r>
            <w:r>
              <w:rPr>
                <w:noProof/>
                <w:webHidden/>
              </w:rPr>
              <w:fldChar w:fldCharType="separate"/>
            </w:r>
            <w:r>
              <w:rPr>
                <w:noProof/>
                <w:webHidden/>
              </w:rPr>
              <w:t>16</w:t>
            </w:r>
            <w:r>
              <w:rPr>
                <w:noProof/>
                <w:webHidden/>
              </w:rPr>
              <w:fldChar w:fldCharType="end"/>
            </w:r>
          </w:hyperlink>
        </w:p>
        <w:p w14:paraId="78FDE7E7" w14:textId="5A415E1C" w:rsidR="002C361E" w:rsidRDefault="002C361E">
          <w:pPr>
            <w:pStyle w:val="TJ3"/>
            <w:tabs>
              <w:tab w:val="left" w:pos="1320"/>
              <w:tab w:val="right" w:leader="dot" w:pos="9062"/>
            </w:tabs>
            <w:rPr>
              <w:rFonts w:eastAsiaTheme="minorEastAsia" w:cstheme="minorBidi"/>
              <w:noProof/>
              <w:lang w:eastAsia="hu-HU"/>
            </w:rPr>
          </w:pPr>
          <w:hyperlink w:anchor="_Toc96075607" w:history="1">
            <w:r w:rsidRPr="008D4383">
              <w:rPr>
                <w:rStyle w:val="Hiperhivatkozs"/>
                <w:noProof/>
              </w:rPr>
              <w:t>3.2.2.</w:t>
            </w:r>
            <w:r>
              <w:rPr>
                <w:rFonts w:eastAsiaTheme="minorEastAsia" w:cstheme="minorBidi"/>
                <w:noProof/>
                <w:lang w:eastAsia="hu-HU"/>
              </w:rPr>
              <w:tab/>
            </w:r>
            <w:r w:rsidRPr="008D4383">
              <w:rPr>
                <w:rStyle w:val="Hiperhivatkozs"/>
                <w:noProof/>
              </w:rPr>
              <w:t>Jelenlegi sávhasználati feltételek a 24,5-26,5 GHz sávrészben</w:t>
            </w:r>
            <w:r>
              <w:rPr>
                <w:noProof/>
                <w:webHidden/>
              </w:rPr>
              <w:tab/>
            </w:r>
            <w:r>
              <w:rPr>
                <w:noProof/>
                <w:webHidden/>
              </w:rPr>
              <w:fldChar w:fldCharType="begin"/>
            </w:r>
            <w:r>
              <w:rPr>
                <w:noProof/>
                <w:webHidden/>
              </w:rPr>
              <w:instrText xml:space="preserve"> PAGEREF _Toc96075607 \h </w:instrText>
            </w:r>
            <w:r>
              <w:rPr>
                <w:noProof/>
                <w:webHidden/>
              </w:rPr>
            </w:r>
            <w:r>
              <w:rPr>
                <w:noProof/>
                <w:webHidden/>
              </w:rPr>
              <w:fldChar w:fldCharType="separate"/>
            </w:r>
            <w:r>
              <w:rPr>
                <w:noProof/>
                <w:webHidden/>
              </w:rPr>
              <w:t>17</w:t>
            </w:r>
            <w:r>
              <w:rPr>
                <w:noProof/>
                <w:webHidden/>
              </w:rPr>
              <w:fldChar w:fldCharType="end"/>
            </w:r>
          </w:hyperlink>
        </w:p>
        <w:p w14:paraId="3FB6732B" w14:textId="3820EFB1" w:rsidR="002C361E" w:rsidRDefault="002C361E">
          <w:pPr>
            <w:pStyle w:val="TJ1"/>
            <w:tabs>
              <w:tab w:val="left" w:pos="440"/>
              <w:tab w:val="right" w:leader="dot" w:pos="9062"/>
            </w:tabs>
            <w:rPr>
              <w:rFonts w:eastAsiaTheme="minorEastAsia" w:cstheme="minorBidi"/>
              <w:noProof/>
              <w:lang w:eastAsia="hu-HU"/>
            </w:rPr>
          </w:pPr>
          <w:hyperlink w:anchor="_Toc96075608" w:history="1">
            <w:r w:rsidRPr="008D4383">
              <w:rPr>
                <w:rStyle w:val="Hiperhivatkozs"/>
                <w:noProof/>
              </w:rPr>
              <w:t>4.</w:t>
            </w:r>
            <w:r>
              <w:rPr>
                <w:rFonts w:eastAsiaTheme="minorEastAsia" w:cstheme="minorBidi"/>
                <w:noProof/>
                <w:lang w:eastAsia="hu-HU"/>
              </w:rPr>
              <w:tab/>
            </w:r>
            <w:r w:rsidRPr="008D4383">
              <w:rPr>
                <w:rStyle w:val="Hiperhivatkozs"/>
                <w:noProof/>
              </w:rPr>
              <w:t>A 24,5-26,5 GHz frekvenciasáv jelenlegi használata</w:t>
            </w:r>
            <w:r>
              <w:rPr>
                <w:noProof/>
                <w:webHidden/>
              </w:rPr>
              <w:tab/>
            </w:r>
            <w:r>
              <w:rPr>
                <w:noProof/>
                <w:webHidden/>
              </w:rPr>
              <w:fldChar w:fldCharType="begin"/>
            </w:r>
            <w:r>
              <w:rPr>
                <w:noProof/>
                <w:webHidden/>
              </w:rPr>
              <w:instrText xml:space="preserve"> PAGEREF _Toc96075608 \h </w:instrText>
            </w:r>
            <w:r>
              <w:rPr>
                <w:noProof/>
                <w:webHidden/>
              </w:rPr>
            </w:r>
            <w:r>
              <w:rPr>
                <w:noProof/>
                <w:webHidden/>
              </w:rPr>
              <w:fldChar w:fldCharType="separate"/>
            </w:r>
            <w:r>
              <w:rPr>
                <w:noProof/>
                <w:webHidden/>
              </w:rPr>
              <w:t>18</w:t>
            </w:r>
            <w:r>
              <w:rPr>
                <w:noProof/>
                <w:webHidden/>
              </w:rPr>
              <w:fldChar w:fldCharType="end"/>
            </w:r>
          </w:hyperlink>
        </w:p>
        <w:p w14:paraId="556D01FA" w14:textId="4FDC3C25" w:rsidR="002C361E" w:rsidRDefault="002C361E">
          <w:pPr>
            <w:pStyle w:val="TJ1"/>
            <w:tabs>
              <w:tab w:val="left" w:pos="440"/>
              <w:tab w:val="right" w:leader="dot" w:pos="9062"/>
            </w:tabs>
            <w:rPr>
              <w:rFonts w:eastAsiaTheme="minorEastAsia" w:cstheme="minorBidi"/>
              <w:noProof/>
              <w:lang w:eastAsia="hu-HU"/>
            </w:rPr>
          </w:pPr>
          <w:hyperlink w:anchor="_Toc96075609" w:history="1">
            <w:r w:rsidRPr="008D4383">
              <w:rPr>
                <w:rStyle w:val="Hiperhivatkozs"/>
                <w:noProof/>
              </w:rPr>
              <w:t>5.</w:t>
            </w:r>
            <w:r>
              <w:rPr>
                <w:rFonts w:eastAsiaTheme="minorEastAsia" w:cstheme="minorBidi"/>
                <w:noProof/>
                <w:lang w:eastAsia="hu-HU"/>
              </w:rPr>
              <w:tab/>
            </w:r>
            <w:r w:rsidRPr="008D4383">
              <w:rPr>
                <w:rStyle w:val="Hiperhivatkozs"/>
                <w:noProof/>
              </w:rPr>
              <w:t>Nemzeti szabályozási tervek</w:t>
            </w:r>
            <w:r>
              <w:rPr>
                <w:noProof/>
                <w:webHidden/>
              </w:rPr>
              <w:tab/>
            </w:r>
            <w:r>
              <w:rPr>
                <w:noProof/>
                <w:webHidden/>
              </w:rPr>
              <w:fldChar w:fldCharType="begin"/>
            </w:r>
            <w:r>
              <w:rPr>
                <w:noProof/>
                <w:webHidden/>
              </w:rPr>
              <w:instrText xml:space="preserve"> PAGEREF _Toc96075609 \h </w:instrText>
            </w:r>
            <w:r>
              <w:rPr>
                <w:noProof/>
                <w:webHidden/>
              </w:rPr>
            </w:r>
            <w:r>
              <w:rPr>
                <w:noProof/>
                <w:webHidden/>
              </w:rPr>
              <w:fldChar w:fldCharType="separate"/>
            </w:r>
            <w:r>
              <w:rPr>
                <w:noProof/>
                <w:webHidden/>
              </w:rPr>
              <w:t>19</w:t>
            </w:r>
            <w:r>
              <w:rPr>
                <w:noProof/>
                <w:webHidden/>
              </w:rPr>
              <w:fldChar w:fldCharType="end"/>
            </w:r>
          </w:hyperlink>
        </w:p>
        <w:p w14:paraId="51F1A6FD" w14:textId="31FD6DCB" w:rsidR="002C361E" w:rsidRDefault="002C361E">
          <w:pPr>
            <w:pStyle w:val="TJ2"/>
            <w:tabs>
              <w:tab w:val="left" w:pos="880"/>
              <w:tab w:val="right" w:leader="dot" w:pos="9062"/>
            </w:tabs>
            <w:rPr>
              <w:rFonts w:eastAsiaTheme="minorEastAsia" w:cstheme="minorBidi"/>
              <w:noProof/>
              <w:lang w:eastAsia="hu-HU"/>
            </w:rPr>
          </w:pPr>
          <w:hyperlink w:anchor="_Toc96075610" w:history="1">
            <w:r w:rsidRPr="008D4383">
              <w:rPr>
                <w:rStyle w:val="Hiperhivatkozs"/>
                <w:noProof/>
              </w:rPr>
              <w:t>5.1.</w:t>
            </w:r>
            <w:r>
              <w:rPr>
                <w:rFonts w:eastAsiaTheme="minorEastAsia" w:cstheme="minorBidi"/>
                <w:noProof/>
                <w:lang w:eastAsia="hu-HU"/>
              </w:rPr>
              <w:tab/>
            </w:r>
            <w:r w:rsidRPr="008D4383">
              <w:rPr>
                <w:rStyle w:val="Hiperhivatkozs"/>
                <w:noProof/>
                <w:shd w:val="clear" w:color="auto" w:fill="FFFFFF"/>
              </w:rPr>
              <w:t>24,25-24,5 GHz sávrész</w:t>
            </w:r>
            <w:r>
              <w:rPr>
                <w:noProof/>
                <w:webHidden/>
              </w:rPr>
              <w:tab/>
            </w:r>
            <w:r>
              <w:rPr>
                <w:noProof/>
                <w:webHidden/>
              </w:rPr>
              <w:fldChar w:fldCharType="begin"/>
            </w:r>
            <w:r>
              <w:rPr>
                <w:noProof/>
                <w:webHidden/>
              </w:rPr>
              <w:instrText xml:space="preserve"> PAGEREF _Toc96075610 \h </w:instrText>
            </w:r>
            <w:r>
              <w:rPr>
                <w:noProof/>
                <w:webHidden/>
              </w:rPr>
            </w:r>
            <w:r>
              <w:rPr>
                <w:noProof/>
                <w:webHidden/>
              </w:rPr>
              <w:fldChar w:fldCharType="separate"/>
            </w:r>
            <w:r>
              <w:rPr>
                <w:noProof/>
                <w:webHidden/>
              </w:rPr>
              <w:t>20</w:t>
            </w:r>
            <w:r>
              <w:rPr>
                <w:noProof/>
                <w:webHidden/>
              </w:rPr>
              <w:fldChar w:fldCharType="end"/>
            </w:r>
          </w:hyperlink>
        </w:p>
        <w:p w14:paraId="3EA02994" w14:textId="6DE81024" w:rsidR="002C361E" w:rsidRDefault="002C361E">
          <w:pPr>
            <w:pStyle w:val="TJ2"/>
            <w:tabs>
              <w:tab w:val="left" w:pos="880"/>
              <w:tab w:val="right" w:leader="dot" w:pos="9062"/>
            </w:tabs>
            <w:rPr>
              <w:rFonts w:eastAsiaTheme="minorEastAsia" w:cstheme="minorBidi"/>
              <w:noProof/>
              <w:lang w:eastAsia="hu-HU"/>
            </w:rPr>
          </w:pPr>
          <w:hyperlink w:anchor="_Toc96075611" w:history="1">
            <w:r w:rsidRPr="008D4383">
              <w:rPr>
                <w:rStyle w:val="Hiperhivatkozs"/>
                <w:noProof/>
              </w:rPr>
              <w:t>5.2.</w:t>
            </w:r>
            <w:r>
              <w:rPr>
                <w:rFonts w:eastAsiaTheme="minorEastAsia" w:cstheme="minorBidi"/>
                <w:noProof/>
                <w:lang w:eastAsia="hu-HU"/>
              </w:rPr>
              <w:tab/>
            </w:r>
            <w:r w:rsidRPr="008D4383">
              <w:rPr>
                <w:rStyle w:val="Hiperhivatkozs"/>
                <w:noProof/>
                <w:shd w:val="clear" w:color="auto" w:fill="FFFFFF"/>
              </w:rPr>
              <w:t>24,5-26,5 GHz sávrész</w:t>
            </w:r>
            <w:r>
              <w:rPr>
                <w:noProof/>
                <w:webHidden/>
              </w:rPr>
              <w:tab/>
            </w:r>
            <w:r>
              <w:rPr>
                <w:noProof/>
                <w:webHidden/>
              </w:rPr>
              <w:fldChar w:fldCharType="begin"/>
            </w:r>
            <w:r>
              <w:rPr>
                <w:noProof/>
                <w:webHidden/>
              </w:rPr>
              <w:instrText xml:space="preserve"> PAGEREF _Toc96075611 \h </w:instrText>
            </w:r>
            <w:r>
              <w:rPr>
                <w:noProof/>
                <w:webHidden/>
              </w:rPr>
            </w:r>
            <w:r>
              <w:rPr>
                <w:noProof/>
                <w:webHidden/>
              </w:rPr>
              <w:fldChar w:fldCharType="separate"/>
            </w:r>
            <w:r>
              <w:rPr>
                <w:noProof/>
                <w:webHidden/>
              </w:rPr>
              <w:t>20</w:t>
            </w:r>
            <w:r>
              <w:rPr>
                <w:noProof/>
                <w:webHidden/>
              </w:rPr>
              <w:fldChar w:fldCharType="end"/>
            </w:r>
          </w:hyperlink>
        </w:p>
        <w:p w14:paraId="2167DB4C" w14:textId="0B4CB911" w:rsidR="002C361E" w:rsidRDefault="002C361E">
          <w:pPr>
            <w:pStyle w:val="TJ3"/>
            <w:tabs>
              <w:tab w:val="left" w:pos="1320"/>
              <w:tab w:val="right" w:leader="dot" w:pos="9062"/>
            </w:tabs>
            <w:rPr>
              <w:rFonts w:eastAsiaTheme="minorEastAsia" w:cstheme="minorBidi"/>
              <w:noProof/>
              <w:lang w:eastAsia="hu-HU"/>
            </w:rPr>
          </w:pPr>
          <w:hyperlink w:anchor="_Toc96075612" w:history="1">
            <w:r w:rsidRPr="008D4383">
              <w:rPr>
                <w:rStyle w:val="Hiperhivatkozs"/>
                <w:noProof/>
              </w:rPr>
              <w:t>5.2.1.</w:t>
            </w:r>
            <w:r>
              <w:rPr>
                <w:rFonts w:eastAsiaTheme="minorEastAsia" w:cstheme="minorBidi"/>
                <w:noProof/>
                <w:lang w:eastAsia="hu-HU"/>
              </w:rPr>
              <w:tab/>
            </w:r>
            <w:r w:rsidRPr="008D4383">
              <w:rPr>
                <w:rStyle w:val="Hiperhivatkozs"/>
                <w:noProof/>
              </w:rPr>
              <w:t>A 24,5-26,5 GHz frekvenciasávú rendszerek kiváltásának lehetősége</w:t>
            </w:r>
            <w:r>
              <w:rPr>
                <w:noProof/>
                <w:webHidden/>
              </w:rPr>
              <w:tab/>
            </w:r>
            <w:r>
              <w:rPr>
                <w:noProof/>
                <w:webHidden/>
              </w:rPr>
              <w:fldChar w:fldCharType="begin"/>
            </w:r>
            <w:r>
              <w:rPr>
                <w:noProof/>
                <w:webHidden/>
              </w:rPr>
              <w:instrText xml:space="preserve"> PAGEREF _Toc96075612 \h </w:instrText>
            </w:r>
            <w:r>
              <w:rPr>
                <w:noProof/>
                <w:webHidden/>
              </w:rPr>
            </w:r>
            <w:r>
              <w:rPr>
                <w:noProof/>
                <w:webHidden/>
              </w:rPr>
              <w:fldChar w:fldCharType="separate"/>
            </w:r>
            <w:r>
              <w:rPr>
                <w:noProof/>
                <w:webHidden/>
              </w:rPr>
              <w:t>20</w:t>
            </w:r>
            <w:r>
              <w:rPr>
                <w:noProof/>
                <w:webHidden/>
              </w:rPr>
              <w:fldChar w:fldCharType="end"/>
            </w:r>
          </w:hyperlink>
        </w:p>
        <w:p w14:paraId="2854C5DB" w14:textId="5DB85ECF" w:rsidR="002C361E" w:rsidRDefault="002C361E">
          <w:pPr>
            <w:pStyle w:val="TJ3"/>
            <w:tabs>
              <w:tab w:val="left" w:pos="1320"/>
              <w:tab w:val="right" w:leader="dot" w:pos="9062"/>
            </w:tabs>
            <w:rPr>
              <w:rFonts w:eastAsiaTheme="minorEastAsia" w:cstheme="minorBidi"/>
              <w:noProof/>
              <w:lang w:eastAsia="hu-HU"/>
            </w:rPr>
          </w:pPr>
          <w:hyperlink w:anchor="_Toc96075613" w:history="1">
            <w:r w:rsidRPr="008D4383">
              <w:rPr>
                <w:rStyle w:val="Hiperhivatkozs"/>
                <w:noProof/>
              </w:rPr>
              <w:t>5.2.2.</w:t>
            </w:r>
            <w:r>
              <w:rPr>
                <w:rFonts w:eastAsiaTheme="minorEastAsia" w:cstheme="minorBidi"/>
                <w:noProof/>
                <w:lang w:eastAsia="hu-HU"/>
              </w:rPr>
              <w:tab/>
            </w:r>
            <w:r w:rsidRPr="008D4383">
              <w:rPr>
                <w:rStyle w:val="Hiperhivatkozs"/>
                <w:noProof/>
              </w:rPr>
              <w:t>A 24,5-26,5 GHz sáv részbeni elérhetővé tétele MFCN célra</w:t>
            </w:r>
            <w:r>
              <w:rPr>
                <w:noProof/>
                <w:webHidden/>
              </w:rPr>
              <w:tab/>
            </w:r>
            <w:r>
              <w:rPr>
                <w:noProof/>
                <w:webHidden/>
              </w:rPr>
              <w:fldChar w:fldCharType="begin"/>
            </w:r>
            <w:r>
              <w:rPr>
                <w:noProof/>
                <w:webHidden/>
              </w:rPr>
              <w:instrText xml:space="preserve"> PAGEREF _Toc96075613 \h </w:instrText>
            </w:r>
            <w:r>
              <w:rPr>
                <w:noProof/>
                <w:webHidden/>
              </w:rPr>
            </w:r>
            <w:r>
              <w:rPr>
                <w:noProof/>
                <w:webHidden/>
              </w:rPr>
              <w:fldChar w:fldCharType="separate"/>
            </w:r>
            <w:r>
              <w:rPr>
                <w:noProof/>
                <w:webHidden/>
              </w:rPr>
              <w:t>21</w:t>
            </w:r>
            <w:r>
              <w:rPr>
                <w:noProof/>
                <w:webHidden/>
              </w:rPr>
              <w:fldChar w:fldCharType="end"/>
            </w:r>
          </w:hyperlink>
        </w:p>
        <w:p w14:paraId="573734D4" w14:textId="2C839245" w:rsidR="002C361E" w:rsidRDefault="002C361E">
          <w:pPr>
            <w:pStyle w:val="TJ2"/>
            <w:tabs>
              <w:tab w:val="left" w:pos="880"/>
              <w:tab w:val="right" w:leader="dot" w:pos="9062"/>
            </w:tabs>
            <w:rPr>
              <w:rFonts w:eastAsiaTheme="minorEastAsia" w:cstheme="minorBidi"/>
              <w:noProof/>
              <w:lang w:eastAsia="hu-HU"/>
            </w:rPr>
          </w:pPr>
          <w:hyperlink w:anchor="_Toc96075614" w:history="1">
            <w:r w:rsidRPr="008D4383">
              <w:rPr>
                <w:rStyle w:val="Hiperhivatkozs"/>
                <w:noProof/>
              </w:rPr>
              <w:t>5.3.</w:t>
            </w:r>
            <w:r>
              <w:rPr>
                <w:rFonts w:eastAsiaTheme="minorEastAsia" w:cstheme="minorBidi"/>
                <w:noProof/>
                <w:lang w:eastAsia="hu-HU"/>
              </w:rPr>
              <w:tab/>
            </w:r>
            <w:r w:rsidRPr="008D4383">
              <w:rPr>
                <w:rStyle w:val="Hiperhivatkozs"/>
                <w:noProof/>
                <w:shd w:val="clear" w:color="auto" w:fill="FFFFFF"/>
              </w:rPr>
              <w:t>26,5-27,5 GHz sávrész</w:t>
            </w:r>
            <w:r>
              <w:rPr>
                <w:noProof/>
                <w:webHidden/>
              </w:rPr>
              <w:tab/>
            </w:r>
            <w:r>
              <w:rPr>
                <w:noProof/>
                <w:webHidden/>
              </w:rPr>
              <w:fldChar w:fldCharType="begin"/>
            </w:r>
            <w:r>
              <w:rPr>
                <w:noProof/>
                <w:webHidden/>
              </w:rPr>
              <w:instrText xml:space="preserve"> PAGEREF _Toc96075614 \h </w:instrText>
            </w:r>
            <w:r>
              <w:rPr>
                <w:noProof/>
                <w:webHidden/>
              </w:rPr>
            </w:r>
            <w:r>
              <w:rPr>
                <w:noProof/>
                <w:webHidden/>
              </w:rPr>
              <w:fldChar w:fldCharType="separate"/>
            </w:r>
            <w:r>
              <w:rPr>
                <w:noProof/>
                <w:webHidden/>
              </w:rPr>
              <w:t>21</w:t>
            </w:r>
            <w:r>
              <w:rPr>
                <w:noProof/>
                <w:webHidden/>
              </w:rPr>
              <w:fldChar w:fldCharType="end"/>
            </w:r>
          </w:hyperlink>
        </w:p>
        <w:p w14:paraId="7BF293C9" w14:textId="336BF633" w:rsidR="002C361E" w:rsidRDefault="002C361E">
          <w:pPr>
            <w:pStyle w:val="TJ2"/>
            <w:tabs>
              <w:tab w:val="left" w:pos="880"/>
              <w:tab w:val="right" w:leader="dot" w:pos="9062"/>
            </w:tabs>
            <w:rPr>
              <w:rFonts w:eastAsiaTheme="minorEastAsia" w:cstheme="minorBidi"/>
              <w:noProof/>
              <w:lang w:eastAsia="hu-HU"/>
            </w:rPr>
          </w:pPr>
          <w:hyperlink w:anchor="_Toc96075615" w:history="1">
            <w:r w:rsidRPr="008D4383">
              <w:rPr>
                <w:rStyle w:val="Hiperhivatkozs"/>
                <w:noProof/>
              </w:rPr>
              <w:t>5.4.</w:t>
            </w:r>
            <w:r>
              <w:rPr>
                <w:rFonts w:eastAsiaTheme="minorEastAsia" w:cstheme="minorBidi"/>
                <w:noProof/>
                <w:lang w:eastAsia="hu-HU"/>
              </w:rPr>
              <w:tab/>
            </w:r>
            <w:r w:rsidRPr="008D4383">
              <w:rPr>
                <w:rStyle w:val="Hiperhivatkozs"/>
                <w:noProof/>
                <w:shd w:val="clear" w:color="auto" w:fill="FFFFFF"/>
              </w:rPr>
              <w:t>Szabályozási lépések</w:t>
            </w:r>
            <w:r>
              <w:rPr>
                <w:noProof/>
                <w:webHidden/>
              </w:rPr>
              <w:tab/>
            </w:r>
            <w:r>
              <w:rPr>
                <w:noProof/>
                <w:webHidden/>
              </w:rPr>
              <w:fldChar w:fldCharType="begin"/>
            </w:r>
            <w:r>
              <w:rPr>
                <w:noProof/>
                <w:webHidden/>
              </w:rPr>
              <w:instrText xml:space="preserve"> PAGEREF _Toc96075615 \h </w:instrText>
            </w:r>
            <w:r>
              <w:rPr>
                <w:noProof/>
                <w:webHidden/>
              </w:rPr>
            </w:r>
            <w:r>
              <w:rPr>
                <w:noProof/>
                <w:webHidden/>
              </w:rPr>
              <w:fldChar w:fldCharType="separate"/>
            </w:r>
            <w:r>
              <w:rPr>
                <w:noProof/>
                <w:webHidden/>
              </w:rPr>
              <w:t>22</w:t>
            </w:r>
            <w:r>
              <w:rPr>
                <w:noProof/>
                <w:webHidden/>
              </w:rPr>
              <w:fldChar w:fldCharType="end"/>
            </w:r>
          </w:hyperlink>
        </w:p>
        <w:p w14:paraId="241C8001" w14:textId="03B4B374" w:rsidR="002C361E" w:rsidRDefault="002C361E">
          <w:pPr>
            <w:pStyle w:val="TJ1"/>
            <w:tabs>
              <w:tab w:val="left" w:pos="440"/>
              <w:tab w:val="right" w:leader="dot" w:pos="9062"/>
            </w:tabs>
            <w:rPr>
              <w:rFonts w:eastAsiaTheme="minorEastAsia" w:cstheme="minorBidi"/>
              <w:noProof/>
              <w:lang w:eastAsia="hu-HU"/>
            </w:rPr>
          </w:pPr>
          <w:hyperlink w:anchor="_Toc96075616" w:history="1">
            <w:r w:rsidRPr="008D4383">
              <w:rPr>
                <w:rStyle w:val="Hiperhivatkozs"/>
                <w:noProof/>
              </w:rPr>
              <w:t>6.</w:t>
            </w:r>
            <w:r>
              <w:rPr>
                <w:rFonts w:eastAsiaTheme="minorEastAsia" w:cstheme="minorBidi"/>
                <w:noProof/>
                <w:lang w:eastAsia="hu-HU"/>
              </w:rPr>
              <w:tab/>
            </w:r>
            <w:r w:rsidRPr="008D4383">
              <w:rPr>
                <w:rStyle w:val="Hiperhivatkozs"/>
                <w:noProof/>
              </w:rPr>
              <w:t>Nemzetközi koordináció</w:t>
            </w:r>
            <w:r>
              <w:rPr>
                <w:noProof/>
                <w:webHidden/>
              </w:rPr>
              <w:tab/>
            </w:r>
            <w:r>
              <w:rPr>
                <w:noProof/>
                <w:webHidden/>
              </w:rPr>
              <w:fldChar w:fldCharType="begin"/>
            </w:r>
            <w:r>
              <w:rPr>
                <w:noProof/>
                <w:webHidden/>
              </w:rPr>
              <w:instrText xml:space="preserve"> PAGEREF _Toc96075616 \h </w:instrText>
            </w:r>
            <w:r>
              <w:rPr>
                <w:noProof/>
                <w:webHidden/>
              </w:rPr>
            </w:r>
            <w:r>
              <w:rPr>
                <w:noProof/>
                <w:webHidden/>
              </w:rPr>
              <w:fldChar w:fldCharType="separate"/>
            </w:r>
            <w:r>
              <w:rPr>
                <w:noProof/>
                <w:webHidden/>
              </w:rPr>
              <w:t>22</w:t>
            </w:r>
            <w:r>
              <w:rPr>
                <w:noProof/>
                <w:webHidden/>
              </w:rPr>
              <w:fldChar w:fldCharType="end"/>
            </w:r>
          </w:hyperlink>
        </w:p>
        <w:p w14:paraId="7467751C" w14:textId="54DE6613" w:rsidR="002C361E" w:rsidRDefault="002C361E">
          <w:pPr>
            <w:pStyle w:val="TJ2"/>
            <w:tabs>
              <w:tab w:val="left" w:pos="880"/>
              <w:tab w:val="right" w:leader="dot" w:pos="9062"/>
            </w:tabs>
            <w:rPr>
              <w:rFonts w:eastAsiaTheme="minorEastAsia" w:cstheme="minorBidi"/>
              <w:noProof/>
              <w:lang w:eastAsia="hu-HU"/>
            </w:rPr>
          </w:pPr>
          <w:hyperlink w:anchor="_Toc96075617" w:history="1">
            <w:r w:rsidRPr="008D4383">
              <w:rPr>
                <w:rStyle w:val="Hiperhivatkozs"/>
                <w:noProof/>
              </w:rPr>
              <w:t>6.1</w:t>
            </w:r>
            <w:r>
              <w:rPr>
                <w:rFonts w:eastAsiaTheme="minorEastAsia" w:cstheme="minorBidi"/>
                <w:noProof/>
                <w:lang w:eastAsia="hu-HU"/>
              </w:rPr>
              <w:tab/>
            </w:r>
            <w:r w:rsidRPr="008D4383">
              <w:rPr>
                <w:rStyle w:val="Hiperhivatkozs"/>
                <w:noProof/>
              </w:rPr>
              <w:t>Jelenlegi állandóhelyű használatra vonatkozó rádióspektrum-használat a határövezetekben</w:t>
            </w:r>
            <w:r>
              <w:rPr>
                <w:noProof/>
                <w:webHidden/>
              </w:rPr>
              <w:tab/>
            </w:r>
            <w:r>
              <w:rPr>
                <w:noProof/>
                <w:webHidden/>
              </w:rPr>
              <w:fldChar w:fldCharType="begin"/>
            </w:r>
            <w:r>
              <w:rPr>
                <w:noProof/>
                <w:webHidden/>
              </w:rPr>
              <w:instrText xml:space="preserve"> PAGEREF _Toc96075617 \h </w:instrText>
            </w:r>
            <w:r>
              <w:rPr>
                <w:noProof/>
                <w:webHidden/>
              </w:rPr>
            </w:r>
            <w:r>
              <w:rPr>
                <w:noProof/>
                <w:webHidden/>
              </w:rPr>
              <w:fldChar w:fldCharType="separate"/>
            </w:r>
            <w:r>
              <w:rPr>
                <w:noProof/>
                <w:webHidden/>
              </w:rPr>
              <w:t>22</w:t>
            </w:r>
            <w:r>
              <w:rPr>
                <w:noProof/>
                <w:webHidden/>
              </w:rPr>
              <w:fldChar w:fldCharType="end"/>
            </w:r>
          </w:hyperlink>
        </w:p>
        <w:p w14:paraId="4004AFB4" w14:textId="65486949" w:rsidR="002C361E" w:rsidRDefault="002C361E">
          <w:pPr>
            <w:pStyle w:val="TJ2"/>
            <w:tabs>
              <w:tab w:val="left" w:pos="880"/>
              <w:tab w:val="right" w:leader="dot" w:pos="9062"/>
            </w:tabs>
            <w:rPr>
              <w:rFonts w:eastAsiaTheme="minorEastAsia" w:cstheme="minorBidi"/>
              <w:noProof/>
              <w:lang w:eastAsia="hu-HU"/>
            </w:rPr>
          </w:pPr>
          <w:hyperlink w:anchor="_Toc96075618" w:history="1">
            <w:r w:rsidRPr="008D4383">
              <w:rPr>
                <w:rStyle w:val="Hiperhivatkozs"/>
                <w:noProof/>
              </w:rPr>
              <w:t>6.2</w:t>
            </w:r>
            <w:r>
              <w:rPr>
                <w:rFonts w:eastAsiaTheme="minorEastAsia" w:cstheme="minorBidi"/>
                <w:noProof/>
                <w:lang w:eastAsia="hu-HU"/>
              </w:rPr>
              <w:tab/>
            </w:r>
            <w:r w:rsidRPr="008D4383">
              <w:rPr>
                <w:rStyle w:val="Hiperhivatkozs"/>
                <w:noProof/>
              </w:rPr>
              <w:t>Jövőbeni használattal összefüggő nemzetközi frekvenciakoordináció</w:t>
            </w:r>
            <w:r>
              <w:rPr>
                <w:noProof/>
                <w:webHidden/>
              </w:rPr>
              <w:tab/>
            </w:r>
            <w:r>
              <w:rPr>
                <w:noProof/>
                <w:webHidden/>
              </w:rPr>
              <w:fldChar w:fldCharType="begin"/>
            </w:r>
            <w:r>
              <w:rPr>
                <w:noProof/>
                <w:webHidden/>
              </w:rPr>
              <w:instrText xml:space="preserve"> PAGEREF _Toc96075618 \h </w:instrText>
            </w:r>
            <w:r>
              <w:rPr>
                <w:noProof/>
                <w:webHidden/>
              </w:rPr>
            </w:r>
            <w:r>
              <w:rPr>
                <w:noProof/>
                <w:webHidden/>
              </w:rPr>
              <w:fldChar w:fldCharType="separate"/>
            </w:r>
            <w:r>
              <w:rPr>
                <w:noProof/>
                <w:webHidden/>
              </w:rPr>
              <w:t>23</w:t>
            </w:r>
            <w:r>
              <w:rPr>
                <w:noProof/>
                <w:webHidden/>
              </w:rPr>
              <w:fldChar w:fldCharType="end"/>
            </w:r>
          </w:hyperlink>
        </w:p>
        <w:p w14:paraId="0ED56209" w14:textId="08505D13" w:rsidR="002C361E" w:rsidRDefault="002C361E">
          <w:pPr>
            <w:pStyle w:val="TJ1"/>
            <w:tabs>
              <w:tab w:val="left" w:pos="440"/>
              <w:tab w:val="right" w:leader="dot" w:pos="9062"/>
            </w:tabs>
            <w:rPr>
              <w:rFonts w:eastAsiaTheme="minorEastAsia" w:cstheme="minorBidi"/>
              <w:noProof/>
              <w:lang w:eastAsia="hu-HU"/>
            </w:rPr>
          </w:pPr>
          <w:hyperlink w:anchor="_Toc96075619" w:history="1">
            <w:r w:rsidRPr="008D4383">
              <w:rPr>
                <w:rStyle w:val="Hiperhivatkozs"/>
                <w:noProof/>
              </w:rPr>
              <w:t>7.</w:t>
            </w:r>
            <w:r>
              <w:rPr>
                <w:rFonts w:eastAsiaTheme="minorEastAsia" w:cstheme="minorBidi"/>
                <w:noProof/>
                <w:lang w:eastAsia="hu-HU"/>
              </w:rPr>
              <w:tab/>
            </w:r>
            <w:r w:rsidRPr="008D4383">
              <w:rPr>
                <w:rStyle w:val="Hiperhivatkozs"/>
                <w:noProof/>
              </w:rPr>
              <w:t>Potenciális zavarforrások</w:t>
            </w:r>
            <w:r>
              <w:rPr>
                <w:noProof/>
                <w:webHidden/>
              </w:rPr>
              <w:tab/>
            </w:r>
            <w:r>
              <w:rPr>
                <w:noProof/>
                <w:webHidden/>
              </w:rPr>
              <w:fldChar w:fldCharType="begin"/>
            </w:r>
            <w:r>
              <w:rPr>
                <w:noProof/>
                <w:webHidden/>
              </w:rPr>
              <w:instrText xml:space="preserve"> PAGEREF _Toc96075619 \h </w:instrText>
            </w:r>
            <w:r>
              <w:rPr>
                <w:noProof/>
                <w:webHidden/>
              </w:rPr>
            </w:r>
            <w:r>
              <w:rPr>
                <w:noProof/>
                <w:webHidden/>
              </w:rPr>
              <w:fldChar w:fldCharType="separate"/>
            </w:r>
            <w:r>
              <w:rPr>
                <w:noProof/>
                <w:webHidden/>
              </w:rPr>
              <w:t>23</w:t>
            </w:r>
            <w:r>
              <w:rPr>
                <w:noProof/>
                <w:webHidden/>
              </w:rPr>
              <w:fldChar w:fldCharType="end"/>
            </w:r>
          </w:hyperlink>
        </w:p>
        <w:p w14:paraId="2B1EBE59" w14:textId="79B90D62" w:rsidR="002C361E" w:rsidRDefault="002C361E">
          <w:pPr>
            <w:pStyle w:val="TJ1"/>
            <w:tabs>
              <w:tab w:val="left" w:pos="440"/>
              <w:tab w:val="right" w:leader="dot" w:pos="9062"/>
            </w:tabs>
            <w:rPr>
              <w:rFonts w:eastAsiaTheme="minorEastAsia" w:cstheme="minorBidi"/>
              <w:noProof/>
              <w:lang w:eastAsia="hu-HU"/>
            </w:rPr>
          </w:pPr>
          <w:hyperlink w:anchor="_Toc96075620" w:history="1">
            <w:r w:rsidRPr="008D4383">
              <w:rPr>
                <w:rStyle w:val="Hiperhivatkozs"/>
                <w:noProof/>
              </w:rPr>
              <w:t>8.</w:t>
            </w:r>
            <w:r>
              <w:rPr>
                <w:rFonts w:eastAsiaTheme="minorEastAsia" w:cstheme="minorBidi"/>
                <w:noProof/>
                <w:lang w:eastAsia="hu-HU"/>
              </w:rPr>
              <w:tab/>
            </w:r>
            <w:r w:rsidRPr="008D4383">
              <w:rPr>
                <w:rStyle w:val="Hiperhivatkozs"/>
                <w:noProof/>
              </w:rPr>
              <w:t>Rádióspektrumdíjak</w:t>
            </w:r>
            <w:r>
              <w:rPr>
                <w:noProof/>
                <w:webHidden/>
              </w:rPr>
              <w:tab/>
            </w:r>
            <w:r>
              <w:rPr>
                <w:noProof/>
                <w:webHidden/>
              </w:rPr>
              <w:fldChar w:fldCharType="begin"/>
            </w:r>
            <w:r>
              <w:rPr>
                <w:noProof/>
                <w:webHidden/>
              </w:rPr>
              <w:instrText xml:space="preserve"> PAGEREF _Toc96075620 \h </w:instrText>
            </w:r>
            <w:r>
              <w:rPr>
                <w:noProof/>
                <w:webHidden/>
              </w:rPr>
            </w:r>
            <w:r>
              <w:rPr>
                <w:noProof/>
                <w:webHidden/>
              </w:rPr>
              <w:fldChar w:fldCharType="separate"/>
            </w:r>
            <w:r>
              <w:rPr>
                <w:noProof/>
                <w:webHidden/>
              </w:rPr>
              <w:t>24</w:t>
            </w:r>
            <w:r>
              <w:rPr>
                <w:noProof/>
                <w:webHidden/>
              </w:rPr>
              <w:fldChar w:fldCharType="end"/>
            </w:r>
          </w:hyperlink>
        </w:p>
        <w:p w14:paraId="77FAEE04" w14:textId="6E7C045A" w:rsidR="00517579" w:rsidRDefault="00537B19">
          <w:r>
            <w:fldChar w:fldCharType="end"/>
          </w:r>
        </w:p>
        <w:bookmarkEnd w:id="0" w:displacedByCustomXml="next"/>
      </w:sdtContent>
    </w:sdt>
    <w:p w14:paraId="7089FE0B" w14:textId="77777777" w:rsidR="00517579" w:rsidRDefault="00537B19">
      <w:pPr>
        <w:spacing w:after="200"/>
        <w:jc w:val="left"/>
      </w:pPr>
      <w:r>
        <w:br w:type="page"/>
      </w:r>
    </w:p>
    <w:p w14:paraId="40B479CA" w14:textId="77777777" w:rsidR="008C63E0" w:rsidRPr="004E52FB" w:rsidRDefault="008C63E0" w:rsidP="008C63E0">
      <w:pPr>
        <w:pStyle w:val="Cmsor1szmozottnmhh"/>
        <w:ind w:left="431" w:hanging="431"/>
      </w:pPr>
      <w:bookmarkStart w:id="1" w:name="_Toc26254662"/>
      <w:bookmarkStart w:id="2" w:name="_Toc92461615"/>
      <w:bookmarkStart w:id="3" w:name="_Toc451860698"/>
      <w:bookmarkStart w:id="4" w:name="_Toc473880713"/>
      <w:bookmarkStart w:id="5" w:name="_Toc82171057"/>
      <w:bookmarkStart w:id="6" w:name="_Toc89185024"/>
      <w:bookmarkStart w:id="7" w:name="_Toc96075598"/>
      <w:r w:rsidRPr="004E52FB">
        <w:lastRenderedPageBreak/>
        <w:t>Összefoglaló</w:t>
      </w:r>
      <w:bookmarkEnd w:id="1"/>
      <w:bookmarkEnd w:id="2"/>
      <w:bookmarkEnd w:id="7"/>
    </w:p>
    <w:p w14:paraId="66B106E2" w14:textId="26647BED" w:rsidR="008C63E0" w:rsidRPr="004E52FB" w:rsidRDefault="008C63E0" w:rsidP="008C63E0">
      <w:pPr>
        <w:pStyle w:val="Behzottbekezdsnmhh"/>
      </w:pPr>
      <w:r>
        <w:t>A 24,5-26,5 </w:t>
      </w:r>
      <w:proofErr w:type="spellStart"/>
      <w:r w:rsidRPr="004E52FB">
        <w:t>GHz</w:t>
      </w:r>
      <w:proofErr w:type="spellEnd"/>
      <w:r w:rsidRPr="004E52FB">
        <w:t xml:space="preserve"> frekvenciasávban jelenleg állandóhelyű pont-pont és pont-többpont rendszerek működnek. A</w:t>
      </w:r>
      <w:r w:rsidR="00A336F6">
        <w:t>z</w:t>
      </w:r>
      <w:r w:rsidRPr="004E52FB">
        <w:t xml:space="preserve"> </w:t>
      </w:r>
      <w:r w:rsidR="00A336F6">
        <w:t xml:space="preserve">ehhez szükséges </w:t>
      </w:r>
      <w:r w:rsidR="005E5163">
        <w:t>rádióspektrum-</w:t>
      </w:r>
      <w:r w:rsidRPr="004E52FB">
        <w:t>használati jogosultságo</w:t>
      </w:r>
      <w:r w:rsidR="00A336F6">
        <w:t>ka</w:t>
      </w:r>
      <w:r w:rsidRPr="004E52FB">
        <w:t>t érték</w:t>
      </w:r>
      <w:r>
        <w:t>esítési eljárás</w:t>
      </w:r>
      <w:r w:rsidR="00A336F6">
        <w:t>ok</w:t>
      </w:r>
      <w:r>
        <w:t xml:space="preserve"> során szerezték </w:t>
      </w:r>
      <w:r w:rsidR="00AA4778">
        <w:t xml:space="preserve">a jogosultak </w:t>
      </w:r>
      <w:r>
        <w:t xml:space="preserve">és </w:t>
      </w:r>
      <w:r w:rsidRPr="004E52FB">
        <w:t xml:space="preserve">főként </w:t>
      </w:r>
      <w:r w:rsidR="00A336F6">
        <w:t xml:space="preserve">a mobil szolgáltatáshoz szükséges </w:t>
      </w:r>
      <w:r w:rsidRPr="004E52FB">
        <w:t>felhordóhálózati összeköttetéseket</w:t>
      </w:r>
      <w:r>
        <w:t xml:space="preserve"> </w:t>
      </w:r>
      <w:r w:rsidRPr="004E52FB">
        <w:t>valósítanak meg a frekvenciasávban</w:t>
      </w:r>
      <w:r>
        <w:t>.</w:t>
      </w:r>
      <w:r w:rsidRPr="004E52FB">
        <w:t xml:space="preserve"> A </w:t>
      </w:r>
      <w:r w:rsidR="005E5163">
        <w:t>rádióspektrum-</w:t>
      </w:r>
      <w:r w:rsidRPr="004E52FB">
        <w:t>használati jogo</w:t>
      </w:r>
      <w:r>
        <w:t>sultságo</w:t>
      </w:r>
      <w:r w:rsidRPr="004E52FB">
        <w:t>k</w:t>
      </w:r>
      <w:r>
        <w:t xml:space="preserve"> 2024</w:t>
      </w:r>
      <w:r w:rsidR="00AA4778">
        <w:t>-ben</w:t>
      </w:r>
      <w:r>
        <w:t xml:space="preserve"> és 2027</w:t>
      </w:r>
      <w:r w:rsidR="00AA4778">
        <w:t>-ben</w:t>
      </w:r>
      <w:r>
        <w:t xml:space="preserve"> járnak le</w:t>
      </w:r>
      <w:r w:rsidRPr="004E52FB">
        <w:t xml:space="preserve"> </w:t>
      </w:r>
      <w:r w:rsidR="00A336F6">
        <w:t>(</w:t>
      </w:r>
      <w:r>
        <w:t>döntő többségük 2027-ben</w:t>
      </w:r>
      <w:r w:rsidR="00A336F6">
        <w:t>)</w:t>
      </w:r>
      <w:r>
        <w:t xml:space="preserve">. </w:t>
      </w:r>
    </w:p>
    <w:p w14:paraId="3061F766" w14:textId="2C4923D9" w:rsidR="008C63E0" w:rsidRDefault="009A59CD" w:rsidP="008C63E0">
      <w:pPr>
        <w:pStyle w:val="Behzottbekezdsnmhh"/>
        <w:rPr>
          <w:color w:val="000000"/>
          <w:shd w:val="clear" w:color="auto" w:fill="FFFFFF"/>
        </w:rPr>
      </w:pPr>
      <w:r>
        <w:rPr>
          <w:color w:val="000000"/>
          <w:shd w:val="clear" w:color="auto" w:fill="FFFFFF"/>
        </w:rPr>
        <w:t>A</w:t>
      </w:r>
      <w:r w:rsidR="00A336F6">
        <w:rPr>
          <w:color w:val="000000"/>
          <w:shd w:val="clear" w:color="auto" w:fill="FFFFFF"/>
        </w:rPr>
        <w:t xml:space="preserve"> 24,25–27,5 </w:t>
      </w:r>
      <w:proofErr w:type="spellStart"/>
      <w:r w:rsidR="00A336F6">
        <w:rPr>
          <w:color w:val="000000"/>
          <w:shd w:val="clear" w:color="auto" w:fill="FFFFFF"/>
        </w:rPr>
        <w:t>GHz</w:t>
      </w:r>
      <w:proofErr w:type="spellEnd"/>
      <w:r w:rsidR="00A336F6">
        <w:rPr>
          <w:color w:val="000000"/>
          <w:shd w:val="clear" w:color="auto" w:fill="FFFFFF"/>
        </w:rPr>
        <w:t xml:space="preserve"> frekvenciasáv</w:t>
      </w:r>
      <w:r w:rsidR="008C63E0">
        <w:t xml:space="preserve"> </w:t>
      </w:r>
      <w:r w:rsidR="00A336F6">
        <w:t>(</w:t>
      </w:r>
      <w:r w:rsidR="00A336F6">
        <w:rPr>
          <w:color w:val="000000"/>
          <w:shd w:val="clear" w:color="auto" w:fill="FFFFFF"/>
        </w:rPr>
        <w:t>uniós spektrumpolitikai törekvésekkel összefüggésben</w:t>
      </w:r>
      <w:r w:rsidR="00A336F6">
        <w:t xml:space="preserve"> 26 </w:t>
      </w:r>
      <w:proofErr w:type="spellStart"/>
      <w:r w:rsidR="00A336F6">
        <w:t>GHz</w:t>
      </w:r>
      <w:proofErr w:type="spellEnd"/>
      <w:r w:rsidR="00A336F6">
        <w:t>-es frekvenciasávnak nevezett frekvenciasáv)</w:t>
      </w:r>
      <w:r w:rsidR="00A336F6" w:rsidRPr="00990F8E">
        <w:t xml:space="preserve"> </w:t>
      </w:r>
      <w:r w:rsidR="008C63E0" w:rsidRPr="00990F8E">
        <w:t>jövőbeli használat</w:t>
      </w:r>
      <w:r w:rsidR="008C63E0">
        <w:t xml:space="preserve">ára vonatkozóan </w:t>
      </w:r>
      <w:r w:rsidR="00A336F6">
        <w:t xml:space="preserve">számos </w:t>
      </w:r>
      <w:r w:rsidR="008C63E0">
        <w:rPr>
          <w:color w:val="000000"/>
          <w:shd w:val="clear" w:color="auto" w:fill="FFFFFF"/>
        </w:rPr>
        <w:t xml:space="preserve">nemzetközi </w:t>
      </w:r>
      <w:r w:rsidR="00A336F6">
        <w:rPr>
          <w:color w:val="000000"/>
          <w:shd w:val="clear" w:color="auto" w:fill="FFFFFF"/>
        </w:rPr>
        <w:t xml:space="preserve">szabályozási </w:t>
      </w:r>
      <w:r w:rsidR="008C63E0">
        <w:rPr>
          <w:color w:val="000000"/>
          <w:shd w:val="clear" w:color="auto" w:fill="FFFFFF"/>
        </w:rPr>
        <w:t>dokumentum</w:t>
      </w:r>
      <w:r w:rsidR="00A336F6" w:rsidRPr="00A336F6">
        <w:rPr>
          <w:color w:val="000000"/>
          <w:shd w:val="clear" w:color="auto" w:fill="FFFFFF"/>
        </w:rPr>
        <w:t xml:space="preserve"> </w:t>
      </w:r>
      <w:r w:rsidR="00A336F6">
        <w:rPr>
          <w:color w:val="000000"/>
          <w:shd w:val="clear" w:color="auto" w:fill="FFFFFF"/>
        </w:rPr>
        <w:t>született</w:t>
      </w:r>
      <w:r w:rsidR="003A1122">
        <w:rPr>
          <w:color w:val="000000"/>
          <w:shd w:val="clear" w:color="auto" w:fill="FFFFFF"/>
        </w:rPr>
        <w:t>.</w:t>
      </w:r>
      <w:r w:rsidR="008C63E0">
        <w:rPr>
          <w:color w:val="000000"/>
          <w:shd w:val="clear" w:color="auto" w:fill="FFFFFF"/>
        </w:rPr>
        <w:t xml:space="preserve"> </w:t>
      </w:r>
      <w:r w:rsidR="003A1122">
        <w:rPr>
          <w:color w:val="000000"/>
          <w:shd w:val="clear" w:color="auto" w:fill="FFFFFF"/>
        </w:rPr>
        <w:t>Sza</w:t>
      </w:r>
      <w:r w:rsidR="0011064A">
        <w:rPr>
          <w:color w:val="000000"/>
          <w:shd w:val="clear" w:color="auto" w:fill="FFFFFF"/>
        </w:rPr>
        <w:t>bályozási szempontból kiemelkedne</w:t>
      </w:r>
      <w:r w:rsidR="003A1122">
        <w:rPr>
          <w:color w:val="000000"/>
          <w:shd w:val="clear" w:color="auto" w:fill="FFFFFF"/>
        </w:rPr>
        <w:t>k közülük a</w:t>
      </w:r>
      <w:r w:rsidR="008C63E0">
        <w:rPr>
          <w:color w:val="000000"/>
          <w:shd w:val="clear" w:color="auto" w:fill="FFFFFF"/>
        </w:rPr>
        <w:t xml:space="preserve"> kötelezettséget megállapító uniós </w:t>
      </w:r>
      <w:r w:rsidR="00F61B55">
        <w:rPr>
          <w:color w:val="000000"/>
          <w:shd w:val="clear" w:color="auto" w:fill="FFFFFF"/>
        </w:rPr>
        <w:t xml:space="preserve">jogi aktusok, </w:t>
      </w:r>
      <w:r w:rsidR="00C61CEF">
        <w:rPr>
          <w:color w:val="000000"/>
          <w:shd w:val="clear" w:color="auto" w:fill="FFFFFF"/>
        </w:rPr>
        <w:t>a</w:t>
      </w:r>
      <w:r w:rsidR="00F61B55">
        <w:rPr>
          <w:color w:val="000000"/>
          <w:shd w:val="clear" w:color="auto" w:fill="FFFFFF"/>
        </w:rPr>
        <w:t xml:space="preserve">melyek alapján a </w:t>
      </w:r>
      <w:r w:rsidR="00A336F6">
        <w:rPr>
          <w:color w:val="000000"/>
          <w:shd w:val="clear" w:color="auto" w:fill="FFFFFF"/>
        </w:rPr>
        <w:t>26</w:t>
      </w:r>
      <w:r>
        <w:rPr>
          <w:color w:val="000000"/>
          <w:shd w:val="clear" w:color="auto" w:fill="FFFFFF"/>
        </w:rPr>
        <w:t> </w:t>
      </w:r>
      <w:proofErr w:type="spellStart"/>
      <w:r>
        <w:rPr>
          <w:color w:val="000000"/>
          <w:shd w:val="clear" w:color="auto" w:fill="FFFFFF"/>
        </w:rPr>
        <w:t>GHz</w:t>
      </w:r>
      <w:proofErr w:type="spellEnd"/>
      <w:r w:rsidR="00A336F6">
        <w:rPr>
          <w:color w:val="000000"/>
          <w:shd w:val="clear" w:color="auto" w:fill="FFFFFF"/>
        </w:rPr>
        <w:t>-es</w:t>
      </w:r>
      <w:r>
        <w:rPr>
          <w:color w:val="000000"/>
          <w:shd w:val="clear" w:color="auto" w:fill="FFFFFF"/>
        </w:rPr>
        <w:t xml:space="preserve"> frekvenciasávot (ami szélesebb, mint a jelenleg állandóhelyű összeköttetésekre használt</w:t>
      </w:r>
      <w:r w:rsidR="00A336F6">
        <w:rPr>
          <w:color w:val="000000"/>
          <w:shd w:val="clear" w:color="auto" w:fill="FFFFFF"/>
        </w:rPr>
        <w:t>, első bekezdésben említett</w:t>
      </w:r>
      <w:r>
        <w:rPr>
          <w:color w:val="000000"/>
          <w:shd w:val="clear" w:color="auto" w:fill="FFFFFF"/>
        </w:rPr>
        <w:t xml:space="preserve"> frekvenciasáv) </w:t>
      </w:r>
      <w:r w:rsidR="002B52A1">
        <w:t>mozgó és állandóhelyű hírközlési hálózatokkal (</w:t>
      </w:r>
      <w:r w:rsidR="00D33548">
        <w:rPr>
          <w:color w:val="000000"/>
          <w:shd w:val="clear" w:color="auto" w:fill="FFFFFF"/>
        </w:rPr>
        <w:t>MFCN</w:t>
      </w:r>
      <w:r w:rsidR="00F61B55">
        <w:rPr>
          <w:rStyle w:val="Lbjegyzet-hivatkozs"/>
          <w:color w:val="000000"/>
          <w:shd w:val="clear" w:color="auto" w:fill="FFFFFF"/>
        </w:rPr>
        <w:footnoteReference w:id="2"/>
      </w:r>
      <w:r w:rsidR="002E1847">
        <w:rPr>
          <w:color w:val="000000"/>
          <w:shd w:val="clear" w:color="auto" w:fill="FFFFFF"/>
        </w:rPr>
        <w:t xml:space="preserve">) </w:t>
      </w:r>
      <w:r w:rsidR="002B52A1">
        <w:t xml:space="preserve">megvalósítható </w:t>
      </w:r>
      <w:r w:rsidR="008C63E0">
        <w:rPr>
          <w:color w:val="000000"/>
          <w:shd w:val="clear" w:color="auto" w:fill="FFFFFF"/>
        </w:rPr>
        <w:t xml:space="preserve">vezetéknélküli szélessávú elektronikus hírközlési szolgáltatás nyújtására alkalmas </w:t>
      </w:r>
      <w:r w:rsidR="00F53429" w:rsidRPr="00F53429">
        <w:rPr>
          <w:color w:val="000000"/>
          <w:shd w:val="clear" w:color="auto" w:fill="FFFFFF"/>
        </w:rPr>
        <w:t xml:space="preserve">földfelszíni </w:t>
      </w:r>
      <w:r w:rsidR="008C63E0">
        <w:rPr>
          <w:color w:val="000000"/>
          <w:shd w:val="clear" w:color="auto" w:fill="FFFFFF"/>
        </w:rPr>
        <w:t>rendszerek számára</w:t>
      </w:r>
      <w:r w:rsidR="000E2DC9">
        <w:rPr>
          <w:color w:val="000000"/>
          <w:shd w:val="clear" w:color="auto" w:fill="FFFFFF"/>
        </w:rPr>
        <w:t xml:space="preserve"> </w:t>
      </w:r>
      <w:r w:rsidR="00A336F6">
        <w:rPr>
          <w:color w:val="000000"/>
          <w:shd w:val="clear" w:color="auto" w:fill="FFFFFF"/>
        </w:rPr>
        <w:t xml:space="preserve">kell </w:t>
      </w:r>
      <w:r w:rsidR="008C63E0">
        <w:rPr>
          <w:color w:val="000000"/>
          <w:shd w:val="clear" w:color="auto" w:fill="FFFFFF"/>
        </w:rPr>
        <w:t>kijelölni és rendelkezésre bocsátani</w:t>
      </w:r>
      <w:r w:rsidR="002502C6">
        <w:rPr>
          <w:color w:val="000000"/>
          <w:shd w:val="clear" w:color="auto" w:fill="FFFFFF"/>
        </w:rPr>
        <w:t>.</w:t>
      </w:r>
      <w:r w:rsidR="008C63E0">
        <w:rPr>
          <w:color w:val="000000"/>
          <w:shd w:val="clear" w:color="auto" w:fill="FFFFFF"/>
        </w:rPr>
        <w:t xml:space="preserve"> </w:t>
      </w:r>
      <w:r w:rsidR="0011064A">
        <w:rPr>
          <w:color w:val="000000"/>
          <w:shd w:val="clear" w:color="auto" w:fill="FFFFFF"/>
        </w:rPr>
        <w:t>A</w:t>
      </w:r>
      <w:r w:rsidR="00A336F6">
        <w:rPr>
          <w:color w:val="000000"/>
          <w:shd w:val="clear" w:color="auto" w:fill="FFFFFF"/>
        </w:rPr>
        <w:t xml:space="preserve"> </w:t>
      </w:r>
      <w:r w:rsidR="00A336F6" w:rsidRPr="00A336F6">
        <w:rPr>
          <w:color w:val="000000"/>
          <w:shd w:val="clear" w:color="auto" w:fill="FFFFFF"/>
        </w:rPr>
        <w:t xml:space="preserve">26 </w:t>
      </w:r>
      <w:proofErr w:type="spellStart"/>
      <w:r w:rsidR="00A336F6" w:rsidRPr="00A336F6">
        <w:rPr>
          <w:color w:val="000000"/>
          <w:shd w:val="clear" w:color="auto" w:fill="FFFFFF"/>
        </w:rPr>
        <w:t>GHz</w:t>
      </w:r>
      <w:proofErr w:type="spellEnd"/>
      <w:r w:rsidR="00A336F6" w:rsidRPr="00A336F6">
        <w:rPr>
          <w:color w:val="000000"/>
          <w:shd w:val="clear" w:color="auto" w:fill="FFFFFF"/>
        </w:rPr>
        <w:t xml:space="preserve">-es frekvenciasáv az </w:t>
      </w:r>
      <w:r w:rsidR="0011064A">
        <w:rPr>
          <w:color w:val="000000"/>
          <w:shd w:val="clear" w:color="auto" w:fill="FFFFFF"/>
        </w:rPr>
        <w:t xml:space="preserve">unió által </w:t>
      </w:r>
      <w:r w:rsidR="00A336F6" w:rsidRPr="00A336F6">
        <w:rPr>
          <w:color w:val="000000"/>
          <w:shd w:val="clear" w:color="auto" w:fill="FFFFFF"/>
        </w:rPr>
        <w:t xml:space="preserve">5G korai bevezetésére </w:t>
      </w:r>
      <w:r w:rsidR="00A336F6">
        <w:rPr>
          <w:color w:val="000000"/>
          <w:shd w:val="clear" w:color="auto" w:fill="FFFFFF"/>
        </w:rPr>
        <w:t>azonosított</w:t>
      </w:r>
      <w:r w:rsidR="00A336F6" w:rsidRPr="00A336F6">
        <w:rPr>
          <w:color w:val="000000"/>
          <w:shd w:val="clear" w:color="auto" w:fill="FFFFFF"/>
        </w:rPr>
        <w:t xml:space="preserve"> frekvenciasávok egyike (5G úttörő sáv)</w:t>
      </w:r>
      <w:r w:rsidR="00A336F6">
        <w:rPr>
          <w:color w:val="000000"/>
          <w:shd w:val="clear" w:color="auto" w:fill="FFFFFF"/>
        </w:rPr>
        <w:t xml:space="preserve">. </w:t>
      </w:r>
    </w:p>
    <w:p w14:paraId="5E17DEAC" w14:textId="7A0F521B" w:rsidR="000E02F4" w:rsidRDefault="008C63E0" w:rsidP="008D30AE">
      <w:pPr>
        <w:pStyle w:val="Behzottbekezdsnmhh"/>
        <w:rPr>
          <w:color w:val="000000"/>
          <w:shd w:val="clear" w:color="auto" w:fill="FFFFFF"/>
        </w:rPr>
      </w:pPr>
      <w:r>
        <w:rPr>
          <w:color w:val="000000"/>
          <w:shd w:val="clear" w:color="auto" w:fill="FFFFFF"/>
        </w:rPr>
        <w:t xml:space="preserve">A </w:t>
      </w:r>
      <w:r w:rsidRPr="00F740C0">
        <w:rPr>
          <w:color w:val="000000"/>
          <w:shd w:val="clear" w:color="auto" w:fill="FFFFFF"/>
        </w:rPr>
        <w:t xml:space="preserve">26 </w:t>
      </w:r>
      <w:proofErr w:type="spellStart"/>
      <w:r w:rsidRPr="00F740C0">
        <w:rPr>
          <w:color w:val="000000"/>
          <w:shd w:val="clear" w:color="auto" w:fill="FFFFFF"/>
        </w:rPr>
        <w:t>GHz</w:t>
      </w:r>
      <w:proofErr w:type="spellEnd"/>
      <w:r w:rsidRPr="00F740C0">
        <w:rPr>
          <w:color w:val="000000"/>
          <w:shd w:val="clear" w:color="auto" w:fill="FFFFFF"/>
        </w:rPr>
        <w:t xml:space="preserve">-es </w:t>
      </w:r>
      <w:r w:rsidR="007B30DB">
        <w:rPr>
          <w:color w:val="000000"/>
          <w:shd w:val="clear" w:color="auto" w:fill="FFFFFF"/>
        </w:rPr>
        <w:t>frekvencia</w:t>
      </w:r>
      <w:r w:rsidRPr="00F740C0">
        <w:rPr>
          <w:color w:val="000000"/>
          <w:shd w:val="clear" w:color="auto" w:fill="FFFFFF"/>
        </w:rPr>
        <w:t>sáv</w:t>
      </w:r>
      <w:r>
        <w:rPr>
          <w:color w:val="000000"/>
          <w:shd w:val="clear" w:color="auto" w:fill="FFFFFF"/>
        </w:rPr>
        <w:t>ban az</w:t>
      </w:r>
      <w:r w:rsidRPr="00F740C0">
        <w:rPr>
          <w:color w:val="000000"/>
          <w:shd w:val="clear" w:color="auto" w:fill="FFFFFF"/>
        </w:rPr>
        <w:t xml:space="preserve"> </w:t>
      </w:r>
      <w:r>
        <w:rPr>
          <w:color w:val="000000"/>
          <w:shd w:val="clear" w:color="auto" w:fill="FFFFFF"/>
        </w:rPr>
        <w:t xml:space="preserve">újgenerációs rádiós rendszerek </w:t>
      </w:r>
      <w:r w:rsidR="008D30AE">
        <w:rPr>
          <w:color w:val="000000"/>
          <w:shd w:val="clear" w:color="auto" w:fill="FFFFFF"/>
        </w:rPr>
        <w:t>(5G NR</w:t>
      </w:r>
      <w:r w:rsidR="008D30AE">
        <w:rPr>
          <w:rStyle w:val="Lbjegyzet-hivatkozs"/>
          <w:color w:val="000000"/>
          <w:shd w:val="clear" w:color="auto" w:fill="FFFFFF"/>
        </w:rPr>
        <w:footnoteReference w:id="3"/>
      </w:r>
      <w:r w:rsidR="008D30AE">
        <w:rPr>
          <w:color w:val="000000"/>
          <w:shd w:val="clear" w:color="auto" w:fill="FFFFFF"/>
        </w:rPr>
        <w:t xml:space="preserve">) </w:t>
      </w:r>
      <w:r w:rsidR="009F3A19">
        <w:rPr>
          <w:color w:val="000000"/>
          <w:shd w:val="clear" w:color="auto" w:fill="FFFFFF"/>
        </w:rPr>
        <w:t xml:space="preserve">bevezetésével </w:t>
      </w:r>
      <w:r>
        <w:rPr>
          <w:color w:val="000000"/>
          <w:shd w:val="clear" w:color="auto" w:fill="FFFFFF"/>
        </w:rPr>
        <w:t xml:space="preserve">kapcsolatban a </w:t>
      </w:r>
      <w:r w:rsidR="009F3A19" w:rsidRPr="009F3A19">
        <w:rPr>
          <w:color w:val="000000"/>
          <w:shd w:val="clear" w:color="auto" w:fill="FFFFFF"/>
        </w:rPr>
        <w:t xml:space="preserve">frekvenciasáv használatára vonatkozó igények megismerése szükséges a jövőbeli </w:t>
      </w:r>
      <w:r w:rsidR="009F3A19">
        <w:rPr>
          <w:color w:val="000000"/>
          <w:shd w:val="clear" w:color="auto" w:fill="FFFFFF"/>
        </w:rPr>
        <w:t xml:space="preserve">konkrét </w:t>
      </w:r>
      <w:r w:rsidR="009F3A19" w:rsidRPr="009F3A19">
        <w:rPr>
          <w:color w:val="000000"/>
          <w:shd w:val="clear" w:color="auto" w:fill="FFFFFF"/>
        </w:rPr>
        <w:t>szabál</w:t>
      </w:r>
      <w:r w:rsidR="00F61B55">
        <w:rPr>
          <w:color w:val="000000"/>
          <w:shd w:val="clear" w:color="auto" w:fill="FFFFFF"/>
        </w:rPr>
        <w:t>yoz</w:t>
      </w:r>
      <w:r w:rsidR="002A4C44">
        <w:rPr>
          <w:color w:val="000000"/>
          <w:shd w:val="clear" w:color="auto" w:fill="FFFFFF"/>
        </w:rPr>
        <w:t>ó</w:t>
      </w:r>
      <w:r w:rsidR="00F61B55">
        <w:rPr>
          <w:color w:val="000000"/>
          <w:shd w:val="clear" w:color="auto" w:fill="FFFFFF"/>
        </w:rPr>
        <w:t>i lépések meghatározásához</w:t>
      </w:r>
      <w:r w:rsidR="000E2DC9">
        <w:rPr>
          <w:color w:val="000000"/>
          <w:shd w:val="clear" w:color="auto" w:fill="FFFFFF"/>
        </w:rPr>
        <w:t>.</w:t>
      </w:r>
      <w:r>
        <w:rPr>
          <w:color w:val="000000"/>
          <w:shd w:val="clear" w:color="auto" w:fill="FFFFFF"/>
        </w:rPr>
        <w:t xml:space="preserve"> </w:t>
      </w:r>
      <w:r w:rsidR="007F203A" w:rsidRPr="007F203A">
        <w:rPr>
          <w:color w:val="000000"/>
          <w:shd w:val="clear" w:color="auto" w:fill="FFFFFF"/>
        </w:rPr>
        <w:t xml:space="preserve">A nyilvános meghallgatás eredményeként lehet dönteni </w:t>
      </w:r>
      <w:r>
        <w:rPr>
          <w:color w:val="000000"/>
          <w:shd w:val="clear" w:color="auto" w:fill="FFFFFF"/>
        </w:rPr>
        <w:t xml:space="preserve">a </w:t>
      </w:r>
      <w:r w:rsidR="00F61B55">
        <w:rPr>
          <w:color w:val="000000"/>
          <w:shd w:val="clear" w:color="auto" w:fill="FFFFFF"/>
        </w:rPr>
        <w:t>frekvencia</w:t>
      </w:r>
      <w:r>
        <w:rPr>
          <w:color w:val="000000"/>
          <w:shd w:val="clear" w:color="auto" w:fill="FFFFFF"/>
        </w:rPr>
        <w:t xml:space="preserve">sáv jövőbeli használati lehetőségeiről, különösen </w:t>
      </w:r>
      <w:r w:rsidR="005C3306">
        <w:rPr>
          <w:color w:val="000000"/>
          <w:shd w:val="clear" w:color="auto" w:fill="FFFFFF"/>
        </w:rPr>
        <w:t>az elosztás módjáról</w:t>
      </w:r>
      <w:r w:rsidR="000E782B">
        <w:rPr>
          <w:color w:val="000000"/>
          <w:shd w:val="clear" w:color="auto" w:fill="FFFFFF"/>
        </w:rPr>
        <w:t xml:space="preserve"> </w:t>
      </w:r>
      <w:r w:rsidR="005C3306">
        <w:rPr>
          <w:color w:val="000000"/>
          <w:shd w:val="clear" w:color="auto" w:fill="FFFFFF"/>
        </w:rPr>
        <w:t>(</w:t>
      </w:r>
      <w:r w:rsidR="008D30AE">
        <w:rPr>
          <w:color w:val="000000"/>
          <w:shd w:val="clear" w:color="auto" w:fill="FFFFFF"/>
        </w:rPr>
        <w:t xml:space="preserve">így pl. </w:t>
      </w:r>
      <w:r w:rsidR="00A74EFB">
        <w:rPr>
          <w:color w:val="000000"/>
          <w:shd w:val="clear" w:color="auto" w:fill="FFFFFF"/>
        </w:rPr>
        <w:t xml:space="preserve">a </w:t>
      </w:r>
      <w:r w:rsidR="009F7188">
        <w:rPr>
          <w:color w:val="000000"/>
          <w:shd w:val="clear" w:color="auto" w:fill="FFFFFF"/>
        </w:rPr>
        <w:t>frekvencia</w:t>
      </w:r>
      <w:r w:rsidR="00A74EFB">
        <w:rPr>
          <w:color w:val="000000"/>
          <w:shd w:val="clear" w:color="auto" w:fill="FFFFFF"/>
        </w:rPr>
        <w:t xml:space="preserve">sáv teljes vagy részbeni elérhetővé tétele 5G célra, </w:t>
      </w:r>
      <w:r w:rsidR="008D30AE">
        <w:rPr>
          <w:color w:val="000000"/>
          <w:shd w:val="clear" w:color="auto" w:fill="FFFFFF"/>
        </w:rPr>
        <w:t>versenyeztetési eljárás, illetve egyéb engedélyezési módszer lehetősége, országos és/vagy helyi igények kielégítése, stb.).</w:t>
      </w:r>
      <w:r w:rsidR="000E782B">
        <w:rPr>
          <w:color w:val="000000"/>
          <w:shd w:val="clear" w:color="auto" w:fill="FFFFFF"/>
        </w:rPr>
        <w:t xml:space="preserve"> </w:t>
      </w:r>
      <w:r w:rsidR="003A1122">
        <w:rPr>
          <w:color w:val="000000"/>
          <w:shd w:val="clear" w:color="auto" w:fill="FFFFFF"/>
        </w:rPr>
        <w:t>A lehetséges lépések között szerepel az alternatív használat, a megosztott használat országos és helyi igények kielégítését szolgáló rendszerek között és ehhez igazítottan vegyes engedélyezési rezsim bevezetése is.</w:t>
      </w:r>
    </w:p>
    <w:p w14:paraId="2091022E" w14:textId="1216F893" w:rsidR="00A8047A" w:rsidRDefault="00580851" w:rsidP="00F728B3">
      <w:pPr>
        <w:pStyle w:val="Behzottbekezdsnmhh"/>
        <w:rPr>
          <w:rFonts w:ascii="Arial" w:eastAsia="Calibri" w:hAnsi="Arial" w:cs="Times New Roman"/>
          <w:iCs/>
        </w:rPr>
      </w:pPr>
      <w:r>
        <w:rPr>
          <w:rFonts w:ascii="Arial" w:eastAsia="Calibri" w:hAnsi="Arial" w:cs="Times New Roman"/>
          <w:iCs/>
        </w:rPr>
        <w:t xml:space="preserve">A Nemzeti Média és Hírközlési Hatóság </w:t>
      </w:r>
      <w:r w:rsidR="00F702B7">
        <w:rPr>
          <w:rFonts w:ascii="Arial" w:eastAsia="Calibri" w:hAnsi="Arial" w:cs="Times New Roman"/>
          <w:iCs/>
        </w:rPr>
        <w:t xml:space="preserve">(továbbiakban: NMHH) </w:t>
      </w:r>
      <w:r>
        <w:rPr>
          <w:rFonts w:ascii="Arial" w:eastAsia="Calibri" w:hAnsi="Arial" w:cs="Times New Roman"/>
          <w:iCs/>
        </w:rPr>
        <w:t xml:space="preserve">már 2017-ben és 2019-ben megrendezett nyilvános </w:t>
      </w:r>
      <w:r w:rsidR="002A4C44">
        <w:rPr>
          <w:rFonts w:ascii="Arial" w:eastAsia="Calibri" w:hAnsi="Arial" w:cs="Times New Roman"/>
          <w:iCs/>
        </w:rPr>
        <w:t xml:space="preserve">meghallgatásán </w:t>
      </w:r>
      <w:r>
        <w:rPr>
          <w:rFonts w:ascii="Arial" w:eastAsia="Calibri" w:hAnsi="Arial" w:cs="Times New Roman"/>
          <w:iCs/>
        </w:rPr>
        <w:t xml:space="preserve">is napirendre tűzte </w:t>
      </w:r>
      <w:r w:rsidRPr="00794E2A">
        <w:rPr>
          <w:rFonts w:ascii="Arial" w:eastAsia="Calibri" w:hAnsi="Arial" w:cs="Times New Roman"/>
          <w:iCs/>
        </w:rPr>
        <w:t xml:space="preserve">a </w:t>
      </w:r>
      <w:r>
        <w:rPr>
          <w:rFonts w:ascii="Arial" w:eastAsia="Calibri" w:hAnsi="Arial" w:cs="Times New Roman"/>
          <w:iCs/>
        </w:rPr>
        <w:t xml:space="preserve">26 </w:t>
      </w:r>
      <w:proofErr w:type="spellStart"/>
      <w:r>
        <w:rPr>
          <w:rFonts w:ascii="Arial" w:eastAsia="Calibri" w:hAnsi="Arial" w:cs="Times New Roman"/>
          <w:iCs/>
        </w:rPr>
        <w:t>GHz</w:t>
      </w:r>
      <w:proofErr w:type="spellEnd"/>
      <w:r>
        <w:rPr>
          <w:rFonts w:ascii="Arial" w:eastAsia="Calibri" w:hAnsi="Arial" w:cs="Times New Roman"/>
          <w:iCs/>
        </w:rPr>
        <w:t>-es frekvenciasáv kérdését</w:t>
      </w:r>
      <w:r w:rsidR="002A4C44">
        <w:rPr>
          <w:rFonts w:ascii="Arial" w:eastAsia="Calibri" w:hAnsi="Arial" w:cs="Times New Roman"/>
          <w:iCs/>
        </w:rPr>
        <w:t>.</w:t>
      </w:r>
      <w:r>
        <w:rPr>
          <w:rFonts w:ascii="Arial" w:eastAsia="Calibri" w:hAnsi="Arial" w:cs="Times New Roman"/>
          <w:iCs/>
        </w:rPr>
        <w:t xml:space="preserve"> </w:t>
      </w:r>
      <w:r w:rsidR="002A4C44">
        <w:rPr>
          <w:rFonts w:ascii="Arial" w:eastAsia="Calibri" w:hAnsi="Arial" w:cs="Times New Roman"/>
          <w:iCs/>
        </w:rPr>
        <w:t>Mindkét nyilvános meghallgatás ugyanazzal az eredménnyel zárult. A</w:t>
      </w:r>
      <w:r>
        <w:rPr>
          <w:rFonts w:ascii="Arial" w:eastAsia="Calibri" w:hAnsi="Arial" w:cs="Times New Roman"/>
          <w:iCs/>
        </w:rPr>
        <w:t xml:space="preserve"> </w:t>
      </w:r>
      <w:r w:rsidR="002B52A1">
        <w:t>24,5-26,5 </w:t>
      </w:r>
      <w:proofErr w:type="spellStart"/>
      <w:r w:rsidR="002B52A1" w:rsidRPr="004E52FB">
        <w:t>GHz</w:t>
      </w:r>
      <w:proofErr w:type="spellEnd"/>
      <w:r w:rsidR="002B52A1" w:rsidRPr="004E52FB">
        <w:t xml:space="preserve"> frekvenciasáv</w:t>
      </w:r>
      <w:r w:rsidR="002B52A1">
        <w:t xml:space="preserve">ban felhordó hálózatokat </w:t>
      </w:r>
      <w:r w:rsidR="002B52A1">
        <w:rPr>
          <w:rFonts w:ascii="Arial" w:eastAsia="Calibri" w:hAnsi="Arial" w:cs="Times New Roman"/>
          <w:iCs/>
        </w:rPr>
        <w:t>üzemeltető</w:t>
      </w:r>
      <w:r>
        <w:rPr>
          <w:rFonts w:ascii="Arial" w:eastAsia="Calibri" w:hAnsi="Arial" w:cs="Times New Roman"/>
          <w:iCs/>
        </w:rPr>
        <w:t xml:space="preserve"> szolgáltatók a </w:t>
      </w:r>
      <w:r w:rsidRPr="00794E2A">
        <w:rPr>
          <w:rFonts w:ascii="Arial" w:eastAsia="Calibri" w:hAnsi="Arial" w:cs="Times New Roman"/>
          <w:iCs/>
        </w:rPr>
        <w:t>megl</w:t>
      </w:r>
      <w:r>
        <w:rPr>
          <w:rFonts w:ascii="Arial" w:eastAsia="Calibri" w:hAnsi="Arial" w:cs="Times New Roman"/>
          <w:iCs/>
        </w:rPr>
        <w:t>é</w:t>
      </w:r>
      <w:r w:rsidRPr="00794E2A">
        <w:rPr>
          <w:rFonts w:ascii="Arial" w:eastAsia="Calibri" w:hAnsi="Arial" w:cs="Times New Roman"/>
          <w:iCs/>
        </w:rPr>
        <w:t xml:space="preserve">vő </w:t>
      </w:r>
      <w:r>
        <w:rPr>
          <w:rFonts w:ascii="Arial" w:eastAsia="Calibri" w:hAnsi="Arial" w:cs="Times New Roman"/>
          <w:iCs/>
        </w:rPr>
        <w:t>hálózatok</w:t>
      </w:r>
      <w:r w:rsidRPr="00794E2A">
        <w:rPr>
          <w:rFonts w:ascii="Arial" w:eastAsia="Calibri" w:hAnsi="Arial" w:cs="Times New Roman"/>
          <w:iCs/>
        </w:rPr>
        <w:t xml:space="preserve"> védelme érdekében</w:t>
      </w:r>
      <w:r w:rsidR="002A4C44">
        <w:rPr>
          <w:rFonts w:ascii="Arial" w:eastAsia="Calibri" w:hAnsi="Arial" w:cs="Times New Roman"/>
          <w:iCs/>
        </w:rPr>
        <w:t xml:space="preserve">, tekintettel a saját </w:t>
      </w:r>
      <w:r w:rsidR="00880050">
        <w:rPr>
          <w:rFonts w:ascii="Arial" w:eastAsia="Calibri" w:hAnsi="Arial" w:cs="Times New Roman"/>
          <w:iCs/>
        </w:rPr>
        <w:t>mobil szolgáltatással kapcsolatos terve</w:t>
      </w:r>
      <w:r w:rsidR="00247462">
        <w:rPr>
          <w:rFonts w:ascii="Arial" w:eastAsia="Calibri" w:hAnsi="Arial" w:cs="Times New Roman"/>
          <w:iCs/>
        </w:rPr>
        <w:t>i</w:t>
      </w:r>
      <w:r w:rsidR="00880050">
        <w:rPr>
          <w:rFonts w:ascii="Arial" w:eastAsia="Calibri" w:hAnsi="Arial" w:cs="Times New Roman"/>
          <w:iCs/>
        </w:rPr>
        <w:t>kre, a rendelkezésre álló frekvenciasávok összefüggéseit is vizsgálva,</w:t>
      </w:r>
      <w:r w:rsidRPr="00794E2A">
        <w:rPr>
          <w:rFonts w:ascii="Arial" w:eastAsia="Calibri" w:hAnsi="Arial" w:cs="Times New Roman"/>
          <w:iCs/>
        </w:rPr>
        <w:t xml:space="preserve"> korainak tartották</w:t>
      </w:r>
      <w:r w:rsidRPr="00794E2A" w:rsidDel="006736DE">
        <w:rPr>
          <w:rFonts w:ascii="Arial" w:eastAsia="Calibri" w:hAnsi="Arial" w:cs="Times New Roman"/>
          <w:iCs/>
        </w:rPr>
        <w:t xml:space="preserve"> </w:t>
      </w:r>
      <w:r w:rsidR="00880050">
        <w:rPr>
          <w:rFonts w:ascii="Arial" w:eastAsia="Calibri" w:hAnsi="Arial" w:cs="Times New Roman"/>
          <w:iCs/>
        </w:rPr>
        <w:t>a 26 </w:t>
      </w:r>
      <w:proofErr w:type="spellStart"/>
      <w:r w:rsidR="00880050">
        <w:rPr>
          <w:rFonts w:ascii="Arial" w:eastAsia="Calibri" w:hAnsi="Arial" w:cs="Times New Roman"/>
          <w:iCs/>
        </w:rPr>
        <w:t>GHz</w:t>
      </w:r>
      <w:proofErr w:type="spellEnd"/>
      <w:r w:rsidR="00880050">
        <w:rPr>
          <w:rFonts w:ascii="Arial" w:eastAsia="Calibri" w:hAnsi="Arial" w:cs="Times New Roman"/>
          <w:iCs/>
        </w:rPr>
        <w:t xml:space="preserve">-es frekvenciasávban </w:t>
      </w:r>
      <w:r>
        <w:rPr>
          <w:rFonts w:ascii="Arial" w:eastAsia="Calibri" w:hAnsi="Arial" w:cs="Times New Roman"/>
          <w:iCs/>
        </w:rPr>
        <w:t xml:space="preserve">az 5G bevezetését lehetővé tevő </w:t>
      </w:r>
      <w:r w:rsidR="00880050">
        <w:rPr>
          <w:rFonts w:ascii="Arial" w:eastAsia="Calibri" w:hAnsi="Arial" w:cs="Times New Roman"/>
          <w:iCs/>
        </w:rPr>
        <w:t>versenyeztetési</w:t>
      </w:r>
      <w:r w:rsidR="00880050" w:rsidRPr="00794E2A">
        <w:rPr>
          <w:rFonts w:ascii="Arial" w:eastAsia="Calibri" w:hAnsi="Arial" w:cs="Times New Roman"/>
          <w:iCs/>
        </w:rPr>
        <w:t xml:space="preserve"> </w:t>
      </w:r>
      <w:r w:rsidRPr="00794E2A">
        <w:rPr>
          <w:rFonts w:ascii="Arial" w:eastAsia="Calibri" w:hAnsi="Arial" w:cs="Times New Roman"/>
          <w:iCs/>
        </w:rPr>
        <w:t>eljárás megindítását.</w:t>
      </w:r>
      <w:r>
        <w:rPr>
          <w:rFonts w:ascii="Arial" w:eastAsia="Calibri" w:hAnsi="Arial" w:cs="Times New Roman"/>
          <w:iCs/>
        </w:rPr>
        <w:t xml:space="preserve"> </w:t>
      </w:r>
      <w:r w:rsidR="00A65ECD">
        <w:rPr>
          <w:rFonts w:ascii="Arial" w:eastAsia="Calibri" w:hAnsi="Arial" w:cs="Times New Roman"/>
          <w:iCs/>
        </w:rPr>
        <w:t>A jelenlegi jogosultakon</w:t>
      </w:r>
      <w:r w:rsidR="00A75DAB">
        <w:rPr>
          <w:rFonts w:ascii="Arial" w:eastAsia="Calibri" w:hAnsi="Arial" w:cs="Times New Roman"/>
          <w:iCs/>
        </w:rPr>
        <w:t xml:space="preserve"> kívül semmilyen piaci igény nem jelentkezett a sáv használata iránt.</w:t>
      </w:r>
      <w:r w:rsidR="00F728B3">
        <w:rPr>
          <w:rFonts w:ascii="Arial" w:eastAsia="Calibri" w:hAnsi="Arial" w:cs="Times New Roman"/>
          <w:iCs/>
        </w:rPr>
        <w:t xml:space="preserve"> </w:t>
      </w:r>
      <w:r w:rsidR="008A3453" w:rsidRPr="001C76E1">
        <w:rPr>
          <w:color w:val="000000"/>
          <w:shd w:val="clear" w:color="auto" w:fill="FFFFFF"/>
        </w:rPr>
        <w:t>A nyilvános meghallgatással az NMHH célja a jelenlegi jogosultak terv</w:t>
      </w:r>
      <w:r w:rsidR="00247462">
        <w:rPr>
          <w:color w:val="000000"/>
          <w:shd w:val="clear" w:color="auto" w:fill="FFFFFF"/>
        </w:rPr>
        <w:t>e</w:t>
      </w:r>
      <w:r w:rsidR="008A3453" w:rsidRPr="001C76E1">
        <w:rPr>
          <w:color w:val="000000"/>
          <w:shd w:val="clear" w:color="auto" w:fill="FFFFFF"/>
        </w:rPr>
        <w:t>inek, igényeinek megismerése, a jelenlegi jogosultakon kívüli igények felmérése.</w:t>
      </w:r>
    </w:p>
    <w:p w14:paraId="784E30C4" w14:textId="769FE89F" w:rsidR="008C63E0" w:rsidRDefault="008C63E0" w:rsidP="008C63E0">
      <w:pPr>
        <w:pStyle w:val="Behzottbekezdsnmhh"/>
        <w:rPr>
          <w:color w:val="000000"/>
          <w:shd w:val="clear" w:color="auto" w:fill="FFFFFF"/>
        </w:rPr>
      </w:pPr>
      <w:r w:rsidRPr="00620A8D">
        <w:rPr>
          <w:color w:val="000000"/>
          <w:shd w:val="clear" w:color="auto" w:fill="FFFFFF"/>
        </w:rPr>
        <w:t>A felhordóhálózati összeköttetések működtetésé</w:t>
      </w:r>
      <w:r w:rsidR="00673892">
        <w:rPr>
          <w:color w:val="000000"/>
          <w:shd w:val="clear" w:color="auto" w:fill="FFFFFF"/>
        </w:rPr>
        <w:t>hez szükséges rádióspektrumot biztosítani kell. Amennyiben a 26 </w:t>
      </w:r>
      <w:proofErr w:type="spellStart"/>
      <w:r w:rsidR="00673892">
        <w:rPr>
          <w:color w:val="000000"/>
          <w:shd w:val="clear" w:color="auto" w:fill="FFFFFF"/>
        </w:rPr>
        <w:t>GHz</w:t>
      </w:r>
      <w:proofErr w:type="spellEnd"/>
      <w:r w:rsidR="00673892">
        <w:rPr>
          <w:color w:val="000000"/>
          <w:shd w:val="clear" w:color="auto" w:fill="FFFFFF"/>
        </w:rPr>
        <w:t>-es frekvenciasáv használhatóságára vonatkozó szabályok változnak, az azt követő időszakra más frekvenciasávot kell</w:t>
      </w:r>
      <w:r w:rsidRPr="00620A8D">
        <w:rPr>
          <w:color w:val="000000"/>
          <w:shd w:val="clear" w:color="auto" w:fill="FFFFFF"/>
        </w:rPr>
        <w:t xml:space="preserve"> </w:t>
      </w:r>
      <w:r w:rsidR="00896DD2">
        <w:rPr>
          <w:color w:val="000000"/>
          <w:shd w:val="clear" w:color="auto" w:fill="FFFFFF"/>
        </w:rPr>
        <w:t>elérhetővé tenni</w:t>
      </w:r>
      <w:r w:rsidR="00B312D7">
        <w:rPr>
          <w:color w:val="000000"/>
          <w:shd w:val="clear" w:color="auto" w:fill="FFFFFF"/>
        </w:rPr>
        <w:t xml:space="preserve"> és tekintettel kell lenni a migráció időigényére is</w:t>
      </w:r>
      <w:r w:rsidR="00673892">
        <w:rPr>
          <w:color w:val="000000"/>
          <w:shd w:val="clear" w:color="auto" w:fill="FFFFFF"/>
        </w:rPr>
        <w:t xml:space="preserve">. </w:t>
      </w:r>
      <w:r w:rsidR="00B312D7">
        <w:rPr>
          <w:color w:val="000000"/>
          <w:shd w:val="clear" w:color="auto" w:fill="FFFFFF"/>
        </w:rPr>
        <w:t>A migrációra</w:t>
      </w:r>
      <w:r w:rsidR="00673892">
        <w:rPr>
          <w:color w:val="000000"/>
          <w:shd w:val="clear" w:color="auto" w:fill="FFFFFF"/>
        </w:rPr>
        <w:t xml:space="preserve"> </w:t>
      </w:r>
      <w:r w:rsidRPr="00620A8D">
        <w:rPr>
          <w:color w:val="000000"/>
          <w:shd w:val="clear" w:color="auto" w:fill="FFFFFF"/>
        </w:rPr>
        <w:t>a 31,8-33,4 </w:t>
      </w:r>
      <w:proofErr w:type="spellStart"/>
      <w:r w:rsidRPr="00620A8D">
        <w:rPr>
          <w:color w:val="000000"/>
          <w:shd w:val="clear" w:color="auto" w:fill="FFFFFF"/>
        </w:rPr>
        <w:t>GHz</w:t>
      </w:r>
      <w:proofErr w:type="spellEnd"/>
      <w:r w:rsidRPr="00620A8D">
        <w:rPr>
          <w:color w:val="000000"/>
          <w:shd w:val="clear" w:color="auto" w:fill="FFFFFF"/>
        </w:rPr>
        <w:t xml:space="preserve"> frekvenciasáv </w:t>
      </w:r>
      <w:r w:rsidR="00886386" w:rsidRPr="00620A8D">
        <w:rPr>
          <w:color w:val="000000"/>
          <w:shd w:val="clear" w:color="auto" w:fill="FFFFFF"/>
        </w:rPr>
        <w:t>(</w:t>
      </w:r>
      <w:r w:rsidR="00886386">
        <w:rPr>
          <w:color w:val="000000"/>
          <w:shd w:val="clear" w:color="auto" w:fill="FFFFFF"/>
        </w:rPr>
        <w:t xml:space="preserve">a továbbiakban: </w:t>
      </w:r>
      <w:r w:rsidR="00886386" w:rsidRPr="00620A8D">
        <w:rPr>
          <w:color w:val="000000"/>
          <w:shd w:val="clear" w:color="auto" w:fill="FFFFFF"/>
        </w:rPr>
        <w:t>32</w:t>
      </w:r>
      <w:r w:rsidR="00886386">
        <w:rPr>
          <w:color w:val="000000"/>
          <w:shd w:val="clear" w:color="auto" w:fill="FFFFFF"/>
        </w:rPr>
        <w:t> </w:t>
      </w:r>
      <w:proofErr w:type="spellStart"/>
      <w:r w:rsidR="00886386" w:rsidRPr="00620A8D">
        <w:rPr>
          <w:color w:val="000000"/>
          <w:shd w:val="clear" w:color="auto" w:fill="FFFFFF"/>
        </w:rPr>
        <w:t>GHz</w:t>
      </w:r>
      <w:proofErr w:type="spellEnd"/>
      <w:r w:rsidR="00886386" w:rsidRPr="00620A8D">
        <w:rPr>
          <w:color w:val="000000"/>
          <w:shd w:val="clear" w:color="auto" w:fill="FFFFFF"/>
        </w:rPr>
        <w:t>-es</w:t>
      </w:r>
      <w:r w:rsidR="00247462">
        <w:rPr>
          <w:color w:val="000000"/>
          <w:shd w:val="clear" w:color="auto" w:fill="FFFFFF"/>
        </w:rPr>
        <w:t xml:space="preserve"> frek</w:t>
      </w:r>
      <w:r w:rsidR="00886386">
        <w:rPr>
          <w:color w:val="000000"/>
          <w:shd w:val="clear" w:color="auto" w:fill="FFFFFF"/>
        </w:rPr>
        <w:t>venciasáv</w:t>
      </w:r>
      <w:r w:rsidR="00886386" w:rsidRPr="00620A8D">
        <w:rPr>
          <w:color w:val="000000"/>
          <w:shd w:val="clear" w:color="auto" w:fill="FFFFFF"/>
        </w:rPr>
        <w:t xml:space="preserve">) </w:t>
      </w:r>
      <w:r w:rsidR="009A59CD">
        <w:rPr>
          <w:color w:val="000000"/>
          <w:shd w:val="clear" w:color="auto" w:fill="FFFFFF"/>
        </w:rPr>
        <w:t>nyújthat</w:t>
      </w:r>
      <w:r w:rsidR="009A59CD" w:rsidRPr="00620A8D">
        <w:rPr>
          <w:color w:val="000000"/>
          <w:shd w:val="clear" w:color="auto" w:fill="FFFFFF"/>
        </w:rPr>
        <w:t xml:space="preserve"> megoldás</w:t>
      </w:r>
      <w:r w:rsidR="009A59CD">
        <w:rPr>
          <w:color w:val="000000"/>
          <w:shd w:val="clear" w:color="auto" w:fill="FFFFFF"/>
        </w:rPr>
        <w:t>t</w:t>
      </w:r>
      <w:r w:rsidR="00673892">
        <w:rPr>
          <w:color w:val="000000"/>
          <w:shd w:val="clear" w:color="auto" w:fill="FFFFFF"/>
        </w:rPr>
        <w:t>,</w:t>
      </w:r>
      <w:r w:rsidR="009A59CD" w:rsidRPr="00620A8D">
        <w:rPr>
          <w:color w:val="000000"/>
          <w:shd w:val="clear" w:color="auto" w:fill="FFFFFF"/>
        </w:rPr>
        <w:t xml:space="preserve"> </w:t>
      </w:r>
      <w:r w:rsidRPr="00620A8D">
        <w:rPr>
          <w:color w:val="000000"/>
          <w:shd w:val="clear" w:color="auto" w:fill="FFFFFF"/>
        </w:rPr>
        <w:t>mind a rendelkezésre álló spektrummennyiség, mind a sávjellemzők tekintetében.</w:t>
      </w:r>
    </w:p>
    <w:p w14:paraId="47F92934" w14:textId="77777777" w:rsidR="008C63E0" w:rsidRDefault="008C63E0" w:rsidP="008C63E0">
      <w:pPr>
        <w:pStyle w:val="Cmsor1szmozottnmhh"/>
        <w:ind w:left="431" w:hanging="431"/>
      </w:pPr>
      <w:bookmarkStart w:id="8" w:name="_Toc26254663"/>
      <w:bookmarkStart w:id="9" w:name="_Toc92461616"/>
      <w:bookmarkStart w:id="10" w:name="_Toc96075599"/>
      <w:bookmarkEnd w:id="3"/>
      <w:bookmarkEnd w:id="4"/>
      <w:bookmarkEnd w:id="5"/>
      <w:bookmarkEnd w:id="6"/>
      <w:r w:rsidRPr="002C53F8">
        <w:lastRenderedPageBreak/>
        <w:t>Bevezetés</w:t>
      </w:r>
      <w:bookmarkEnd w:id="8"/>
      <w:bookmarkEnd w:id="9"/>
      <w:bookmarkEnd w:id="10"/>
    </w:p>
    <w:p w14:paraId="3CAE7D24" w14:textId="77777777" w:rsidR="008C63E0" w:rsidRPr="00426D01" w:rsidRDefault="008C63E0" w:rsidP="008C63E0">
      <w:pPr>
        <w:pStyle w:val="Behzottbekezdsnmhh"/>
        <w:tabs>
          <w:tab w:val="left" w:pos="977"/>
        </w:tabs>
      </w:pPr>
      <w:r w:rsidRPr="00426D01">
        <w:t>A nemzeti frekvenciafelosztásról, valamint a frekvenciasávok felhasználási szabályairól szóló 7/2015. (XI. 13.) NMHH rendelete</w:t>
      </w:r>
      <w:r>
        <w:t xml:space="preserve"> (továbbiakban: NFFF) alapján a 24,5-26,5 </w:t>
      </w:r>
      <w:proofErr w:type="spellStart"/>
      <w:r w:rsidRPr="00426D01">
        <w:t>GHz</w:t>
      </w:r>
      <w:proofErr w:type="spellEnd"/>
      <w:r w:rsidRPr="00426D01">
        <w:t xml:space="preserve"> frekvenciasávban jelenleg állandóhelyű pont-pont és p</w:t>
      </w:r>
      <w:r>
        <w:t>ont-többpont rendszerek működhetnek</w:t>
      </w:r>
      <w:r w:rsidRPr="00426D01">
        <w:t xml:space="preserve">. A szolgáltatók főként felhordóhálózati </w:t>
      </w:r>
      <w:r>
        <w:t xml:space="preserve">(jellemzően pont-pont) </w:t>
      </w:r>
      <w:r w:rsidRPr="00426D01">
        <w:t xml:space="preserve">összeköttetéseket valósítanak meg a frekvenciasávban. </w:t>
      </w:r>
    </w:p>
    <w:p w14:paraId="0D03B256" w14:textId="125525FE" w:rsidR="008C63E0" w:rsidRDefault="008C63E0" w:rsidP="008C63E0">
      <w:pPr>
        <w:pStyle w:val="Behzottbekezdsnmhh"/>
        <w:tabs>
          <w:tab w:val="left" w:pos="977"/>
        </w:tabs>
      </w:pPr>
      <w:r>
        <w:t xml:space="preserve">A jogosultak a </w:t>
      </w:r>
      <w:r w:rsidR="005E5163">
        <w:t>rádióspektrum-</w:t>
      </w:r>
      <w:r>
        <w:t>használati jogosultságokat két – 2008/2009</w:t>
      </w:r>
      <w:r>
        <w:rPr>
          <w:rStyle w:val="Lbjegyzet-hivatkozs"/>
        </w:rPr>
        <w:footnoteReference w:id="4"/>
      </w:r>
      <w:r>
        <w:t xml:space="preserve"> és 2011/2012</w:t>
      </w:r>
      <w:r>
        <w:rPr>
          <w:rStyle w:val="Lbjegyzet-hivatkozs"/>
        </w:rPr>
        <w:footnoteReference w:id="5"/>
      </w:r>
      <w:r>
        <w:t xml:space="preserve"> években lefolytatott – versenyeztetési eljárás során szerezték meg. Ebből következően a </w:t>
      </w:r>
      <w:r w:rsidR="00973133">
        <w:t>jogosultságok</w:t>
      </w:r>
      <w:r>
        <w:t xml:space="preserve"> lejárati időpontjai eltérnek. A korábbi lejárati időpont 2024</w:t>
      </w:r>
      <w:r w:rsidRPr="007D7044">
        <w:t>.</w:t>
      </w:r>
      <w:r w:rsidR="00EF25CE">
        <w:t xml:space="preserve"> május </w:t>
      </w:r>
      <w:r w:rsidRPr="007D7044">
        <w:t>15</w:t>
      </w:r>
      <w:proofErr w:type="gramStart"/>
      <w:r w:rsidR="00EF25CE">
        <w:t>.</w:t>
      </w:r>
      <w:r w:rsidRPr="007D7044">
        <w:t>,</w:t>
      </w:r>
      <w:proofErr w:type="gramEnd"/>
      <w:r>
        <w:t xml:space="preserve"> a</w:t>
      </w:r>
      <w:r w:rsidRPr="007D7044">
        <w:t xml:space="preserve"> későbbi 2027.</w:t>
      </w:r>
      <w:r w:rsidR="00EF25CE">
        <w:t xml:space="preserve"> április </w:t>
      </w:r>
      <w:r w:rsidRPr="007D7044">
        <w:t>20</w:t>
      </w:r>
      <w:r>
        <w:t>.</w:t>
      </w:r>
    </w:p>
    <w:p w14:paraId="61DD4211" w14:textId="321B68E0" w:rsidR="008C63E0" w:rsidRDefault="008C63E0" w:rsidP="008C63E0">
      <w:pPr>
        <w:pStyle w:val="Behzottbekezdsnmhh"/>
        <w:tabs>
          <w:tab w:val="left" w:pos="977"/>
        </w:tabs>
      </w:pPr>
      <w:r>
        <w:t xml:space="preserve">A 2019. </w:t>
      </w:r>
      <w:r w:rsidR="004308EB">
        <w:t>évi Rádiótávközlési Világértekezlet</w:t>
      </w:r>
      <w:r>
        <w:t xml:space="preserve"> </w:t>
      </w:r>
      <w:r w:rsidR="004308EB">
        <w:t>(</w:t>
      </w:r>
      <w:r>
        <w:t>WRC-19</w:t>
      </w:r>
      <w:r w:rsidR="004308EB">
        <w:t>)</w:t>
      </w:r>
      <w:r>
        <w:t xml:space="preserve"> döntéseinek eredményeként a 26 </w:t>
      </w:r>
      <w:proofErr w:type="spellStart"/>
      <w:r>
        <w:t>GHz</w:t>
      </w:r>
      <w:proofErr w:type="spellEnd"/>
      <w:r>
        <w:t xml:space="preserve">-es </w:t>
      </w:r>
      <w:r w:rsidR="000539FF" w:rsidRPr="00426D01">
        <w:t>frekvencia</w:t>
      </w:r>
      <w:r>
        <w:t xml:space="preserve">sávot globális szinten azonosították IMT használatra és az IMT-re tervezett teljes </w:t>
      </w:r>
      <w:r w:rsidR="0010133C">
        <w:t xml:space="preserve">26 </w:t>
      </w:r>
      <w:proofErr w:type="spellStart"/>
      <w:r w:rsidR="0010133C">
        <w:t>GHz</w:t>
      </w:r>
      <w:proofErr w:type="spellEnd"/>
      <w:r w:rsidR="0010133C">
        <w:t>-es frekvenciasávot (</w:t>
      </w:r>
      <w:r>
        <w:t xml:space="preserve">24,25-27,5 </w:t>
      </w:r>
      <w:proofErr w:type="spellStart"/>
      <w:r>
        <w:t>GHz</w:t>
      </w:r>
      <w:proofErr w:type="spellEnd"/>
      <w:r>
        <w:t xml:space="preserve"> </w:t>
      </w:r>
      <w:r w:rsidR="000539FF" w:rsidRPr="00426D01">
        <w:t>frekvencia</w:t>
      </w:r>
      <w:r>
        <w:t>sáv</w:t>
      </w:r>
      <w:r w:rsidR="0010133C">
        <w:t>)</w:t>
      </w:r>
      <w:r>
        <w:t xml:space="preserve"> felosztották a mozgószolgálat számára, így nemzetközi szinten lehetővé vált a szélessávú mozgószolgálati alkalmazások, köztük az 5G NR, bevezetése a </w:t>
      </w:r>
      <w:r w:rsidR="000539FF" w:rsidRPr="00426D01">
        <w:t>frekvencia</w:t>
      </w:r>
      <w:r>
        <w:t xml:space="preserve">sávban. </w:t>
      </w:r>
    </w:p>
    <w:p w14:paraId="003C6231" w14:textId="41816B18" w:rsidR="008C63E0" w:rsidRDefault="008C63E0" w:rsidP="008C63E0">
      <w:pPr>
        <w:pStyle w:val="Behzottbekezdsnmhh"/>
        <w:tabs>
          <w:tab w:val="left" w:pos="977"/>
        </w:tabs>
        <w:rPr>
          <w:sz w:val="22"/>
          <w:szCs w:val="22"/>
        </w:rPr>
      </w:pPr>
      <w:r>
        <w:t>A</w:t>
      </w:r>
      <w:r w:rsidRPr="00644B8E">
        <w:t>z RSPG</w:t>
      </w:r>
      <w:r>
        <w:rPr>
          <w:rStyle w:val="Lbjegyzet-hivatkozs"/>
        </w:rPr>
        <w:footnoteReference w:id="6"/>
      </w:r>
      <w:r w:rsidRPr="00644B8E">
        <w:t xml:space="preserve"> 5G spektrum kérdései tárgykörben kiadott </w:t>
      </w:r>
      <w:r w:rsidRPr="00C81B53">
        <w:t>szakvéleményére</w:t>
      </w:r>
      <w:r>
        <w:rPr>
          <w:rStyle w:val="Lbjegyzet-hivatkozs"/>
        </w:rPr>
        <w:footnoteReference w:id="7"/>
      </w:r>
      <w:r w:rsidRPr="00C81B53">
        <w:t xml:space="preserve"> alapozva </w:t>
      </w:r>
      <w:r>
        <w:t>2016. december 7-én született az az EU mandátum</w:t>
      </w:r>
      <w:r>
        <w:rPr>
          <w:rStyle w:val="Lbjegyzet-hivatkozs"/>
        </w:rPr>
        <w:footnoteReference w:id="8"/>
      </w:r>
      <w:r>
        <w:t>, amelyben felkérték a CEPT</w:t>
      </w:r>
      <w:r>
        <w:rPr>
          <w:rStyle w:val="Lbjegyzet-hivatkozs"/>
        </w:rPr>
        <w:footnoteReference w:id="9"/>
      </w:r>
      <w:r>
        <w:t xml:space="preserve">-et, hogy tanulmányozza a dokumentumban megadott sávokra vonatkozóan az 5G bevezethetőséget, figyelembe véve a meglévő felhasználásokat. A mandátum a 700 MHz-es és 3400-3800 MHz </w:t>
      </w:r>
      <w:r w:rsidR="000539FF" w:rsidRPr="00426D01">
        <w:t>frekvencia</w:t>
      </w:r>
      <w:r>
        <w:t>sávok mellett a 24,25-27,5 </w:t>
      </w:r>
      <w:proofErr w:type="spellStart"/>
      <w:r>
        <w:t>GHz</w:t>
      </w:r>
      <w:proofErr w:type="spellEnd"/>
      <w:r>
        <w:t>, azaz a 26 </w:t>
      </w:r>
      <w:proofErr w:type="spellStart"/>
      <w:r>
        <w:t>GHz</w:t>
      </w:r>
      <w:proofErr w:type="spellEnd"/>
      <w:r>
        <w:t xml:space="preserve">-es </w:t>
      </w:r>
      <w:r w:rsidR="000539FF" w:rsidRPr="00426D01">
        <w:t>frekvencia</w:t>
      </w:r>
      <w:r>
        <w:t xml:space="preserve">sávot jelölte meg, mint az 5G korai bevezetésére jelölt </w:t>
      </w:r>
      <w:r w:rsidR="000539FF" w:rsidRPr="00426D01">
        <w:t>frekvencia</w:t>
      </w:r>
      <w:r>
        <w:t>sávot (5G úttörő sáv) az RSPG szakvéleménnyel összhangban.</w:t>
      </w:r>
      <w:r w:rsidR="003A1122" w:rsidRPr="003A1122">
        <w:t xml:space="preserve"> Az MFCN-re felosztott 26 </w:t>
      </w:r>
      <w:proofErr w:type="spellStart"/>
      <w:r w:rsidR="003A1122" w:rsidRPr="003A1122">
        <w:t>GHz</w:t>
      </w:r>
      <w:proofErr w:type="spellEnd"/>
      <w:r w:rsidR="003A1122" w:rsidRPr="003A1122">
        <w:t xml:space="preserve">-es frekvenciasáv magában foglalja a jelenleg állandóhelyű hálózatokra használt frekvenciatartomány (24,5-26,5 </w:t>
      </w:r>
      <w:proofErr w:type="spellStart"/>
      <w:r w:rsidR="003A1122" w:rsidRPr="003A1122">
        <w:t>GHz</w:t>
      </w:r>
      <w:proofErr w:type="spellEnd"/>
      <w:r w:rsidR="003A1122" w:rsidRPr="003A1122">
        <w:t xml:space="preserve">) mellett a jelenleg nem polgári </w:t>
      </w:r>
      <w:r w:rsidR="00247462">
        <w:t>célra kijelölt</w:t>
      </w:r>
      <w:r w:rsidR="003A1122" w:rsidRPr="003A1122">
        <w:t xml:space="preserve"> 26,5-27,5 </w:t>
      </w:r>
      <w:proofErr w:type="spellStart"/>
      <w:r w:rsidR="003A1122" w:rsidRPr="003A1122">
        <w:t>GHz</w:t>
      </w:r>
      <w:proofErr w:type="spellEnd"/>
      <w:r w:rsidR="003A1122" w:rsidRPr="003A1122">
        <w:t xml:space="preserve"> frekvenciatartományt, valamint a 24,25-24,5 </w:t>
      </w:r>
      <w:proofErr w:type="spellStart"/>
      <w:r w:rsidR="003A1122" w:rsidRPr="003A1122">
        <w:t>GHz</w:t>
      </w:r>
      <w:proofErr w:type="spellEnd"/>
      <w:r w:rsidR="003A1122" w:rsidRPr="003A1122">
        <w:t xml:space="preserve"> frekvenciatartományt is. </w:t>
      </w:r>
    </w:p>
    <w:p w14:paraId="278FA760" w14:textId="6C870430" w:rsidR="008C63E0" w:rsidRDefault="008C63E0" w:rsidP="008C63E0">
      <w:pPr>
        <w:pStyle w:val="Behzottbekezdsnmhh"/>
        <w:tabs>
          <w:tab w:val="left" w:pos="977"/>
        </w:tabs>
      </w:pPr>
      <w:r w:rsidRPr="000A4C5A">
        <w:t>A</w:t>
      </w:r>
      <w:r w:rsidR="00A733CE">
        <w:t>z</w:t>
      </w:r>
      <w:r w:rsidRPr="000A4C5A">
        <w:t xml:space="preserve"> </w:t>
      </w:r>
      <w:r w:rsidR="007C45D4">
        <w:t xml:space="preserve">Európai Elektronikus Hírközlési </w:t>
      </w:r>
      <w:r w:rsidRPr="000A4C5A">
        <w:t>Kódex</w:t>
      </w:r>
      <w:r w:rsidRPr="000A4C5A">
        <w:rPr>
          <w:vertAlign w:val="superscript"/>
        </w:rPr>
        <w:footnoteReference w:id="10"/>
      </w:r>
      <w:r w:rsidRPr="000A4C5A">
        <w:t xml:space="preserve"> </w:t>
      </w:r>
      <w:r w:rsidR="007C45D4">
        <w:t>(</w:t>
      </w:r>
      <w:r w:rsidR="005A0C65">
        <w:t xml:space="preserve">a </w:t>
      </w:r>
      <w:r w:rsidR="007C45D4">
        <w:t>továbbiakban: Kódex) 2018</w:t>
      </w:r>
      <w:r w:rsidRPr="000A4C5A">
        <w:t xml:space="preserve"> decemberében további</w:t>
      </w:r>
      <w:r w:rsidR="00A733CE">
        <w:t>, az</w:t>
      </w:r>
      <w:r w:rsidRPr="000A4C5A">
        <w:t xml:space="preserve"> 5G </w:t>
      </w:r>
      <w:r w:rsidR="00A733CE">
        <w:t xml:space="preserve">elterjedésének </w:t>
      </w:r>
      <w:r w:rsidRPr="000A4C5A">
        <w:t xml:space="preserve">előmozdítását szolgáló intézkedéseket rögzített. A Kódex 54. cikke alapján a tagállamoknak 2020. december 31-ig kell </w:t>
      </w:r>
      <w:r w:rsidR="0010133C">
        <w:t xml:space="preserve">megtenni a szükséges lépéseket annak érdekében, hogy lehetővé tegyék </w:t>
      </w:r>
      <w:r w:rsidRPr="000A4C5A">
        <w:t xml:space="preserve">a 26 </w:t>
      </w:r>
      <w:proofErr w:type="spellStart"/>
      <w:r w:rsidRPr="000A4C5A">
        <w:t>GHz</w:t>
      </w:r>
      <w:proofErr w:type="spellEnd"/>
      <w:r w:rsidRPr="000A4C5A">
        <w:t xml:space="preserve">-es </w:t>
      </w:r>
      <w:r w:rsidR="000539FF" w:rsidRPr="00426D01">
        <w:t>frekvencia</w:t>
      </w:r>
      <w:r w:rsidRPr="000A4C5A">
        <w:t>sáv</w:t>
      </w:r>
      <w:r w:rsidR="0010133C">
        <w:t>ból</w:t>
      </w:r>
      <w:r w:rsidRPr="000A4C5A">
        <w:t xml:space="preserve"> </w:t>
      </w:r>
      <w:r w:rsidR="0010133C" w:rsidRPr="0010133C">
        <w:t xml:space="preserve">legalább 1 </w:t>
      </w:r>
      <w:proofErr w:type="spellStart"/>
      <w:r w:rsidR="0010133C" w:rsidRPr="0010133C">
        <w:t>GHz</w:t>
      </w:r>
      <w:proofErr w:type="spellEnd"/>
      <w:r w:rsidR="0010133C" w:rsidRPr="0010133C">
        <w:t xml:space="preserve"> használatát </w:t>
      </w:r>
      <w:r w:rsidR="0010133C" w:rsidRPr="000A4C5A">
        <w:t>szélessávú vezetéknélküli adatátvitelre képes elektronikus hírközlési hálózatok számára</w:t>
      </w:r>
      <w:r w:rsidR="00247462">
        <w:t xml:space="preserve">, </w:t>
      </w:r>
      <w:r w:rsidRPr="000A4C5A">
        <w:t xml:space="preserve">amennyiben egyértelműen igazolható, hogy van piaci kereslet, valamint a meglévő </w:t>
      </w:r>
      <w:r w:rsidR="005E5163">
        <w:t>rádióspektrum-</w:t>
      </w:r>
      <w:r w:rsidRPr="000A4C5A">
        <w:t xml:space="preserve">használati jogosultsággal rendelkezők migrációjának, illetve a </w:t>
      </w:r>
      <w:r w:rsidR="000539FF" w:rsidRPr="00426D01">
        <w:t>frekvencia</w:t>
      </w:r>
      <w:r w:rsidRPr="000A4C5A">
        <w:t>sáv felszabadításának nincs jelentős akadálya.</w:t>
      </w:r>
    </w:p>
    <w:p w14:paraId="4D14E2D8" w14:textId="6F93CEA5" w:rsidR="008C63E0" w:rsidRDefault="008C63E0" w:rsidP="008C63E0">
      <w:pPr>
        <w:pStyle w:val="Behzottbekezdsnmhh"/>
        <w:tabs>
          <w:tab w:val="left" w:pos="977"/>
        </w:tabs>
      </w:pPr>
      <w:proofErr w:type="gramStart"/>
      <w:r w:rsidRPr="000A4C5A">
        <w:lastRenderedPageBreak/>
        <w:t>A 26 </w:t>
      </w:r>
      <w:proofErr w:type="spellStart"/>
      <w:r w:rsidRPr="000A4C5A">
        <w:t>GHz</w:t>
      </w:r>
      <w:proofErr w:type="spellEnd"/>
      <w:r w:rsidRPr="000A4C5A">
        <w:t xml:space="preserve">-es </w:t>
      </w:r>
      <w:r w:rsidR="000539FF" w:rsidRPr="00426D01">
        <w:t>frekvencia</w:t>
      </w:r>
      <w:r w:rsidRPr="000A4C5A">
        <w:t>sáv jövőbel</w:t>
      </w:r>
      <w:r w:rsidR="00202CF5">
        <w:t>i használatára vonatkozóan 2019</w:t>
      </w:r>
      <w:r w:rsidRPr="000A4C5A">
        <w:t xml:space="preserve"> júniusában a Bizottság elfogadta a</w:t>
      </w:r>
      <w:r>
        <w:t>z</w:t>
      </w:r>
      <w:r w:rsidRPr="000A4C5A">
        <w:t xml:space="preserve"> </w:t>
      </w:r>
      <w:r>
        <w:t>(</w:t>
      </w:r>
      <w:r w:rsidRPr="000A4C5A">
        <w:t>EU</w:t>
      </w:r>
      <w:r>
        <w:t>)</w:t>
      </w:r>
      <w:r w:rsidRPr="000A4C5A">
        <w:t xml:space="preserve"> </w:t>
      </w:r>
      <w:r>
        <w:t>2019/784</w:t>
      </w:r>
      <w:r w:rsidRPr="000A4C5A">
        <w:t xml:space="preserve"> végrehajtási határozatot</w:t>
      </w:r>
      <w:r>
        <w:rPr>
          <w:rStyle w:val="Lbjegyzet-hivatkozs"/>
        </w:rPr>
        <w:footnoteReference w:id="11"/>
      </w:r>
      <w:r>
        <w:t xml:space="preserve"> (a továbbiakban: (EU)</w:t>
      </w:r>
      <w:r w:rsidR="0018720A">
        <w:t xml:space="preserve"> </w:t>
      </w:r>
      <w:r>
        <w:t>2019/784</w:t>
      </w:r>
      <w:r w:rsidRPr="000A4C5A">
        <w:t xml:space="preserve"> határozat</w:t>
      </w:r>
      <w:r>
        <w:t>)</w:t>
      </w:r>
      <w:r w:rsidRPr="000A4C5A">
        <w:t xml:space="preserve">, </w:t>
      </w:r>
      <w:r w:rsidR="00A56D0C">
        <w:t>ennek</w:t>
      </w:r>
      <w:r w:rsidRPr="000A4C5A">
        <w:t xml:space="preserve"> értelmében a 24,25–27,5 </w:t>
      </w:r>
      <w:proofErr w:type="spellStart"/>
      <w:r w:rsidRPr="000A4C5A">
        <w:t>GHz</w:t>
      </w:r>
      <w:proofErr w:type="spellEnd"/>
      <w:r w:rsidRPr="000A4C5A">
        <w:t xml:space="preserve"> frekvenciasávot 2020. március 30-ig a vezeték nélküli széles sávú elektronikus hírközlési szolgáltatások nyújtására alkalmas földfelszíni rendszerek (</w:t>
      </w:r>
      <w:r w:rsidRPr="00794E2A">
        <w:t>MFCN</w:t>
      </w:r>
      <w:r w:rsidRPr="000A4C5A">
        <w:t xml:space="preserve">) számára – nem kizárólagos jelleggel – </w:t>
      </w:r>
      <w:r>
        <w:t xml:space="preserve">a tagállamoknak </w:t>
      </w:r>
      <w:r w:rsidRPr="000A4C5A">
        <w:t>ki kell jelölni és rendelkezésre kell bocsátani.</w:t>
      </w:r>
      <w:proofErr w:type="gramEnd"/>
      <w:r w:rsidRPr="000A4C5A">
        <w:t xml:space="preserve"> A </w:t>
      </w:r>
      <w:r>
        <w:t>Bizottság határozata</w:t>
      </w:r>
      <w:r w:rsidRPr="000A4C5A">
        <w:t xml:space="preserve"> </w:t>
      </w:r>
      <w:r w:rsidR="00A733CE">
        <w:t>tartalmazza az</w:t>
      </w:r>
      <w:r w:rsidRPr="000A4C5A">
        <w:t xml:space="preserve"> 5G használatra vonatkozó harmonizált műszaki feltételeket, valamint a </w:t>
      </w:r>
      <w:r w:rsidR="000539FF" w:rsidRPr="00426D01">
        <w:t>frekvencia</w:t>
      </w:r>
      <w:r w:rsidRPr="000A4C5A">
        <w:t>sávban jelenleg működő alkalmazásokkal való összeférhetőségre vonatkozó rendelkezéseket.</w:t>
      </w:r>
    </w:p>
    <w:p w14:paraId="354F5FF2" w14:textId="1E22C144" w:rsidR="008C63E0" w:rsidRDefault="008C63E0" w:rsidP="008C63E0">
      <w:pPr>
        <w:pStyle w:val="Behzottbekezdsnmhh"/>
        <w:tabs>
          <w:tab w:val="left" w:pos="977"/>
        </w:tabs>
      </w:pPr>
      <w:r>
        <w:t>Az (EU)</w:t>
      </w:r>
      <w:r w:rsidR="0018720A">
        <w:t xml:space="preserve"> </w:t>
      </w:r>
      <w:r w:rsidRPr="00296210">
        <w:t>2019/784 határozat</w:t>
      </w:r>
      <w:r w:rsidRPr="00296210" w:rsidDel="00296210">
        <w:t xml:space="preserve"> </w:t>
      </w:r>
      <w:r>
        <w:t>a 26 </w:t>
      </w:r>
      <w:proofErr w:type="spellStart"/>
      <w:r>
        <w:t>GHz</w:t>
      </w:r>
      <w:proofErr w:type="spellEnd"/>
      <w:r>
        <w:t xml:space="preserve">-es </w:t>
      </w:r>
      <w:r w:rsidR="000539FF" w:rsidRPr="00426D01">
        <w:t>frekvencia</w:t>
      </w:r>
      <w:r w:rsidR="00A8047A">
        <w:t>sávra vonatkozóan</w:t>
      </w:r>
      <w:r>
        <w:t xml:space="preserve"> új csatorna elrendezést és sávhasználati feltételeket (pl. </w:t>
      </w:r>
      <w:r w:rsidRPr="00A56D0C">
        <w:t>BEM</w:t>
      </w:r>
      <w:r w:rsidR="00A8047A" w:rsidRPr="00B312BB">
        <w:rPr>
          <w:rStyle w:val="Lbjegyzet-hivatkozs"/>
        </w:rPr>
        <w:footnoteReference w:id="12"/>
      </w:r>
      <w:r w:rsidRPr="00A56D0C">
        <w:t>)</w:t>
      </w:r>
      <w:r>
        <w:t xml:space="preserve"> tartalmaz a szélessávú MFCN alkalmazások használatának (beleértve az 5G-t) esetére</w:t>
      </w:r>
      <w:r w:rsidR="0010133C">
        <w:t>, melynek módosítása a</w:t>
      </w:r>
      <w:r>
        <w:t xml:space="preserve"> Bizottság 2020-ban kiad</w:t>
      </w:r>
      <w:r w:rsidR="0010133C">
        <w:t>o</w:t>
      </w:r>
      <w:r>
        <w:t>t</w:t>
      </w:r>
      <w:r w:rsidR="0010133C">
        <w:t>t</w:t>
      </w:r>
      <w:r>
        <w:t xml:space="preserve"> (EU)</w:t>
      </w:r>
      <w:r w:rsidR="0018720A">
        <w:t xml:space="preserve"> </w:t>
      </w:r>
      <w:r>
        <w:t>2020/590 végrehajtási határozat</w:t>
      </w:r>
      <w:r w:rsidR="0010133C">
        <w:t>ával</w:t>
      </w:r>
      <w:r>
        <w:rPr>
          <w:rStyle w:val="Lbjegyzet-hivatkozs"/>
        </w:rPr>
        <w:footnoteReference w:id="13"/>
      </w:r>
      <w:r>
        <w:t xml:space="preserve"> (a továbbiakban: (EU)</w:t>
      </w:r>
      <w:r w:rsidR="0018720A">
        <w:t xml:space="preserve"> </w:t>
      </w:r>
      <w:r>
        <w:t>2020/590</w:t>
      </w:r>
      <w:r w:rsidRPr="000A4C5A">
        <w:t xml:space="preserve"> határozat</w:t>
      </w:r>
      <w:r>
        <w:t>)</w:t>
      </w:r>
      <w:r w:rsidR="00867426">
        <w:t xml:space="preserve"> </w:t>
      </w:r>
      <w:r w:rsidR="0010133C">
        <w:t>történt meg.</w:t>
      </w:r>
      <w:r>
        <w:t xml:space="preserve"> </w:t>
      </w:r>
      <w:r w:rsidR="0010133C">
        <w:t>A</w:t>
      </w:r>
      <w:r w:rsidR="00A911D5">
        <w:t>z</w:t>
      </w:r>
      <w:r w:rsidR="0010133C">
        <w:t xml:space="preserve"> </w:t>
      </w:r>
      <w:r w:rsidR="00AE0D67">
        <w:t>(EU)</w:t>
      </w:r>
      <w:r w:rsidR="0018720A">
        <w:t xml:space="preserve"> </w:t>
      </w:r>
      <w:r w:rsidR="00AE0D67">
        <w:t>2020/590</w:t>
      </w:r>
      <w:r w:rsidR="00AE0D67" w:rsidRPr="000A4C5A">
        <w:t xml:space="preserve"> határozat</w:t>
      </w:r>
      <w:r>
        <w:t xml:space="preserve"> </w:t>
      </w:r>
      <w:r w:rsidR="00A911D5" w:rsidRPr="000A4C5A">
        <w:t>–</w:t>
      </w:r>
      <w:r w:rsidR="00867426">
        <w:t xml:space="preserve"> </w:t>
      </w:r>
      <w:r>
        <w:t>a</w:t>
      </w:r>
      <w:r w:rsidR="00A733CE">
        <w:t xml:space="preserve"> WR</w:t>
      </w:r>
      <w:r w:rsidR="009F3A19">
        <w:t>C</w:t>
      </w:r>
      <w:r w:rsidR="00A733CE">
        <w:t xml:space="preserve">-19-en hozott döntéseknek megfelelően </w:t>
      </w:r>
      <w:r w:rsidR="00A911D5" w:rsidRPr="000A4C5A">
        <w:t>–</w:t>
      </w:r>
      <w:r w:rsidR="00867426">
        <w:t xml:space="preserve"> </w:t>
      </w:r>
      <w:r w:rsidR="00A733CE">
        <w:t>a</w:t>
      </w:r>
      <w:r>
        <w:t xml:space="preserve"> sávon kívüli sugárzás</w:t>
      </w:r>
      <w:r w:rsidR="00A96819">
        <w:t>ok</w:t>
      </w:r>
      <w:r>
        <w:t xml:space="preserve">ra vonatkozó előírással egészítette ki a </w:t>
      </w:r>
      <w:r w:rsidR="00867426">
        <w:t>használatra vonatkozó előíráso</w:t>
      </w:r>
      <w:r w:rsidR="00AE0D67">
        <w:t>kat</w:t>
      </w:r>
      <w:r>
        <w:t>.</w:t>
      </w:r>
    </w:p>
    <w:p w14:paraId="41209AD6" w14:textId="7D6BD040" w:rsidR="008C63E0" w:rsidRDefault="00532E5A" w:rsidP="008C63E0">
      <w:pPr>
        <w:pStyle w:val="Behzottbekezdsnmhh"/>
        <w:tabs>
          <w:tab w:val="left" w:pos="977"/>
        </w:tabs>
      </w:pPr>
      <w:r>
        <w:t>A</w:t>
      </w:r>
      <w:r w:rsidR="00BA47A0">
        <w:t xml:space="preserve"> 2016. november 9-i RSPG szakvéleményén</w:t>
      </w:r>
      <w:r w:rsidR="00BA47A0">
        <w:rPr>
          <w:rStyle w:val="Lbjegyzet-hivatkozs"/>
        </w:rPr>
        <w:footnoteReference w:id="14"/>
      </w:r>
      <w:r w:rsidR="00BA47A0">
        <w:t xml:space="preserve"> alapuló,</w:t>
      </w:r>
      <w:r>
        <w:t xml:space="preserve"> 2016. december 7-i</w:t>
      </w:r>
      <w:r w:rsidR="008C63E0">
        <w:t xml:space="preserve"> </w:t>
      </w:r>
      <w:r>
        <w:t xml:space="preserve">Rádióspektrum Bizottság (RSC) </w:t>
      </w:r>
      <w:r w:rsidR="00867426">
        <w:t xml:space="preserve">döntését követően az Európai Bizottság által a </w:t>
      </w:r>
      <w:r w:rsidR="009D6950">
        <w:t>CEPT</w:t>
      </w:r>
      <w:r w:rsidR="002E671D">
        <w:rPr>
          <w:rStyle w:val="Lbjegyzet-hivatkozs"/>
        </w:rPr>
        <w:footnoteReference w:id="15"/>
      </w:r>
      <w:r w:rsidR="009D6950">
        <w:t xml:space="preserve"> </w:t>
      </w:r>
      <w:r w:rsidR="00867426">
        <w:t xml:space="preserve">részére kiadott </w:t>
      </w:r>
      <w:r w:rsidR="009D6950">
        <w:t>mandátum</w:t>
      </w:r>
      <w:r w:rsidR="00867426">
        <w:rPr>
          <w:rStyle w:val="Lbjegyzet-hivatkozs"/>
        </w:rPr>
        <w:footnoteReference w:id="16"/>
      </w:r>
      <w:r w:rsidR="00867426">
        <w:t xml:space="preserve"> </w:t>
      </w:r>
      <w:r w:rsidR="009D6950">
        <w:t xml:space="preserve">(továbbiakban: CEPT mandátum) </w:t>
      </w:r>
      <w:r w:rsidR="008C63E0">
        <w:t>a 6 </w:t>
      </w:r>
      <w:proofErr w:type="spellStart"/>
      <w:r w:rsidR="008C63E0">
        <w:t>GHz</w:t>
      </w:r>
      <w:proofErr w:type="spellEnd"/>
      <w:r w:rsidR="008C63E0">
        <w:t xml:space="preserve"> feletti </w:t>
      </w:r>
      <w:r w:rsidR="000539FF" w:rsidRPr="00426D01">
        <w:t>frekvencia</w:t>
      </w:r>
      <w:r w:rsidR="008C63E0">
        <w:t>sávok közül 5G célra lehetséges sávokként azonosította még a 32 </w:t>
      </w:r>
      <w:proofErr w:type="spellStart"/>
      <w:r w:rsidR="008C63E0">
        <w:t>GHz</w:t>
      </w:r>
      <w:proofErr w:type="spellEnd"/>
      <w:r w:rsidR="008C63E0">
        <w:t>-es és 42 </w:t>
      </w:r>
      <w:proofErr w:type="spellStart"/>
      <w:r w:rsidR="008C63E0">
        <w:t>GHz</w:t>
      </w:r>
      <w:proofErr w:type="spellEnd"/>
      <w:r w:rsidR="008C63E0">
        <w:t xml:space="preserve">-es </w:t>
      </w:r>
      <w:r w:rsidR="000539FF" w:rsidRPr="00426D01">
        <w:t>frekvencia</w:t>
      </w:r>
      <w:r w:rsidR="008C63E0">
        <w:t>sávokat, amelyeket vizsgálni kellett, de ezek nem tartoz</w:t>
      </w:r>
      <w:r w:rsidR="00181636">
        <w:t>n</w:t>
      </w:r>
      <w:r w:rsidR="008C63E0">
        <w:t>ak az úttörő sávok közé. A WRC-19 felkészülés keretében végzett vizsgálatok alapján a CEPT nem támogatta a 32 </w:t>
      </w:r>
      <w:proofErr w:type="spellStart"/>
      <w:r w:rsidR="008C63E0">
        <w:t>GHz</w:t>
      </w:r>
      <w:proofErr w:type="spellEnd"/>
      <w:r w:rsidR="008C63E0">
        <w:t xml:space="preserve">-es </w:t>
      </w:r>
      <w:r w:rsidR="000539FF" w:rsidRPr="00426D01">
        <w:t>frekvencia</w:t>
      </w:r>
      <w:r w:rsidR="008C63E0">
        <w:t xml:space="preserve">sávban az 5G bevezetését. A WRC-19 döntéseinek eredményeként a 32 </w:t>
      </w:r>
      <w:proofErr w:type="spellStart"/>
      <w:r w:rsidR="008C63E0">
        <w:t>GHz</w:t>
      </w:r>
      <w:proofErr w:type="spellEnd"/>
      <w:r w:rsidR="008C63E0">
        <w:t xml:space="preserve">-es </w:t>
      </w:r>
      <w:r w:rsidR="000539FF" w:rsidRPr="00426D01">
        <w:t>frekvencia</w:t>
      </w:r>
      <w:r w:rsidR="008C63E0">
        <w:t>sávot nem azonosították IMT-re, így a közeljövőben nem várható az 5G NR mobilrendszerek bevezetése</w:t>
      </w:r>
      <w:r w:rsidR="000539FF">
        <w:t xml:space="preserve"> a </w:t>
      </w:r>
      <w:r w:rsidR="000539FF" w:rsidRPr="00426D01">
        <w:t>frekvencia</w:t>
      </w:r>
      <w:r w:rsidR="000539FF">
        <w:t>sávban</w:t>
      </w:r>
      <w:r w:rsidR="008C63E0">
        <w:t xml:space="preserve">. A 26 </w:t>
      </w:r>
      <w:proofErr w:type="spellStart"/>
      <w:r w:rsidR="008C63E0">
        <w:t>GHz</w:t>
      </w:r>
      <w:proofErr w:type="spellEnd"/>
      <w:r w:rsidR="008C63E0">
        <w:t xml:space="preserve">-es </w:t>
      </w:r>
      <w:r w:rsidR="000539FF" w:rsidRPr="00426D01">
        <w:t>frekvencia</w:t>
      </w:r>
      <w:r w:rsidR="000539FF">
        <w:t>sávban a piaci igény figyelembe</w:t>
      </w:r>
      <w:r w:rsidR="008C63E0">
        <w:t xml:space="preserve">vételével át kell tervezni és adott esetben másik </w:t>
      </w:r>
      <w:r w:rsidR="000539FF" w:rsidRPr="00426D01">
        <w:t>frekvencia</w:t>
      </w:r>
      <w:r w:rsidR="008C63E0">
        <w:t xml:space="preserve">sávba </w:t>
      </w:r>
      <w:r w:rsidR="00181636">
        <w:t>áthelyezni</w:t>
      </w:r>
      <w:r w:rsidR="008C63E0">
        <w:t xml:space="preserve"> a meglévő felhordóhálózati </w:t>
      </w:r>
      <w:r w:rsidR="00181636">
        <w:t>rendszereket</w:t>
      </w:r>
      <w:r w:rsidR="008C63E0">
        <w:t xml:space="preserve"> a közeljövőben. Erre jó megoldás lehet a 32 </w:t>
      </w:r>
      <w:proofErr w:type="spellStart"/>
      <w:r w:rsidR="008C63E0">
        <w:t>GHz</w:t>
      </w:r>
      <w:proofErr w:type="spellEnd"/>
      <w:r w:rsidR="008C63E0">
        <w:t>-es frekvenciasáv</w:t>
      </w:r>
      <w:r w:rsidR="008C63E0">
        <w:rPr>
          <w:rStyle w:val="Lbjegyzet-hivatkozs"/>
        </w:rPr>
        <w:footnoteReference w:id="17"/>
      </w:r>
      <w:r w:rsidR="008C63E0">
        <w:t>, amely alkalmazási módját, hullámterjedési jellemzőit és spektrummennyiségét illetően hasonló a 26 </w:t>
      </w:r>
      <w:proofErr w:type="spellStart"/>
      <w:r w:rsidR="008C63E0">
        <w:t>GHz</w:t>
      </w:r>
      <w:proofErr w:type="spellEnd"/>
      <w:r w:rsidR="008C63E0">
        <w:t xml:space="preserve">-es </w:t>
      </w:r>
      <w:r w:rsidR="000539FF" w:rsidRPr="00426D01">
        <w:t>frekvencia</w:t>
      </w:r>
      <w:r w:rsidR="008C63E0">
        <w:t>sávhoz.</w:t>
      </w:r>
    </w:p>
    <w:p w14:paraId="6D568FC6" w14:textId="4C393E45" w:rsidR="00147296" w:rsidRDefault="008C63E0" w:rsidP="008C63E0">
      <w:pPr>
        <w:pStyle w:val="Behzottbekezdsnmhh"/>
        <w:tabs>
          <w:tab w:val="left" w:pos="977"/>
        </w:tabs>
        <w:rPr>
          <w:rFonts w:ascii="Arial" w:eastAsia="Calibri" w:hAnsi="Arial" w:cs="Times New Roman"/>
          <w:iCs/>
        </w:rPr>
      </w:pPr>
      <w:r w:rsidRPr="00794E2A">
        <w:rPr>
          <w:rFonts w:ascii="Arial" w:eastAsia="Calibri" w:hAnsi="Arial" w:cs="Times New Roman"/>
          <w:iCs/>
        </w:rPr>
        <w:t>A</w:t>
      </w:r>
      <w:r w:rsidR="00B97D95">
        <w:rPr>
          <w:rFonts w:ascii="Arial" w:eastAsia="Calibri" w:hAnsi="Arial" w:cs="Times New Roman"/>
          <w:iCs/>
        </w:rPr>
        <w:t>z NMHH</w:t>
      </w:r>
      <w:r w:rsidRPr="00794E2A">
        <w:rPr>
          <w:rFonts w:ascii="Arial" w:eastAsia="Calibri" w:hAnsi="Arial" w:cs="Times New Roman"/>
          <w:iCs/>
        </w:rPr>
        <w:t xml:space="preserve"> 2017. november </w:t>
      </w:r>
      <w:r>
        <w:rPr>
          <w:rFonts w:ascii="Arial" w:eastAsia="Calibri" w:hAnsi="Arial" w:cs="Times New Roman"/>
          <w:iCs/>
        </w:rPr>
        <w:t>23</w:t>
      </w:r>
      <w:r w:rsidRPr="00794E2A">
        <w:rPr>
          <w:rFonts w:ascii="Arial" w:eastAsia="Calibri" w:hAnsi="Arial" w:cs="Times New Roman"/>
          <w:iCs/>
        </w:rPr>
        <w:t>-</w:t>
      </w:r>
      <w:r>
        <w:rPr>
          <w:rFonts w:ascii="Arial" w:eastAsia="Calibri" w:hAnsi="Arial" w:cs="Times New Roman"/>
          <w:iCs/>
        </w:rPr>
        <w:t>á</w:t>
      </w:r>
      <w:r w:rsidRPr="00794E2A">
        <w:rPr>
          <w:rFonts w:ascii="Arial" w:eastAsia="Calibri" w:hAnsi="Arial" w:cs="Times New Roman"/>
          <w:iCs/>
        </w:rPr>
        <w:t>n</w:t>
      </w:r>
      <w:r>
        <w:rPr>
          <w:rStyle w:val="Lbjegyzet-hivatkozs"/>
          <w:rFonts w:ascii="Arial" w:eastAsia="Calibri" w:hAnsi="Arial" w:cs="Times New Roman"/>
          <w:iCs/>
        </w:rPr>
        <w:footnoteReference w:id="18"/>
      </w:r>
      <w:r w:rsidRPr="00794E2A">
        <w:rPr>
          <w:rFonts w:ascii="Arial" w:eastAsia="Calibri" w:hAnsi="Arial" w:cs="Times New Roman"/>
          <w:iCs/>
        </w:rPr>
        <w:t xml:space="preserve"> </w:t>
      </w:r>
      <w:r>
        <w:rPr>
          <w:rFonts w:ascii="Arial" w:eastAsia="Calibri" w:hAnsi="Arial" w:cs="Times New Roman"/>
          <w:iCs/>
        </w:rPr>
        <w:t>és 2019. december 13-án</w:t>
      </w:r>
      <w:r>
        <w:rPr>
          <w:rStyle w:val="Lbjegyzet-hivatkozs"/>
          <w:rFonts w:ascii="Arial" w:eastAsia="Calibri" w:hAnsi="Arial" w:cs="Times New Roman"/>
          <w:iCs/>
        </w:rPr>
        <w:footnoteReference w:id="19"/>
      </w:r>
      <w:r>
        <w:rPr>
          <w:rFonts w:ascii="Arial" w:eastAsia="Calibri" w:hAnsi="Arial" w:cs="Times New Roman"/>
          <w:iCs/>
        </w:rPr>
        <w:t xml:space="preserve"> tartott </w:t>
      </w:r>
      <w:r w:rsidRPr="00794E2A">
        <w:rPr>
          <w:rFonts w:ascii="Arial" w:eastAsia="Calibri" w:hAnsi="Arial" w:cs="Times New Roman"/>
          <w:iCs/>
        </w:rPr>
        <w:t>nyilvános meghallgatás</w:t>
      </w:r>
      <w:r>
        <w:rPr>
          <w:rFonts w:ascii="Arial" w:eastAsia="Calibri" w:hAnsi="Arial" w:cs="Times New Roman"/>
          <w:iCs/>
        </w:rPr>
        <w:t>a</w:t>
      </w:r>
      <w:r w:rsidRPr="00794E2A">
        <w:rPr>
          <w:rFonts w:ascii="Arial" w:eastAsia="Calibri" w:hAnsi="Arial" w:cs="Times New Roman"/>
          <w:iCs/>
        </w:rPr>
        <w:t xml:space="preserve"> a 26 </w:t>
      </w:r>
      <w:proofErr w:type="spellStart"/>
      <w:r w:rsidRPr="00794E2A">
        <w:rPr>
          <w:rFonts w:ascii="Arial" w:eastAsia="Calibri" w:hAnsi="Arial" w:cs="Times New Roman"/>
          <w:iCs/>
        </w:rPr>
        <w:t>GHz</w:t>
      </w:r>
      <w:proofErr w:type="spellEnd"/>
      <w:r w:rsidRPr="00794E2A">
        <w:rPr>
          <w:rFonts w:ascii="Arial" w:eastAsia="Calibri" w:hAnsi="Arial" w:cs="Times New Roman"/>
          <w:iCs/>
        </w:rPr>
        <w:t xml:space="preserve">-es </w:t>
      </w:r>
      <w:r w:rsidR="000539FF" w:rsidRPr="00426D01">
        <w:t>frekvencia</w:t>
      </w:r>
      <w:r w:rsidRPr="00794E2A">
        <w:rPr>
          <w:rFonts w:ascii="Arial" w:eastAsia="Calibri" w:hAnsi="Arial" w:cs="Times New Roman"/>
          <w:iCs/>
        </w:rPr>
        <w:t xml:space="preserve">sáv hasznosításával </w:t>
      </w:r>
      <w:r>
        <w:rPr>
          <w:rFonts w:ascii="Arial" w:eastAsia="Calibri" w:hAnsi="Arial" w:cs="Times New Roman"/>
          <w:iCs/>
        </w:rPr>
        <w:t xml:space="preserve">összefüggő </w:t>
      </w:r>
      <w:r w:rsidR="007F203A">
        <w:rPr>
          <w:rFonts w:ascii="Arial" w:eastAsia="Calibri" w:hAnsi="Arial" w:cs="Times New Roman"/>
          <w:iCs/>
        </w:rPr>
        <w:t xml:space="preserve">kérdéseket </w:t>
      </w:r>
      <w:r>
        <w:rPr>
          <w:rFonts w:ascii="Arial" w:eastAsia="Calibri" w:hAnsi="Arial" w:cs="Times New Roman"/>
          <w:iCs/>
        </w:rPr>
        <w:t>is érintette</w:t>
      </w:r>
      <w:r w:rsidRPr="00794E2A">
        <w:rPr>
          <w:rFonts w:ascii="Arial" w:eastAsia="Calibri" w:hAnsi="Arial" w:cs="Times New Roman"/>
          <w:iCs/>
        </w:rPr>
        <w:t>. A</w:t>
      </w:r>
      <w:r w:rsidR="00D44A3A">
        <w:rPr>
          <w:rFonts w:ascii="Arial" w:eastAsia="Calibri" w:hAnsi="Arial" w:cs="Times New Roman"/>
          <w:iCs/>
        </w:rPr>
        <w:t>z előző</w:t>
      </w:r>
      <w:r w:rsidRPr="00794E2A">
        <w:rPr>
          <w:rFonts w:ascii="Arial" w:eastAsia="Calibri" w:hAnsi="Arial" w:cs="Times New Roman"/>
          <w:iCs/>
        </w:rPr>
        <w:t xml:space="preserve"> nyilvános meghallgatás</w:t>
      </w:r>
      <w:r w:rsidR="000F2E37">
        <w:rPr>
          <w:rFonts w:ascii="Arial" w:eastAsia="Calibri" w:hAnsi="Arial" w:cs="Times New Roman"/>
          <w:iCs/>
        </w:rPr>
        <w:t>ok</w:t>
      </w:r>
      <w:r w:rsidRPr="00794E2A">
        <w:rPr>
          <w:rFonts w:ascii="Arial" w:eastAsia="Calibri" w:hAnsi="Arial" w:cs="Times New Roman"/>
          <w:iCs/>
        </w:rPr>
        <w:t xml:space="preserve"> során a piaci szereplők nem jeleztek igényt e </w:t>
      </w:r>
      <w:r w:rsidR="000539FF" w:rsidRPr="00426D01">
        <w:t>frekvencia</w:t>
      </w:r>
      <w:r w:rsidRPr="00794E2A">
        <w:rPr>
          <w:rFonts w:ascii="Arial" w:eastAsia="Calibri" w:hAnsi="Arial" w:cs="Times New Roman"/>
          <w:iCs/>
        </w:rPr>
        <w:t xml:space="preserve">sáv </w:t>
      </w:r>
      <w:r>
        <w:rPr>
          <w:rFonts w:ascii="Arial" w:eastAsia="Calibri" w:hAnsi="Arial" w:cs="Times New Roman"/>
          <w:iCs/>
        </w:rPr>
        <w:t xml:space="preserve">mobil célú </w:t>
      </w:r>
      <w:r w:rsidRPr="00794E2A">
        <w:rPr>
          <w:rFonts w:ascii="Arial" w:eastAsia="Calibri" w:hAnsi="Arial" w:cs="Times New Roman"/>
          <w:iCs/>
        </w:rPr>
        <w:t>használatával összefüggésben, továbbá a megl</w:t>
      </w:r>
      <w:r>
        <w:rPr>
          <w:rFonts w:ascii="Arial" w:eastAsia="Calibri" w:hAnsi="Arial" w:cs="Times New Roman"/>
          <w:iCs/>
        </w:rPr>
        <w:t>é</w:t>
      </w:r>
      <w:r w:rsidRPr="00794E2A">
        <w:rPr>
          <w:rFonts w:ascii="Arial" w:eastAsia="Calibri" w:hAnsi="Arial" w:cs="Times New Roman"/>
          <w:iCs/>
        </w:rPr>
        <w:t>vő felhasználás védelme érdekében korainak tartották</w:t>
      </w:r>
      <w:r w:rsidRPr="00794E2A" w:rsidDel="006736DE">
        <w:rPr>
          <w:rFonts w:ascii="Arial" w:eastAsia="Calibri" w:hAnsi="Arial" w:cs="Times New Roman"/>
          <w:iCs/>
        </w:rPr>
        <w:t xml:space="preserve"> </w:t>
      </w:r>
      <w:r w:rsidRPr="00794E2A">
        <w:rPr>
          <w:rFonts w:ascii="Arial" w:eastAsia="Calibri" w:hAnsi="Arial" w:cs="Times New Roman"/>
          <w:iCs/>
        </w:rPr>
        <w:t xml:space="preserve">értékesítési </w:t>
      </w:r>
      <w:r w:rsidRPr="000E2DC9">
        <w:rPr>
          <w:rFonts w:ascii="Arial" w:eastAsia="Calibri" w:hAnsi="Arial" w:cs="Times New Roman"/>
          <w:iCs/>
        </w:rPr>
        <w:t>eljárás megindítását.</w:t>
      </w:r>
      <w:r w:rsidR="002E1847" w:rsidRPr="000E2DC9">
        <w:rPr>
          <w:rFonts w:ascii="Arial" w:eastAsia="Calibri" w:hAnsi="Arial" w:cs="Times New Roman"/>
          <w:iCs/>
        </w:rPr>
        <w:t xml:space="preserve"> </w:t>
      </w:r>
    </w:p>
    <w:p w14:paraId="220D3983" w14:textId="3C47F0D9" w:rsidR="00646E97" w:rsidRDefault="002E1847" w:rsidP="008C63E0">
      <w:pPr>
        <w:pStyle w:val="Behzottbekezdsnmhh"/>
        <w:tabs>
          <w:tab w:val="left" w:pos="977"/>
        </w:tabs>
        <w:rPr>
          <w:rFonts w:ascii="Arial" w:eastAsia="Calibri" w:hAnsi="Arial" w:cs="Times New Roman"/>
          <w:iCs/>
        </w:rPr>
      </w:pPr>
      <w:r w:rsidRPr="000E2DC9">
        <w:rPr>
          <w:rFonts w:ascii="Arial" w:eastAsia="Calibri" w:hAnsi="Arial" w:cs="Times New Roman"/>
          <w:iCs/>
        </w:rPr>
        <w:t xml:space="preserve">A </w:t>
      </w:r>
      <w:r w:rsidR="00181636" w:rsidRPr="000E2DC9">
        <w:rPr>
          <w:rFonts w:ascii="Arial" w:eastAsia="Calibri" w:hAnsi="Arial" w:cs="Times New Roman"/>
          <w:iCs/>
        </w:rPr>
        <w:t xml:space="preserve">26 </w:t>
      </w:r>
      <w:proofErr w:type="spellStart"/>
      <w:r w:rsidR="00181636" w:rsidRPr="000E2DC9">
        <w:rPr>
          <w:rFonts w:ascii="Arial" w:eastAsia="Calibri" w:hAnsi="Arial" w:cs="Times New Roman"/>
          <w:iCs/>
        </w:rPr>
        <w:t>GHz</w:t>
      </w:r>
      <w:proofErr w:type="spellEnd"/>
      <w:r w:rsidR="00181636" w:rsidRPr="000E2DC9">
        <w:rPr>
          <w:rFonts w:ascii="Arial" w:eastAsia="Calibri" w:hAnsi="Arial" w:cs="Times New Roman"/>
          <w:iCs/>
        </w:rPr>
        <w:t xml:space="preserve">-es </w:t>
      </w:r>
      <w:r w:rsidR="00147296">
        <w:rPr>
          <w:rFonts w:ascii="Arial" w:eastAsia="Calibri" w:hAnsi="Arial" w:cs="Times New Roman"/>
          <w:iCs/>
        </w:rPr>
        <w:t>frekvencia</w:t>
      </w:r>
      <w:r w:rsidR="00181636" w:rsidRPr="000E2DC9">
        <w:rPr>
          <w:rFonts w:ascii="Arial" w:eastAsia="Calibri" w:hAnsi="Arial" w:cs="Times New Roman"/>
          <w:iCs/>
        </w:rPr>
        <w:t xml:space="preserve">sáv </w:t>
      </w:r>
      <w:r w:rsidR="00147296">
        <w:rPr>
          <w:rFonts w:ascii="Arial" w:eastAsia="Calibri" w:hAnsi="Arial" w:cs="Times New Roman"/>
          <w:iCs/>
        </w:rPr>
        <w:t>hasznosítása</w:t>
      </w:r>
      <w:r w:rsidR="00181636" w:rsidRPr="000E2DC9">
        <w:rPr>
          <w:rFonts w:ascii="Arial" w:eastAsia="Calibri" w:hAnsi="Arial" w:cs="Times New Roman"/>
          <w:iCs/>
        </w:rPr>
        <w:t xml:space="preserve"> szempontjából fontos kérdés</w:t>
      </w:r>
      <w:r w:rsidRPr="000E2DC9">
        <w:rPr>
          <w:rFonts w:ascii="Arial" w:eastAsia="Calibri" w:hAnsi="Arial" w:cs="Times New Roman"/>
          <w:iCs/>
        </w:rPr>
        <w:t xml:space="preserve"> a gyakorlatban nem használt, a jelenlegi szabály</w:t>
      </w:r>
      <w:r w:rsidR="000E2DC9" w:rsidRPr="000E2DC9">
        <w:rPr>
          <w:rFonts w:ascii="Arial" w:eastAsia="Calibri" w:hAnsi="Arial" w:cs="Times New Roman"/>
          <w:iCs/>
        </w:rPr>
        <w:t>o</w:t>
      </w:r>
      <w:r w:rsidRPr="000E2DC9">
        <w:rPr>
          <w:rFonts w:ascii="Arial" w:eastAsia="Calibri" w:hAnsi="Arial" w:cs="Times New Roman"/>
          <w:iCs/>
        </w:rPr>
        <w:t xml:space="preserve">zás alapján nem polgári célra kijelölt 26,5-27,5 </w:t>
      </w:r>
      <w:proofErr w:type="spellStart"/>
      <w:r w:rsidRPr="000E2DC9">
        <w:rPr>
          <w:rFonts w:ascii="Arial" w:eastAsia="Calibri" w:hAnsi="Arial" w:cs="Times New Roman"/>
          <w:iCs/>
        </w:rPr>
        <w:t>GHz</w:t>
      </w:r>
      <w:proofErr w:type="spellEnd"/>
      <w:r w:rsidRPr="000E2DC9">
        <w:rPr>
          <w:rFonts w:ascii="Arial" w:eastAsia="Calibri" w:hAnsi="Arial" w:cs="Times New Roman"/>
          <w:iCs/>
        </w:rPr>
        <w:t xml:space="preserve"> sávrész 5G célú </w:t>
      </w:r>
      <w:r w:rsidR="00132507" w:rsidRPr="000E2DC9">
        <w:rPr>
          <w:rFonts w:ascii="Arial" w:eastAsia="Calibri" w:hAnsi="Arial" w:cs="Times New Roman"/>
          <w:iCs/>
        </w:rPr>
        <w:t>használatba vételének</w:t>
      </w:r>
      <w:r w:rsidRPr="000E2DC9">
        <w:rPr>
          <w:rFonts w:ascii="Arial" w:eastAsia="Calibri" w:hAnsi="Arial" w:cs="Times New Roman"/>
          <w:iCs/>
        </w:rPr>
        <w:t xml:space="preserve"> </w:t>
      </w:r>
      <w:r w:rsidR="00181636" w:rsidRPr="000E2DC9">
        <w:rPr>
          <w:rFonts w:ascii="Arial" w:eastAsia="Calibri" w:hAnsi="Arial" w:cs="Times New Roman"/>
          <w:iCs/>
        </w:rPr>
        <w:t>lehetősége is</w:t>
      </w:r>
      <w:r w:rsidRPr="000E2DC9">
        <w:rPr>
          <w:rFonts w:ascii="Arial" w:eastAsia="Calibri" w:hAnsi="Arial" w:cs="Times New Roman"/>
          <w:iCs/>
        </w:rPr>
        <w:t xml:space="preserve">. A felső 1 </w:t>
      </w:r>
      <w:proofErr w:type="spellStart"/>
      <w:r w:rsidRPr="000E2DC9">
        <w:rPr>
          <w:rFonts w:ascii="Arial" w:eastAsia="Calibri" w:hAnsi="Arial" w:cs="Times New Roman"/>
          <w:iCs/>
        </w:rPr>
        <w:t>GHz</w:t>
      </w:r>
      <w:proofErr w:type="spellEnd"/>
      <w:r w:rsidRPr="000E2DC9">
        <w:rPr>
          <w:rFonts w:ascii="Arial" w:eastAsia="Calibri" w:hAnsi="Arial" w:cs="Times New Roman"/>
          <w:iCs/>
        </w:rPr>
        <w:t xml:space="preserve"> rádióspektrum 5G célú </w:t>
      </w:r>
      <w:r w:rsidR="000E2DC9" w:rsidRPr="000E2DC9">
        <w:rPr>
          <w:rFonts w:ascii="Arial" w:eastAsia="Calibri" w:hAnsi="Arial" w:cs="Times New Roman"/>
          <w:iCs/>
        </w:rPr>
        <w:t>hasznosításához</w:t>
      </w:r>
      <w:r w:rsidR="00150A8F" w:rsidRPr="000E2DC9">
        <w:rPr>
          <w:rFonts w:ascii="Arial" w:eastAsia="Calibri" w:hAnsi="Arial" w:cs="Times New Roman"/>
          <w:iCs/>
        </w:rPr>
        <w:t xml:space="preserve"> </w:t>
      </w:r>
      <w:r w:rsidRPr="000E2DC9">
        <w:rPr>
          <w:rFonts w:ascii="Arial" w:eastAsia="Calibri" w:hAnsi="Arial" w:cs="Times New Roman"/>
          <w:iCs/>
        </w:rPr>
        <w:t xml:space="preserve">a polgári </w:t>
      </w:r>
      <w:r w:rsidR="00132507" w:rsidRPr="000E2DC9">
        <w:rPr>
          <w:rFonts w:ascii="Arial" w:eastAsia="Calibri" w:hAnsi="Arial" w:cs="Times New Roman"/>
          <w:iCs/>
        </w:rPr>
        <w:lastRenderedPageBreak/>
        <w:t>és</w:t>
      </w:r>
      <w:r w:rsidRPr="000E2DC9">
        <w:rPr>
          <w:rFonts w:ascii="Arial" w:eastAsia="Calibri" w:hAnsi="Arial" w:cs="Times New Roman"/>
          <w:iCs/>
        </w:rPr>
        <w:t xml:space="preserve"> a nem polgári igények</w:t>
      </w:r>
      <w:r w:rsidR="00132507" w:rsidRPr="000E2DC9">
        <w:rPr>
          <w:rFonts w:ascii="Arial" w:eastAsia="Calibri" w:hAnsi="Arial" w:cs="Times New Roman"/>
          <w:iCs/>
        </w:rPr>
        <w:t xml:space="preserve"> megismerése is szükséges.</w:t>
      </w:r>
      <w:r w:rsidRPr="000E2DC9">
        <w:rPr>
          <w:rFonts w:ascii="Arial" w:eastAsia="Calibri" w:hAnsi="Arial" w:cs="Times New Roman"/>
          <w:iCs/>
        </w:rPr>
        <w:t xml:space="preserve"> </w:t>
      </w:r>
      <w:r w:rsidR="00646E97">
        <w:rPr>
          <w:rFonts w:ascii="Arial" w:eastAsia="Calibri" w:hAnsi="Arial" w:cs="Times New Roman"/>
          <w:iCs/>
        </w:rPr>
        <w:t xml:space="preserve">A </w:t>
      </w:r>
      <w:r w:rsidR="00646E97" w:rsidRPr="000E2DC9">
        <w:rPr>
          <w:rFonts w:ascii="Arial" w:eastAsia="Calibri" w:hAnsi="Arial" w:cs="Times New Roman"/>
          <w:iCs/>
        </w:rPr>
        <w:t xml:space="preserve">meglévő </w:t>
      </w:r>
      <w:r w:rsidR="00626ACE">
        <w:rPr>
          <w:rFonts w:ascii="Arial" w:eastAsia="Calibri" w:hAnsi="Arial" w:cs="Times New Roman"/>
          <w:iCs/>
        </w:rPr>
        <w:t>használat</w:t>
      </w:r>
      <w:r w:rsidR="00626ACE" w:rsidRPr="000E2DC9">
        <w:rPr>
          <w:rFonts w:ascii="Arial" w:eastAsia="Calibri" w:hAnsi="Arial" w:cs="Times New Roman"/>
          <w:iCs/>
        </w:rPr>
        <w:t xml:space="preserve"> </w:t>
      </w:r>
      <w:r w:rsidR="00646E97" w:rsidRPr="00626ACE">
        <w:rPr>
          <w:rFonts w:ascii="Arial" w:eastAsia="Calibri" w:hAnsi="Arial" w:cs="Times New Roman"/>
          <w:iCs/>
        </w:rPr>
        <w:t>megengedésének</w:t>
      </w:r>
      <w:r w:rsidR="00646E97">
        <w:rPr>
          <w:rFonts w:ascii="Arial" w:eastAsia="Calibri" w:hAnsi="Arial" w:cs="Times New Roman"/>
          <w:iCs/>
        </w:rPr>
        <w:t xml:space="preserve"> </w:t>
      </w:r>
      <w:r w:rsidR="00221007">
        <w:rPr>
          <w:rFonts w:ascii="Arial" w:eastAsia="Calibri" w:hAnsi="Arial" w:cs="Times New Roman"/>
          <w:iCs/>
        </w:rPr>
        <w:t>lehetőségét</w:t>
      </w:r>
      <w:r w:rsidR="00221007" w:rsidRPr="000E2DC9">
        <w:rPr>
          <w:rFonts w:ascii="Arial" w:eastAsia="Calibri" w:hAnsi="Arial" w:cs="Times New Roman"/>
          <w:iCs/>
        </w:rPr>
        <w:t xml:space="preserve"> </w:t>
      </w:r>
      <w:r w:rsidR="00646E97" w:rsidRPr="000E2DC9">
        <w:rPr>
          <w:rFonts w:ascii="Arial" w:eastAsia="Calibri" w:hAnsi="Arial" w:cs="Times New Roman"/>
          <w:iCs/>
        </w:rPr>
        <w:t>– amelyet az (EU)</w:t>
      </w:r>
      <w:r w:rsidR="00221007">
        <w:rPr>
          <w:rFonts w:ascii="Arial" w:eastAsia="Calibri" w:hAnsi="Arial" w:cs="Times New Roman"/>
          <w:iCs/>
        </w:rPr>
        <w:t xml:space="preserve"> </w:t>
      </w:r>
      <w:r w:rsidR="00646E97" w:rsidRPr="000E2DC9">
        <w:rPr>
          <w:rFonts w:ascii="Arial" w:eastAsia="Calibri" w:hAnsi="Arial" w:cs="Times New Roman"/>
          <w:iCs/>
        </w:rPr>
        <w:t>2019/784 határozat 4. cikke tesz lehetővé –</w:t>
      </w:r>
      <w:r w:rsidR="00646E97">
        <w:rPr>
          <w:rFonts w:ascii="Arial" w:eastAsia="Calibri" w:hAnsi="Arial" w:cs="Times New Roman"/>
          <w:iCs/>
        </w:rPr>
        <w:t xml:space="preserve"> vizsgálja az NMHH.</w:t>
      </w:r>
    </w:p>
    <w:p w14:paraId="2E4E97F9" w14:textId="61C30494" w:rsidR="00561445" w:rsidRDefault="00561445" w:rsidP="008C63E0">
      <w:pPr>
        <w:pStyle w:val="Behzottbekezdsnmhh"/>
        <w:tabs>
          <w:tab w:val="left" w:pos="977"/>
        </w:tabs>
        <w:rPr>
          <w:rFonts w:ascii="Arial" w:eastAsia="Calibri" w:hAnsi="Arial" w:cs="Times New Roman"/>
          <w:iCs/>
        </w:rPr>
      </w:pPr>
      <w:r>
        <w:rPr>
          <w:rFonts w:ascii="Arial" w:eastAsia="Calibri" w:hAnsi="Arial" w:cs="Times New Roman"/>
          <w:iCs/>
        </w:rPr>
        <w:t>Az NMHH előtt ismert tény, hogy az 5G technológia katonai alkalmazásának vizsgálata hivatalosan egy NATO finanszírozású projekt keretében már egy éve folyik, amelyben Magyarország is részt vesz megfigyelőként.</w:t>
      </w:r>
    </w:p>
    <w:p w14:paraId="2C24407F" w14:textId="38F3C160" w:rsidR="00DD42BE" w:rsidRDefault="00646E97" w:rsidP="008C63E0">
      <w:pPr>
        <w:pStyle w:val="Behzottbekezdsnmhh"/>
        <w:tabs>
          <w:tab w:val="left" w:pos="977"/>
        </w:tabs>
        <w:rPr>
          <w:rFonts w:ascii="Arial" w:eastAsia="Calibri" w:hAnsi="Arial" w:cs="Times New Roman"/>
          <w:iCs/>
        </w:rPr>
      </w:pPr>
      <w:r>
        <w:rPr>
          <w:rFonts w:ascii="Arial" w:eastAsia="Calibri" w:hAnsi="Arial" w:cs="Times New Roman"/>
          <w:iCs/>
        </w:rPr>
        <w:t>A</w:t>
      </w:r>
      <w:r w:rsidR="008C63E0" w:rsidRPr="000E2DC9">
        <w:rPr>
          <w:rFonts w:ascii="Arial" w:eastAsia="Calibri" w:hAnsi="Arial" w:cs="Times New Roman"/>
          <w:iCs/>
        </w:rPr>
        <w:t>z (EU</w:t>
      </w:r>
      <w:proofErr w:type="gramStart"/>
      <w:r w:rsidR="008C63E0" w:rsidRPr="000E2DC9">
        <w:rPr>
          <w:rFonts w:ascii="Arial" w:eastAsia="Calibri" w:hAnsi="Arial" w:cs="Times New Roman"/>
          <w:iCs/>
        </w:rPr>
        <w:t>)2019</w:t>
      </w:r>
      <w:proofErr w:type="gramEnd"/>
      <w:r w:rsidR="008C63E0" w:rsidRPr="000E2DC9">
        <w:rPr>
          <w:rFonts w:ascii="Arial" w:eastAsia="Calibri" w:hAnsi="Arial" w:cs="Times New Roman"/>
          <w:iCs/>
        </w:rPr>
        <w:t>/784 határozat és az (EU)2020/590</w:t>
      </w:r>
      <w:r w:rsidR="008C63E0">
        <w:rPr>
          <w:rFonts w:ascii="Arial" w:eastAsia="Calibri" w:hAnsi="Arial" w:cs="Times New Roman"/>
          <w:iCs/>
        </w:rPr>
        <w:t xml:space="preserve"> határozat </w:t>
      </w:r>
      <w:r w:rsidR="008C63E0" w:rsidRPr="00794E2A">
        <w:rPr>
          <w:rFonts w:ascii="Arial" w:eastAsia="Calibri" w:hAnsi="Arial" w:cs="Times New Roman"/>
          <w:iCs/>
        </w:rPr>
        <w:t xml:space="preserve">implementációja érdekében szükséges jogalkotási feladatokat két ütemben </w:t>
      </w:r>
      <w:r w:rsidR="008C63E0">
        <w:rPr>
          <w:rFonts w:ascii="Arial" w:eastAsia="Calibri" w:hAnsi="Arial" w:cs="Times New Roman"/>
          <w:iCs/>
        </w:rPr>
        <w:t>valósítja meg</w:t>
      </w:r>
      <w:r w:rsidR="008C63E0" w:rsidRPr="00794E2A">
        <w:rPr>
          <w:rFonts w:ascii="Arial" w:eastAsia="Calibri" w:hAnsi="Arial" w:cs="Times New Roman"/>
          <w:iCs/>
        </w:rPr>
        <w:t xml:space="preserve"> az NMHH. </w:t>
      </w:r>
      <w:r w:rsidR="008C63E0" w:rsidRPr="005833AB">
        <w:rPr>
          <w:rFonts w:ascii="Arial" w:eastAsia="Calibri" w:hAnsi="Arial" w:cs="Times New Roman"/>
          <w:iCs/>
        </w:rPr>
        <w:t>Az implementáció első ütemeként az NFFF módosításával tervezett státusszal bekerült az MFCN alkalmazás a jogszabályba.</w:t>
      </w:r>
      <w:r w:rsidR="008C63E0">
        <w:rPr>
          <w:rFonts w:ascii="Arial" w:eastAsia="Calibri" w:hAnsi="Arial" w:cs="Times New Roman"/>
          <w:iCs/>
        </w:rPr>
        <w:t xml:space="preserve"> </w:t>
      </w:r>
      <w:r w:rsidR="008C63E0" w:rsidRPr="00794E2A">
        <w:rPr>
          <w:rFonts w:ascii="Arial" w:eastAsia="Calibri" w:hAnsi="Arial" w:cs="Times New Roman"/>
          <w:iCs/>
        </w:rPr>
        <w:t>A</w:t>
      </w:r>
      <w:r w:rsidR="008C63E0">
        <w:rPr>
          <w:rFonts w:ascii="Arial" w:eastAsia="Calibri" w:hAnsi="Arial" w:cs="Times New Roman"/>
          <w:iCs/>
        </w:rPr>
        <w:t>z implementációs feladat</w:t>
      </w:r>
      <w:r w:rsidR="008C63E0" w:rsidRPr="00794E2A">
        <w:rPr>
          <w:rFonts w:ascii="Arial" w:eastAsia="Calibri" w:hAnsi="Arial" w:cs="Times New Roman"/>
          <w:iCs/>
        </w:rPr>
        <w:t xml:space="preserve"> második ütem</w:t>
      </w:r>
      <w:r w:rsidR="008C63E0">
        <w:rPr>
          <w:rFonts w:ascii="Arial" w:eastAsia="Calibri" w:hAnsi="Arial" w:cs="Times New Roman"/>
          <w:iCs/>
        </w:rPr>
        <w:t>é</w:t>
      </w:r>
      <w:r w:rsidR="008C63E0" w:rsidRPr="00794E2A">
        <w:rPr>
          <w:rFonts w:ascii="Arial" w:eastAsia="Calibri" w:hAnsi="Arial" w:cs="Times New Roman"/>
          <w:iCs/>
        </w:rPr>
        <w:t xml:space="preserve">ben </w:t>
      </w:r>
      <w:r w:rsidR="008C63E0">
        <w:rPr>
          <w:rFonts w:ascii="Arial" w:eastAsia="Calibri" w:hAnsi="Arial" w:cs="Times New Roman"/>
          <w:iCs/>
        </w:rPr>
        <w:t>szükség lesz még egy</w:t>
      </w:r>
      <w:r w:rsidR="008C63E0" w:rsidRPr="00794E2A">
        <w:rPr>
          <w:rFonts w:ascii="Arial" w:eastAsia="Calibri" w:hAnsi="Arial" w:cs="Times New Roman"/>
          <w:iCs/>
        </w:rPr>
        <w:t xml:space="preserve"> NFFF módosítás</w:t>
      </w:r>
      <w:r w:rsidR="008C63E0">
        <w:rPr>
          <w:rFonts w:ascii="Arial" w:eastAsia="Calibri" w:hAnsi="Arial" w:cs="Times New Roman"/>
          <w:iCs/>
        </w:rPr>
        <w:t xml:space="preserve">ra (amikor tervezett státuszból kijelöltté </w:t>
      </w:r>
      <w:r w:rsidR="00F32D91">
        <w:rPr>
          <w:rFonts w:ascii="Arial" w:eastAsia="Calibri" w:hAnsi="Arial" w:cs="Times New Roman"/>
          <w:iCs/>
        </w:rPr>
        <w:t>válik</w:t>
      </w:r>
      <w:r w:rsidR="008C63E0">
        <w:rPr>
          <w:rFonts w:ascii="Arial" w:eastAsia="Calibri" w:hAnsi="Arial" w:cs="Times New Roman"/>
          <w:iCs/>
        </w:rPr>
        <w:t xml:space="preserve"> a </w:t>
      </w:r>
      <w:r w:rsidR="000539FF" w:rsidRPr="00426D01">
        <w:t>frekvencia</w:t>
      </w:r>
      <w:r w:rsidR="000539FF">
        <w:rPr>
          <w:rFonts w:ascii="Arial" w:eastAsia="Calibri" w:hAnsi="Arial" w:cs="Times New Roman"/>
          <w:iCs/>
        </w:rPr>
        <w:t>sáv egész</w:t>
      </w:r>
      <w:r w:rsidR="00F32D91">
        <w:rPr>
          <w:rFonts w:ascii="Arial" w:eastAsia="Calibri" w:hAnsi="Arial" w:cs="Times New Roman"/>
          <w:iCs/>
        </w:rPr>
        <w:t>e</w:t>
      </w:r>
      <w:r w:rsidR="000539FF">
        <w:rPr>
          <w:rFonts w:ascii="Arial" w:eastAsia="Calibri" w:hAnsi="Arial" w:cs="Times New Roman"/>
          <w:iCs/>
        </w:rPr>
        <w:t xml:space="preserve"> vagy annak</w:t>
      </w:r>
      <w:r w:rsidR="008C63E0">
        <w:rPr>
          <w:rFonts w:ascii="Arial" w:eastAsia="Calibri" w:hAnsi="Arial" w:cs="Times New Roman"/>
          <w:iCs/>
        </w:rPr>
        <w:t xml:space="preserve"> egy rész</w:t>
      </w:r>
      <w:r w:rsidR="00F32D91">
        <w:rPr>
          <w:rFonts w:ascii="Arial" w:eastAsia="Calibri" w:hAnsi="Arial" w:cs="Times New Roman"/>
          <w:iCs/>
        </w:rPr>
        <w:t>e</w:t>
      </w:r>
      <w:r w:rsidR="008C63E0">
        <w:rPr>
          <w:rFonts w:ascii="Arial" w:eastAsia="Calibri" w:hAnsi="Arial" w:cs="Times New Roman"/>
          <w:iCs/>
        </w:rPr>
        <w:t xml:space="preserve"> MFCN-re), amely </w:t>
      </w:r>
      <w:r w:rsidR="008C63E0" w:rsidRPr="00794E2A">
        <w:rPr>
          <w:rFonts w:ascii="Arial" w:eastAsia="Calibri" w:hAnsi="Arial" w:cs="Times New Roman"/>
          <w:iCs/>
        </w:rPr>
        <w:t xml:space="preserve">rendezi majd a frekvenciasáv </w:t>
      </w:r>
      <w:r w:rsidR="00637ECD">
        <w:rPr>
          <w:rFonts w:ascii="Arial" w:eastAsia="Calibri" w:hAnsi="Arial" w:cs="Times New Roman"/>
          <w:iCs/>
        </w:rPr>
        <w:t>elosztásához</w:t>
      </w:r>
      <w:r w:rsidR="008C63E0" w:rsidRPr="00794E2A">
        <w:rPr>
          <w:rFonts w:ascii="Arial" w:eastAsia="Calibri" w:hAnsi="Arial" w:cs="Times New Roman"/>
          <w:iCs/>
        </w:rPr>
        <w:t xml:space="preserve">, </w:t>
      </w:r>
      <w:r w:rsidR="00637ECD">
        <w:rPr>
          <w:rFonts w:ascii="Arial" w:eastAsia="Calibri" w:hAnsi="Arial" w:cs="Times New Roman"/>
          <w:iCs/>
        </w:rPr>
        <w:t>bel</w:t>
      </w:r>
      <w:r w:rsidR="00D14AC5">
        <w:rPr>
          <w:rFonts w:ascii="Arial" w:eastAsia="Calibri" w:hAnsi="Arial" w:cs="Times New Roman"/>
          <w:iCs/>
        </w:rPr>
        <w:t>e</w:t>
      </w:r>
      <w:r w:rsidR="00637ECD">
        <w:rPr>
          <w:rFonts w:ascii="Arial" w:eastAsia="Calibri" w:hAnsi="Arial" w:cs="Times New Roman"/>
          <w:iCs/>
        </w:rPr>
        <w:t>értve</w:t>
      </w:r>
      <w:r w:rsidR="008C63E0" w:rsidRPr="00794E2A">
        <w:rPr>
          <w:rFonts w:ascii="Arial" w:eastAsia="Calibri" w:hAnsi="Arial" w:cs="Times New Roman"/>
          <w:iCs/>
        </w:rPr>
        <w:t xml:space="preserve"> a versenyeztetési eljárás indításához szükséges koncepcionális kérdéseket</w:t>
      </w:r>
      <w:r w:rsidR="008C63E0">
        <w:rPr>
          <w:rFonts w:ascii="Arial" w:eastAsia="Calibri" w:hAnsi="Arial" w:cs="Times New Roman"/>
          <w:iCs/>
        </w:rPr>
        <w:t>, valamint a helyi igények kezelésével kapcsolatos szabályozási megoldást</w:t>
      </w:r>
      <w:r w:rsidR="008C63E0" w:rsidRPr="00794E2A">
        <w:rPr>
          <w:rFonts w:ascii="Arial" w:eastAsia="Calibri" w:hAnsi="Arial" w:cs="Times New Roman"/>
          <w:iCs/>
        </w:rPr>
        <w:t xml:space="preserve">. </w:t>
      </w:r>
    </w:p>
    <w:p w14:paraId="1AE0C801" w14:textId="225B8FA9" w:rsidR="008C63E0" w:rsidRDefault="004942E2" w:rsidP="008C63E0">
      <w:pPr>
        <w:pStyle w:val="Behzottbekezdsnmhh"/>
        <w:tabs>
          <w:tab w:val="left" w:pos="977"/>
        </w:tabs>
        <w:rPr>
          <w:rFonts w:ascii="Arial" w:eastAsia="Calibri" w:hAnsi="Arial" w:cs="Times New Roman"/>
          <w:iCs/>
        </w:rPr>
      </w:pPr>
      <w:r>
        <w:rPr>
          <w:rFonts w:ascii="Arial" w:eastAsia="Calibri" w:hAnsi="Arial" w:cs="Times New Roman"/>
          <w:iCs/>
        </w:rPr>
        <w:t>A</w:t>
      </w:r>
      <w:r w:rsidR="00DD42BE">
        <w:rPr>
          <w:rFonts w:ascii="Arial" w:eastAsia="Calibri" w:hAnsi="Arial" w:cs="Times New Roman"/>
          <w:iCs/>
        </w:rPr>
        <w:t xml:space="preserve"> 2021 december</w:t>
      </w:r>
      <w:r w:rsidR="00F32D91">
        <w:rPr>
          <w:rFonts w:ascii="Arial" w:eastAsia="Calibri" w:hAnsi="Arial" w:cs="Times New Roman"/>
          <w:iCs/>
        </w:rPr>
        <w:t>é</w:t>
      </w:r>
      <w:r w:rsidR="00DD42BE">
        <w:rPr>
          <w:rFonts w:ascii="Arial" w:eastAsia="Calibri" w:hAnsi="Arial" w:cs="Times New Roman"/>
          <w:iCs/>
        </w:rPr>
        <w:t>ben</w:t>
      </w:r>
      <w:r>
        <w:rPr>
          <w:rFonts w:ascii="Arial" w:eastAsia="Calibri" w:hAnsi="Arial" w:cs="Times New Roman"/>
          <w:iCs/>
        </w:rPr>
        <w:t xml:space="preserve"> </w:t>
      </w:r>
      <w:r w:rsidR="00637ECD">
        <w:rPr>
          <w:rFonts w:ascii="Arial" w:eastAsia="Calibri" w:hAnsi="Arial" w:cs="Times New Roman"/>
          <w:iCs/>
        </w:rPr>
        <w:t xml:space="preserve">műszaki </w:t>
      </w:r>
      <w:r w:rsidR="00DD42BE">
        <w:rPr>
          <w:rFonts w:ascii="Arial" w:eastAsia="Calibri" w:hAnsi="Arial" w:cs="Times New Roman"/>
          <w:iCs/>
        </w:rPr>
        <w:t>notifikáció</w:t>
      </w:r>
      <w:r w:rsidR="00221F22">
        <w:rPr>
          <w:rFonts w:ascii="Arial" w:eastAsia="Calibri" w:hAnsi="Arial" w:cs="Times New Roman"/>
          <w:iCs/>
        </w:rPr>
        <w:t>s eljárásra</w:t>
      </w:r>
      <w:r w:rsidR="00221F22">
        <w:rPr>
          <w:rStyle w:val="Lbjegyzet-hivatkozs"/>
          <w:rFonts w:ascii="Arial" w:eastAsia="Calibri" w:hAnsi="Arial" w:cs="Times New Roman"/>
          <w:iCs/>
        </w:rPr>
        <w:footnoteReference w:id="20"/>
      </w:r>
      <w:r w:rsidR="00DD42BE">
        <w:rPr>
          <w:rFonts w:ascii="Arial" w:eastAsia="Calibri" w:hAnsi="Arial" w:cs="Times New Roman"/>
          <w:iCs/>
        </w:rPr>
        <w:t xml:space="preserve"> küldött</w:t>
      </w:r>
      <w:r w:rsidR="008C63E0">
        <w:rPr>
          <w:rFonts w:ascii="Arial" w:eastAsia="Calibri" w:hAnsi="Arial" w:cs="Times New Roman"/>
          <w:iCs/>
        </w:rPr>
        <w:t xml:space="preserve"> NFFF módosító rendelettervezet </w:t>
      </w:r>
      <w:r w:rsidR="00DD42BE">
        <w:rPr>
          <w:rFonts w:ascii="Arial" w:eastAsia="Calibri" w:hAnsi="Arial" w:cs="Times New Roman"/>
          <w:iCs/>
        </w:rPr>
        <w:t xml:space="preserve">kidolgozása során </w:t>
      </w:r>
      <w:r w:rsidR="00A57800">
        <w:rPr>
          <w:rFonts w:ascii="Arial" w:eastAsia="Calibri" w:hAnsi="Arial" w:cs="Times New Roman"/>
          <w:iCs/>
        </w:rPr>
        <w:t xml:space="preserve">az NMHH </w:t>
      </w:r>
      <w:r w:rsidR="008C63E0">
        <w:rPr>
          <w:rFonts w:ascii="Arial" w:eastAsia="Calibri" w:hAnsi="Arial" w:cs="Times New Roman"/>
          <w:iCs/>
        </w:rPr>
        <w:t>további lépéseket tett az 5G bevezetésének elősegítésére</w:t>
      </w:r>
      <w:r w:rsidR="0084474B">
        <w:rPr>
          <w:rFonts w:ascii="Arial" w:eastAsia="Calibri" w:hAnsi="Arial" w:cs="Times New Roman"/>
          <w:iCs/>
        </w:rPr>
        <w:t>.</w:t>
      </w:r>
      <w:r w:rsidR="008C63E0">
        <w:rPr>
          <w:rFonts w:ascii="Arial" w:eastAsia="Calibri" w:hAnsi="Arial" w:cs="Times New Roman"/>
          <w:iCs/>
        </w:rPr>
        <w:t xml:space="preserve"> </w:t>
      </w:r>
      <w:r w:rsidR="00A57800">
        <w:rPr>
          <w:rFonts w:ascii="Arial" w:eastAsia="Calibri" w:hAnsi="Arial" w:cs="Times New Roman"/>
          <w:iCs/>
        </w:rPr>
        <w:t>A</w:t>
      </w:r>
      <w:r w:rsidR="008C63E0">
        <w:rPr>
          <w:rFonts w:ascii="Arial" w:eastAsia="Calibri" w:hAnsi="Arial" w:cs="Times New Roman"/>
          <w:iCs/>
        </w:rPr>
        <w:t xml:space="preserve"> 24,25-24,5 </w:t>
      </w:r>
      <w:proofErr w:type="spellStart"/>
      <w:r w:rsidR="008C63E0">
        <w:rPr>
          <w:rFonts w:ascii="Arial" w:eastAsia="Calibri" w:hAnsi="Arial" w:cs="Times New Roman"/>
          <w:iCs/>
        </w:rPr>
        <w:t>GHz</w:t>
      </w:r>
      <w:proofErr w:type="spellEnd"/>
      <w:r w:rsidR="008C63E0">
        <w:rPr>
          <w:rFonts w:ascii="Arial" w:eastAsia="Calibri" w:hAnsi="Arial" w:cs="Times New Roman"/>
          <w:iCs/>
        </w:rPr>
        <w:t xml:space="preserve"> sávrészből </w:t>
      </w:r>
      <w:r w:rsidR="00A57800">
        <w:rPr>
          <w:rFonts w:ascii="Arial" w:eastAsia="Calibri" w:hAnsi="Arial" w:cs="Times New Roman"/>
          <w:iCs/>
        </w:rPr>
        <w:t xml:space="preserve">törlésre került </w:t>
      </w:r>
      <w:r w:rsidR="008C63E0">
        <w:rPr>
          <w:rFonts w:ascii="Arial" w:eastAsia="Calibri" w:hAnsi="Arial" w:cs="Times New Roman"/>
          <w:iCs/>
        </w:rPr>
        <w:t xml:space="preserve">a műsor- és híranyag átviteli alkalmazást, valamint bekerültek a 24,25-27,5 </w:t>
      </w:r>
      <w:proofErr w:type="spellStart"/>
      <w:r w:rsidR="008C63E0">
        <w:rPr>
          <w:rFonts w:ascii="Arial" w:eastAsia="Calibri" w:hAnsi="Arial" w:cs="Times New Roman"/>
          <w:iCs/>
        </w:rPr>
        <w:t>GHz</w:t>
      </w:r>
      <w:proofErr w:type="spellEnd"/>
      <w:r w:rsidR="008C63E0">
        <w:rPr>
          <w:rFonts w:ascii="Arial" w:eastAsia="Calibri" w:hAnsi="Arial" w:cs="Times New Roman"/>
          <w:iCs/>
        </w:rPr>
        <w:t xml:space="preserve"> </w:t>
      </w:r>
      <w:r w:rsidR="000539FF" w:rsidRPr="00426D01">
        <w:t>frekvencia</w:t>
      </w:r>
      <w:r w:rsidR="008C63E0">
        <w:rPr>
          <w:rFonts w:ascii="Arial" w:eastAsia="Calibri" w:hAnsi="Arial" w:cs="Times New Roman"/>
          <w:iCs/>
        </w:rPr>
        <w:t xml:space="preserve">sáv IMT használatára </w:t>
      </w:r>
      <w:r w:rsidR="00B60818">
        <w:rPr>
          <w:rFonts w:ascii="Arial" w:eastAsia="Calibri" w:hAnsi="Arial" w:cs="Times New Roman"/>
          <w:iCs/>
        </w:rPr>
        <w:t xml:space="preserve">a </w:t>
      </w:r>
      <w:r w:rsidR="008C63E0">
        <w:rPr>
          <w:rFonts w:ascii="Arial" w:eastAsia="Calibri" w:hAnsi="Arial" w:cs="Times New Roman"/>
          <w:iCs/>
        </w:rPr>
        <w:t xml:space="preserve">Nemzetközi Rádiószabályzat </w:t>
      </w:r>
      <w:r w:rsidR="00B60818">
        <w:rPr>
          <w:rFonts w:ascii="Arial" w:eastAsia="Calibri" w:hAnsi="Arial" w:cs="Times New Roman"/>
          <w:iCs/>
        </w:rPr>
        <w:t>(</w:t>
      </w:r>
      <w:r w:rsidR="009D03D9">
        <w:t>RR</w:t>
      </w:r>
      <w:r w:rsidR="009D03D9">
        <w:rPr>
          <w:rStyle w:val="Lbjegyzet-hivatkozs"/>
        </w:rPr>
        <w:footnoteReference w:id="21"/>
      </w:r>
      <w:r w:rsidR="00B60818">
        <w:rPr>
          <w:rFonts w:ascii="Arial" w:eastAsia="Calibri" w:hAnsi="Arial" w:cs="Times New Roman"/>
          <w:iCs/>
        </w:rPr>
        <w:t xml:space="preserve">) vonatkozó </w:t>
      </w:r>
      <w:r w:rsidR="008C63E0">
        <w:rPr>
          <w:rFonts w:ascii="Arial" w:eastAsia="Calibri" w:hAnsi="Arial" w:cs="Times New Roman"/>
          <w:iCs/>
        </w:rPr>
        <w:t>lábjegyzet</w:t>
      </w:r>
      <w:r w:rsidR="00F32D91">
        <w:rPr>
          <w:rFonts w:ascii="Arial" w:eastAsia="Calibri" w:hAnsi="Arial" w:cs="Times New Roman"/>
          <w:iCs/>
        </w:rPr>
        <w:t>ei</w:t>
      </w:r>
      <w:r w:rsidR="008C63E0">
        <w:rPr>
          <w:rFonts w:ascii="Arial" w:eastAsia="Calibri" w:hAnsi="Arial" w:cs="Times New Roman"/>
          <w:iCs/>
        </w:rPr>
        <w:t xml:space="preserve"> a WRC-19 döntésével összhangban.</w:t>
      </w:r>
      <w:r w:rsidR="00202CF5">
        <w:rPr>
          <w:rFonts w:ascii="Arial" w:eastAsia="Calibri" w:hAnsi="Arial" w:cs="Times New Roman"/>
          <w:iCs/>
        </w:rPr>
        <w:t xml:space="preserve"> </w:t>
      </w:r>
    </w:p>
    <w:p w14:paraId="1FED675A" w14:textId="2F4AFDFC" w:rsidR="008C63E0" w:rsidRDefault="008C63E0" w:rsidP="008C63E0">
      <w:pPr>
        <w:pStyle w:val="Behzottbekezdsnmhh"/>
        <w:tabs>
          <w:tab w:val="left" w:pos="977"/>
        </w:tabs>
      </w:pPr>
      <w:r>
        <w:t>A 26 </w:t>
      </w:r>
      <w:proofErr w:type="spellStart"/>
      <w:r>
        <w:t>GHz</w:t>
      </w:r>
      <w:proofErr w:type="spellEnd"/>
      <w:r>
        <w:t xml:space="preserve">-es </w:t>
      </w:r>
      <w:r w:rsidR="000539FF" w:rsidRPr="00426D01">
        <w:t>frekvencia</w:t>
      </w:r>
      <w:r>
        <w:t>sáv</w:t>
      </w:r>
      <w:r w:rsidR="00A96819">
        <w:t>ban a</w:t>
      </w:r>
      <w:r>
        <w:t xml:space="preserve"> mobil célú </w:t>
      </w:r>
      <w:r w:rsidR="00A96819">
        <w:t xml:space="preserve">használatot lehetővé tevő szabályozási rendszer szinte teljesen kész, viszont egy fontos elem, a </w:t>
      </w:r>
      <w:r w:rsidR="00A57800">
        <w:t xml:space="preserve">nemzetközi </w:t>
      </w:r>
      <w:r w:rsidR="00A96819">
        <w:t>koordinációra vonatkozó szál még nem került megnyugtatóan lezárásra.</w:t>
      </w:r>
      <w:r>
        <w:t xml:space="preserve"> </w:t>
      </w:r>
      <w:r w:rsidR="0084474B">
        <w:t>A</w:t>
      </w:r>
      <w:r>
        <w:t xml:space="preserve"> nemzetközi koordinációra vonatkozó ajánlás 2022 közepére várható. A tanulmányok azt mutatják, hogy a meglevő állandóhelyű és a lehetséges jövőbe</w:t>
      </w:r>
      <w:r w:rsidR="00F32D91">
        <w:t>n</w:t>
      </w:r>
      <w:r>
        <w:t xml:space="preserve">i MFCN rendszerek együttélése összeférhetőségi problémákat okozhat. Az együttélés különféle zavarcsökkentő technikák alkalmazásával biztosítható, de </w:t>
      </w:r>
      <w:r w:rsidR="00BE2C21">
        <w:t xml:space="preserve">ez </w:t>
      </w:r>
      <w:r>
        <w:t>mindenképpen csökken</w:t>
      </w:r>
      <w:r w:rsidR="00BE2C21">
        <w:t>t</w:t>
      </w:r>
      <w:r>
        <w:t>e</w:t>
      </w:r>
      <w:r w:rsidR="00BE2C21">
        <w:t>né</w:t>
      </w:r>
      <w:r>
        <w:t xml:space="preserve"> a használható frekvencia mennyiség</w:t>
      </w:r>
      <w:r w:rsidR="00BE2C21">
        <w:t>ét</w:t>
      </w:r>
      <w:r>
        <w:t>, illetve a lefedett földrajzi terület</w:t>
      </w:r>
      <w:r w:rsidR="00BE2C21">
        <w:t>et</w:t>
      </w:r>
      <w:r>
        <w:t xml:space="preserve">, azaz kevésbé lenne hatékony a használat. </w:t>
      </w:r>
      <w:r w:rsidRPr="001703B3">
        <w:t>Az 5G bevezetése esetén, a növekvő adatátvitel miatt szükség lesz a bázisállomások sűrítésére, ami a felhordó hálózati összeköttetések jelentősebb használatával jár, azaz emiatt is elkerülhetetlen egy másik sáv biztosítása</w:t>
      </w:r>
      <w:r>
        <w:t xml:space="preserve">. </w:t>
      </w:r>
    </w:p>
    <w:p w14:paraId="71A2BD1C" w14:textId="200EB5E2" w:rsidR="008C63E0" w:rsidRDefault="008C63E0" w:rsidP="008C63E0">
      <w:pPr>
        <w:pStyle w:val="Behzottbekezdsnmhh"/>
        <w:tabs>
          <w:tab w:val="left" w:pos="977"/>
        </w:tabs>
      </w:pPr>
      <w:r>
        <w:t xml:space="preserve">Az eddigiekben </w:t>
      </w:r>
      <w:r w:rsidR="00DD42BE">
        <w:t xml:space="preserve">felvázoltak </w:t>
      </w:r>
      <w:r>
        <w:t xml:space="preserve">alapján az NMHH </w:t>
      </w:r>
      <w:r w:rsidR="00BE2C21">
        <w:t>arra a következtetésre jutott</w:t>
      </w:r>
      <w:r>
        <w:t>, hogy csak akkor lehetséges az MFCN számára elérhetővé tenni a</w:t>
      </w:r>
      <w:r w:rsidR="002E1847">
        <w:t xml:space="preserve"> teljes </w:t>
      </w:r>
      <w:r>
        <w:t>26 </w:t>
      </w:r>
      <w:proofErr w:type="spellStart"/>
      <w:r>
        <w:t>GHz</w:t>
      </w:r>
      <w:proofErr w:type="spellEnd"/>
      <w:r>
        <w:t xml:space="preserve">-es </w:t>
      </w:r>
      <w:r w:rsidR="000539FF" w:rsidRPr="00426D01">
        <w:t>frekvencia</w:t>
      </w:r>
      <w:r>
        <w:t xml:space="preserve">sávot, ha </w:t>
      </w:r>
      <w:r w:rsidR="00BE2C21">
        <w:t xml:space="preserve">azt megelőzően </w:t>
      </w:r>
      <w:r>
        <w:t xml:space="preserve">másik </w:t>
      </w:r>
      <w:r w:rsidR="000539FF" w:rsidRPr="00426D01">
        <w:t>frekvencia</w:t>
      </w:r>
      <w:r>
        <w:t xml:space="preserve">sáv használatának lehetővé tételével gondoskodunk a felhordóhálózati rendszerek folyamatos működtetéséről. </w:t>
      </w:r>
      <w:r w:rsidR="00BE2C21">
        <w:t>Ebben a nyilvános meghallgatáson elhangzottak megerősítették az NMHH-át. Ennek megfelelően</w:t>
      </w:r>
      <w:r>
        <w:t xml:space="preserve"> </w:t>
      </w:r>
      <w:r w:rsidR="00A911D5">
        <w:t xml:space="preserve">a </w:t>
      </w:r>
      <w:r>
        <w:t>32 </w:t>
      </w:r>
      <w:proofErr w:type="spellStart"/>
      <w:r>
        <w:t>GHz</w:t>
      </w:r>
      <w:proofErr w:type="spellEnd"/>
      <w:r>
        <w:t xml:space="preserve">-es </w:t>
      </w:r>
      <w:r w:rsidR="000539FF" w:rsidRPr="00426D01">
        <w:t>frekvencia</w:t>
      </w:r>
      <w:r>
        <w:t>sáv lett erre a célra kijelölve, amelyre vonatkozóan a sávhasználati feltételek az NFFF-</w:t>
      </w:r>
      <w:proofErr w:type="spellStart"/>
      <w:r>
        <w:t>ben</w:t>
      </w:r>
      <w:proofErr w:type="spellEnd"/>
      <w:r>
        <w:t xml:space="preserve"> meghatározásra kerültek. </w:t>
      </w:r>
    </w:p>
    <w:p w14:paraId="17ACA7BC" w14:textId="6AFE87BB" w:rsidR="00D37C1D" w:rsidRDefault="00D37C1D" w:rsidP="00D37C1D">
      <w:pPr>
        <w:pStyle w:val="Behzottbekezdsnmhh"/>
        <w:tabs>
          <w:tab w:val="left" w:pos="977"/>
        </w:tabs>
      </w:pPr>
      <w:r>
        <w:t>A CEPT vonatkozó határozatának megfontolásai között szerepel, hogy az I</w:t>
      </w:r>
      <w:r w:rsidRPr="00A6000D">
        <w:t>MT-2020/5G rendszerek teljes képességének lehetővé tétele érdekében</w:t>
      </w:r>
      <w:r>
        <w:t xml:space="preserve"> egy-egy hálózat üzemeltetőnek legalább 800-1000 MHz egybefüggő felhasználói blokkra van szüksége. </w:t>
      </w:r>
      <w:r w:rsidR="00F32D91">
        <w:t>A</w:t>
      </w:r>
      <w:r w:rsidR="00AB7288">
        <w:t>z NMHH korlátozni kívánja a lehetséges jogosultak számát, és versenyeztetési eljárást tart indokoltnak, legalábbis a sáv jelentős részében tekintettel</w:t>
      </w:r>
      <w:r>
        <w:t xml:space="preserve"> a 26 </w:t>
      </w:r>
      <w:proofErr w:type="spellStart"/>
      <w:r>
        <w:t>GHz</w:t>
      </w:r>
      <w:proofErr w:type="spellEnd"/>
      <w:r>
        <w:t>-es frekvenciasáv lehetséges használat</w:t>
      </w:r>
      <w:r w:rsidR="00AB7288">
        <w:t>á</w:t>
      </w:r>
      <w:r>
        <w:t xml:space="preserve">ra, azaz </w:t>
      </w:r>
      <w:r w:rsidRPr="0071427B">
        <w:t xml:space="preserve">vezetéknélküli szélessávú elektronikus hírközlési szolgáltatás nyújtására alkalmas </w:t>
      </w:r>
      <w:r w:rsidR="00F53429" w:rsidRPr="00F53429">
        <w:t xml:space="preserve">földfelszíni </w:t>
      </w:r>
      <w:r w:rsidRPr="0071427B">
        <w:t>rendszerek</w:t>
      </w:r>
      <w:r>
        <w:t xml:space="preserve"> üzemeltetésére</w:t>
      </w:r>
      <w:r w:rsidR="00AB7288">
        <w:t>, különösen a tervezett 5G használatra</w:t>
      </w:r>
      <w:r>
        <w:t>, az országos egész területére kiterjedő szolgáltatásnyújtásra alkalmaságra és a rendelkezésre álló rádióspektrum mennyiségére. Az</w:t>
      </w:r>
      <w:r w:rsidRPr="00355337">
        <w:t xml:space="preserve"> engedélyek számának korlátozása a </w:t>
      </w:r>
      <w:r w:rsidR="00B60818">
        <w:t>rádió</w:t>
      </w:r>
      <w:r w:rsidRPr="00355337">
        <w:t xml:space="preserve">spektrum hatékony kihasználásának biztosítása érdekében </w:t>
      </w:r>
      <w:r>
        <w:t>szükséges</w:t>
      </w:r>
      <w:r w:rsidRPr="00355337">
        <w:t xml:space="preserve">. </w:t>
      </w:r>
      <w:r>
        <w:t>Ezek mellett tartja lehetségesnek az NMHH a helyi igények kielégítését, amennyiben arra ténylegesen jelentkezik megalapozott piaci igény, egyéb elosztási mód előírásával.</w:t>
      </w:r>
    </w:p>
    <w:p w14:paraId="6F791130" w14:textId="149FC6DE" w:rsidR="001C76E1" w:rsidRDefault="001C76E1" w:rsidP="008C63E0">
      <w:pPr>
        <w:pStyle w:val="Behzottbekezdsnmhh"/>
        <w:tabs>
          <w:tab w:val="left" w:pos="977"/>
        </w:tabs>
      </w:pPr>
      <w:r w:rsidRPr="001C76E1">
        <w:lastRenderedPageBreak/>
        <w:t xml:space="preserve">A Kódex </w:t>
      </w:r>
      <w:r w:rsidRPr="003C53E6">
        <w:t xml:space="preserve">implementálásával az </w:t>
      </w:r>
      <w:proofErr w:type="spellStart"/>
      <w:r w:rsidRPr="003C53E6">
        <w:t>Eht</w:t>
      </w:r>
      <w:proofErr w:type="spellEnd"/>
      <w:r w:rsidRPr="003C53E6">
        <w:t>.</w:t>
      </w:r>
      <w:r w:rsidR="00A05450" w:rsidRPr="003C53E6">
        <w:rPr>
          <w:rStyle w:val="Lbjegyzet-hivatkozs"/>
        </w:rPr>
        <w:footnoteReference w:id="22"/>
      </w:r>
      <w:r w:rsidRPr="003C53E6">
        <w:t xml:space="preserve"> 55/</w:t>
      </w:r>
      <w:r w:rsidR="00A05450" w:rsidRPr="003C53E6">
        <w:t>B</w:t>
      </w:r>
      <w:r w:rsidRPr="003C53E6">
        <w:t>. § (4) bekezdése</w:t>
      </w:r>
      <w:r w:rsidRPr="001C76E1">
        <w:t xml:space="preserve"> alapján lehetőség nyílt arra is, hogy az NMHH átmeneti időre, de legfeljebb három évre engedélyezze az Elnök rendeletében meghatározott sávokban a rádióspektrum-használati jogosultsággal érintett rádióspektrum egészének vagy részének harmonizált használata helyett más, alternatív használati mód alkalmazását</w:t>
      </w:r>
      <w:r>
        <w:t xml:space="preserve">. Ennek feltétele, hogy nyilvános meghallgatáson ne jelentkezzen megalapozott igény harmonizált használatra és a tervezett használat ne akadályozza szomszédos tagállamok harmonizációnak megfelelő használatát. </w:t>
      </w:r>
    </w:p>
    <w:p w14:paraId="2D064166" w14:textId="5D06B0E9" w:rsidR="001C76E1" w:rsidRDefault="001C76E1" w:rsidP="008C63E0">
      <w:pPr>
        <w:pStyle w:val="Behzottbekezdsnmhh"/>
        <w:tabs>
          <w:tab w:val="left" w:pos="977"/>
        </w:tabs>
      </w:pPr>
      <w:r>
        <w:t>A nyilvános meghallgatással az NMHH célja a jelenlegi jogosultak terv</w:t>
      </w:r>
      <w:r w:rsidR="008257C5">
        <w:t>e</w:t>
      </w:r>
      <w:r>
        <w:t>inek, igényeinek megismerése, a jelenlegi jogosultakon kívüli igények felmérése. A jelentkező igények vizsgálatát követően dönt az NMHH a lehetséges és szükséges szabályozói lépésekről.</w:t>
      </w:r>
    </w:p>
    <w:p w14:paraId="033DD9AA" w14:textId="77777777" w:rsidR="004942E2" w:rsidRDefault="004942E2">
      <w:pPr>
        <w:spacing w:after="200"/>
        <w:jc w:val="left"/>
        <w:rPr>
          <w:sz w:val="20"/>
          <w:szCs w:val="20"/>
        </w:rPr>
      </w:pPr>
      <w:r>
        <w:br w:type="page"/>
      </w:r>
    </w:p>
    <w:p w14:paraId="6B95CEAD" w14:textId="77777777" w:rsidR="008C63E0" w:rsidRPr="00B54752" w:rsidRDefault="008C63E0" w:rsidP="008C63E0">
      <w:pPr>
        <w:pStyle w:val="Behzottbekezdsnmhh"/>
        <w:tabs>
          <w:tab w:val="left" w:pos="977"/>
        </w:tabs>
      </w:pPr>
    </w:p>
    <w:p w14:paraId="5F7D3EF7" w14:textId="2B43FAA8" w:rsidR="008C63E0" w:rsidRDefault="008C63E0" w:rsidP="008C63E0">
      <w:pPr>
        <w:pStyle w:val="Cmsor1szmozottnmhh"/>
        <w:pageBreakBefore w:val="0"/>
        <w:ind w:left="431" w:hanging="431"/>
      </w:pPr>
      <w:bookmarkStart w:id="11" w:name="_Toc26254664"/>
      <w:bookmarkStart w:id="12" w:name="_Toc92461617"/>
      <w:bookmarkStart w:id="13" w:name="_Toc96075600"/>
      <w:r>
        <w:t>A 26 </w:t>
      </w:r>
      <w:proofErr w:type="spellStart"/>
      <w:r>
        <w:t>GHz</w:t>
      </w:r>
      <w:proofErr w:type="spellEnd"/>
      <w:r>
        <w:t xml:space="preserve">-es </w:t>
      </w:r>
      <w:r w:rsidR="000539FF" w:rsidRPr="00426D01">
        <w:t>frekvencia</w:t>
      </w:r>
      <w:r>
        <w:t>sáv szabályozása</w:t>
      </w:r>
      <w:bookmarkEnd w:id="11"/>
      <w:bookmarkEnd w:id="12"/>
      <w:bookmarkEnd w:id="13"/>
    </w:p>
    <w:p w14:paraId="62E56F2E" w14:textId="77777777" w:rsidR="008C63E0" w:rsidRDefault="008C63E0" w:rsidP="008C63E0">
      <w:pPr>
        <w:pStyle w:val="Cmsor2szmozottnmhh"/>
        <w:ind w:left="578" w:hanging="578"/>
      </w:pPr>
      <w:bookmarkStart w:id="14" w:name="_Toc473880715"/>
      <w:bookmarkStart w:id="15" w:name="_Toc26254665"/>
      <w:bookmarkStart w:id="16" w:name="_Toc92461618"/>
      <w:bookmarkStart w:id="17" w:name="_Toc96075601"/>
      <w:r>
        <w:t>Nemzetközi szabályozás</w:t>
      </w:r>
      <w:bookmarkEnd w:id="14"/>
      <w:bookmarkEnd w:id="15"/>
      <w:bookmarkEnd w:id="16"/>
      <w:bookmarkEnd w:id="17"/>
    </w:p>
    <w:p w14:paraId="16E735AB" w14:textId="77777777" w:rsidR="008C63E0" w:rsidRDefault="008C63E0" w:rsidP="008C63E0">
      <w:pPr>
        <w:pStyle w:val="Cmsor3szmozottnmhh"/>
        <w:ind w:left="1996"/>
      </w:pPr>
      <w:bookmarkStart w:id="18" w:name="_Toc473880717"/>
      <w:bookmarkStart w:id="19" w:name="_Toc26254666"/>
      <w:bookmarkStart w:id="20" w:name="_Toc92461619"/>
      <w:bookmarkStart w:id="21" w:name="_Toc473880716"/>
      <w:bookmarkStart w:id="22" w:name="_Toc96075602"/>
      <w:r>
        <w:t>ITU</w:t>
      </w:r>
      <w:bookmarkEnd w:id="18"/>
      <w:bookmarkEnd w:id="19"/>
      <w:bookmarkEnd w:id="20"/>
      <w:bookmarkEnd w:id="22"/>
    </w:p>
    <w:p w14:paraId="3F02A18F" w14:textId="7D3020AA" w:rsidR="008C63E0" w:rsidRDefault="00D26F49" w:rsidP="008C63E0">
      <w:pPr>
        <w:pStyle w:val="Behzottbekezdsnmhh"/>
      </w:pPr>
      <w:r>
        <w:t>A nemzetközi</w:t>
      </w:r>
      <w:r w:rsidR="008C63E0">
        <w:t xml:space="preserve"> </w:t>
      </w:r>
      <w:r w:rsidR="008C63E0" w:rsidRPr="00505E60">
        <w:t>szabályozás alapját az ITU</w:t>
      </w:r>
      <w:r w:rsidR="008C63E0">
        <w:rPr>
          <w:rStyle w:val="Lbjegyzet-hivatkozs"/>
        </w:rPr>
        <w:footnoteReference w:id="23"/>
      </w:r>
      <w:r w:rsidR="008C63E0" w:rsidRPr="00505E60">
        <w:t xml:space="preserve"> által elfogad</w:t>
      </w:r>
      <w:r w:rsidR="008C63E0">
        <w:t xml:space="preserve">ott Nemzetközi Rádiószabályzat </w:t>
      </w:r>
      <w:r w:rsidR="009D03D9">
        <w:t xml:space="preserve">(RR) </w:t>
      </w:r>
      <w:r w:rsidR="008C63E0">
        <w:t>adja</w:t>
      </w:r>
      <w:r w:rsidR="009D03D9">
        <w:t xml:space="preserve">, amely </w:t>
      </w:r>
      <w:r w:rsidR="008C63E0" w:rsidRPr="00505E60">
        <w:t xml:space="preserve">szerint az Európát is magában foglaló 1. Körzetben a 24,25-27,5 </w:t>
      </w:r>
      <w:proofErr w:type="spellStart"/>
      <w:r w:rsidR="008C63E0" w:rsidRPr="00505E60">
        <w:t>GHz</w:t>
      </w:r>
      <w:proofErr w:type="spellEnd"/>
      <w:r w:rsidR="008C63E0" w:rsidRPr="00505E60">
        <w:t xml:space="preserve"> </w:t>
      </w:r>
      <w:r w:rsidR="000539FF" w:rsidRPr="00426D01">
        <w:t>frekvencia</w:t>
      </w:r>
      <w:r w:rsidR="008C63E0" w:rsidRPr="00505E60">
        <w:t xml:space="preserve">sáv </w:t>
      </w:r>
      <w:r w:rsidR="008C63E0">
        <w:t xml:space="preserve">többek között </w:t>
      </w:r>
      <w:r w:rsidR="008C63E0" w:rsidRPr="00505E60">
        <w:t xml:space="preserve">állandóhelyű </w:t>
      </w:r>
      <w:r w:rsidR="008C63E0">
        <w:t>és mozgó</w:t>
      </w:r>
      <w:r w:rsidR="008C63E0" w:rsidRPr="00505E60">
        <w:t>szolgálatra</w:t>
      </w:r>
      <w:r w:rsidR="008C63E0">
        <w:t xml:space="preserve"> is fel van osztva elsődleges jelleggel</w:t>
      </w:r>
      <w:r w:rsidR="008C63E0" w:rsidRPr="00505E60">
        <w:t xml:space="preserve">, </w:t>
      </w:r>
      <w:r w:rsidR="008C63E0">
        <w:t>amelynek keretében a teljes sávban lehetőség van MFCN rendszereket üzemeltetni</w:t>
      </w:r>
      <w:r w:rsidR="008C63E0" w:rsidRPr="00505E60">
        <w:t xml:space="preserve">. </w:t>
      </w:r>
    </w:p>
    <w:p w14:paraId="62FCCCE1" w14:textId="7176AF24" w:rsidR="008C63E0" w:rsidRDefault="008C63E0" w:rsidP="008C63E0">
      <w:pPr>
        <w:pStyle w:val="Behzottbekezdsnmhh"/>
        <w:rPr>
          <w:i/>
        </w:rPr>
      </w:pPr>
      <w:r>
        <w:t>Az RR szerinti felosztási táblázat</w:t>
      </w:r>
      <w:r w:rsidR="00D26F49">
        <w:t>ot</w:t>
      </w:r>
      <w:r>
        <w:t xml:space="preserve"> a</w:t>
      </w:r>
      <w:r w:rsidR="00D26F49">
        <w:t>z NFFF 1. melléklete tartalmazza.</w:t>
      </w:r>
      <w:r>
        <w:t xml:space="preserve"> </w:t>
      </w:r>
    </w:p>
    <w:p w14:paraId="7FCFD262" w14:textId="7129E83E" w:rsidR="008C63E0" w:rsidRDefault="008C63E0" w:rsidP="008C63E0">
      <w:pPr>
        <w:pStyle w:val="Behzottbekezdsnmhh"/>
      </w:pPr>
      <w:r>
        <w:t xml:space="preserve">A WRC-15-ön az a döntés született, hogy a WRC-19 napirendi pontjai közé kerüljön be a magasabb frekvenciasávok </w:t>
      </w:r>
      <w:r w:rsidRPr="00EA6166">
        <w:t>IMT</w:t>
      </w:r>
      <w:r>
        <w:rPr>
          <w:rStyle w:val="Lbjegyzet-hivatkozs"/>
        </w:rPr>
        <w:footnoteReference w:id="24"/>
      </w:r>
      <w:r>
        <w:t xml:space="preserve"> rendszerekre való azonosítási lehetőségének vizsgálata (WRC-19 </w:t>
      </w:r>
      <w:r w:rsidR="00D20534">
        <w:t xml:space="preserve">1.13. </w:t>
      </w:r>
      <w:r>
        <w:t>napirendi pont). Ennek kapcsán meghatározták azokat a frekvenciasávokat, amelyeket a WRC-19 felkészülési időszakában vizsgálni kellett, köztük a 26 </w:t>
      </w:r>
      <w:proofErr w:type="spellStart"/>
      <w:r>
        <w:t>GHz</w:t>
      </w:r>
      <w:proofErr w:type="spellEnd"/>
      <w:r>
        <w:t xml:space="preserve">-es </w:t>
      </w:r>
      <w:r w:rsidR="000539FF" w:rsidRPr="00426D01">
        <w:t>frekvencia</w:t>
      </w:r>
      <w:r>
        <w:t xml:space="preserve">sávot. A WRC-19 döntésének értelmében a 24,25-25,25 </w:t>
      </w:r>
      <w:proofErr w:type="spellStart"/>
      <w:r>
        <w:t>GHz</w:t>
      </w:r>
      <w:proofErr w:type="spellEnd"/>
      <w:r>
        <w:t xml:space="preserve"> </w:t>
      </w:r>
      <w:r w:rsidR="000539FF" w:rsidRPr="00426D01">
        <w:t>frekvencia</w:t>
      </w:r>
      <w:r>
        <w:t xml:space="preserve">sáv (ahol az 1. Körzetben nem volt </w:t>
      </w:r>
      <w:r w:rsidR="00DD42BE">
        <w:t xml:space="preserve">előtte </w:t>
      </w:r>
      <w:r>
        <w:t xml:space="preserve">mozgószolgálati felosztás) elsődleges jelleggel fel lett osztva mozgószolgálat, kivéve légi mozgószolgálat számára és a teljes 24,25-27,5 </w:t>
      </w:r>
      <w:proofErr w:type="spellStart"/>
      <w:r>
        <w:t>GHz</w:t>
      </w:r>
      <w:proofErr w:type="spellEnd"/>
      <w:r>
        <w:t xml:space="preserve"> </w:t>
      </w:r>
      <w:r w:rsidR="000539FF" w:rsidRPr="00426D01">
        <w:t>frekvencia</w:t>
      </w:r>
      <w:r>
        <w:t xml:space="preserve">sávba az RR-be a mozgószolgálati felosztáshoz be lett írva az 5.532AB lábjegyzet. A lábjegyzet értelmében </w:t>
      </w:r>
      <w:r>
        <w:rPr>
          <w:rFonts w:cs="Arial"/>
          <w:color w:val="000000" w:themeColor="text1"/>
        </w:rPr>
        <w:t>a</w:t>
      </w:r>
      <w:r w:rsidRPr="004374B2">
        <w:rPr>
          <w:rFonts w:cs="Arial"/>
          <w:color w:val="000000" w:themeColor="text1"/>
        </w:rPr>
        <w:t xml:space="preserve"> 24,25</w:t>
      </w:r>
      <w:r w:rsidRPr="004374B2">
        <w:rPr>
          <w:rFonts w:cs="Arial"/>
          <w:color w:val="000000" w:themeColor="text1"/>
        </w:rPr>
        <w:sym w:font="Symbol" w:char="F02D"/>
      </w:r>
      <w:r w:rsidRPr="004374B2">
        <w:rPr>
          <w:rFonts w:cs="Arial"/>
          <w:color w:val="000000" w:themeColor="text1"/>
        </w:rPr>
        <w:t>27,5 </w:t>
      </w:r>
      <w:proofErr w:type="spellStart"/>
      <w:r w:rsidRPr="004374B2">
        <w:rPr>
          <w:rFonts w:cs="Arial"/>
          <w:color w:val="000000" w:themeColor="text1"/>
        </w:rPr>
        <w:t>GHz</w:t>
      </w:r>
      <w:proofErr w:type="spellEnd"/>
      <w:r w:rsidRPr="004374B2">
        <w:rPr>
          <w:rFonts w:cs="Arial"/>
          <w:color w:val="000000" w:themeColor="text1"/>
        </w:rPr>
        <w:t xml:space="preserve"> frekvenciasáv azon igazgatások általi használatra van előirányozva, amelyek a nemzetközi mozgó távközlés (IMT) földfelszíni komponensét kívánják megvalósítani. Ez az előirányzás nem zárja ki, hogy ezen frekvenciasávot azon szolgálatok bármely alkalmazása használja, amelyek számára ezt felosztották, továbbá a Rádiószabályzatban sem állapít meg elsőbbséget. A </w:t>
      </w:r>
      <w:r w:rsidRPr="004374B2">
        <w:rPr>
          <w:rFonts w:cs="Arial"/>
          <w:b/>
          <w:color w:val="000000" w:themeColor="text1"/>
        </w:rPr>
        <w:t>242. (WRC</w:t>
      </w:r>
      <w:r w:rsidRPr="004374B2">
        <w:rPr>
          <w:rFonts w:cs="Arial"/>
          <w:b/>
          <w:color w:val="000000" w:themeColor="text1"/>
        </w:rPr>
        <w:noBreakHyphen/>
        <w:t>19)</w:t>
      </w:r>
      <w:r w:rsidRPr="004374B2">
        <w:rPr>
          <w:rFonts w:cs="Arial"/>
          <w:color w:val="000000" w:themeColor="text1"/>
        </w:rPr>
        <w:t xml:space="preserve"> Határozatot alkalmazni kell</w:t>
      </w:r>
      <w:r w:rsidRPr="0092034A">
        <w:rPr>
          <w:rFonts w:cs="Arial"/>
          <w:color w:val="000000" w:themeColor="text1"/>
        </w:rPr>
        <w:t>.</w:t>
      </w:r>
      <w:r w:rsidR="00D20534">
        <w:rPr>
          <w:rFonts w:cs="Arial"/>
          <w:color w:val="000000" w:themeColor="text1"/>
        </w:rPr>
        <w:t>”</w:t>
      </w:r>
      <w:r w:rsidRPr="0092034A">
        <w:rPr>
          <w:rFonts w:cs="Arial"/>
          <w:color w:val="000000" w:themeColor="text1"/>
        </w:rPr>
        <w:t xml:space="preserve"> </w:t>
      </w:r>
      <w:r>
        <w:t>Ennek köszönhetően</w:t>
      </w:r>
      <w:r w:rsidRPr="00610984">
        <w:t xml:space="preserve"> </w:t>
      </w:r>
      <w:r>
        <w:t xml:space="preserve">nemzetközi szabályozási szempontból </w:t>
      </w:r>
      <w:r w:rsidRPr="00610984">
        <w:t>világviszonylatban bevezethetővé vál</w:t>
      </w:r>
      <w:r>
        <w:t>t</w:t>
      </w:r>
      <w:r w:rsidRPr="00610984">
        <w:t xml:space="preserve"> az 5G a </w:t>
      </w:r>
      <w:r>
        <w:t xml:space="preserve">teljes 24,25-27,5 </w:t>
      </w:r>
      <w:proofErr w:type="spellStart"/>
      <w:r>
        <w:t>GHz</w:t>
      </w:r>
      <w:proofErr w:type="spellEnd"/>
      <w:r>
        <w:t xml:space="preserve"> </w:t>
      </w:r>
      <w:r w:rsidR="000539FF" w:rsidRPr="00426D01">
        <w:t>frekvencia</w:t>
      </w:r>
      <w:r w:rsidRPr="00610984">
        <w:t>sávban.</w:t>
      </w:r>
    </w:p>
    <w:p w14:paraId="62C6E353" w14:textId="77777777" w:rsidR="008C63E0" w:rsidRDefault="008C63E0" w:rsidP="008C63E0">
      <w:pPr>
        <w:pStyle w:val="Behzottbekezdsnmhh"/>
      </w:pPr>
    </w:p>
    <w:p w14:paraId="030BCC62" w14:textId="77777777" w:rsidR="008C63E0" w:rsidRDefault="008C63E0" w:rsidP="008C63E0">
      <w:pPr>
        <w:pStyle w:val="Cmsor3szmozottnmhh"/>
        <w:ind w:left="1996"/>
      </w:pPr>
      <w:bookmarkStart w:id="23" w:name="_Toc473880718"/>
      <w:bookmarkStart w:id="24" w:name="_Toc26254667"/>
      <w:bookmarkStart w:id="25" w:name="_Toc92461620"/>
      <w:bookmarkStart w:id="26" w:name="_Toc96075603"/>
      <w:r>
        <w:t>CEPT</w:t>
      </w:r>
      <w:bookmarkEnd w:id="23"/>
      <w:bookmarkEnd w:id="24"/>
      <w:bookmarkEnd w:id="25"/>
      <w:bookmarkEnd w:id="26"/>
    </w:p>
    <w:p w14:paraId="76AC8E49" w14:textId="7E4B03EF" w:rsidR="008C63E0" w:rsidRDefault="008C63E0" w:rsidP="008C63E0">
      <w:pPr>
        <w:pStyle w:val="Cmsor4szmozottnmhh"/>
      </w:pPr>
      <w:r>
        <w:t xml:space="preserve">Jelenleg üzemelő állandóhelyű rendszerekre vonatkozó </w:t>
      </w:r>
      <w:r w:rsidR="009F3A19">
        <w:t xml:space="preserve">CEPT </w:t>
      </w:r>
      <w:r>
        <w:t>szabályozás</w:t>
      </w:r>
    </w:p>
    <w:p w14:paraId="54DB79B0" w14:textId="1A77D930" w:rsidR="008C63E0" w:rsidRDefault="008C63E0" w:rsidP="008C63E0">
      <w:pPr>
        <w:pStyle w:val="Behzottbekezdsnmhh"/>
      </w:pPr>
      <w:r>
        <w:t xml:space="preserve">A 24,5-26,5 </w:t>
      </w:r>
      <w:proofErr w:type="spellStart"/>
      <w:r>
        <w:t>GHz</w:t>
      </w:r>
      <w:proofErr w:type="spellEnd"/>
      <w:r>
        <w:t xml:space="preserve">-es </w:t>
      </w:r>
      <w:r w:rsidR="000539FF" w:rsidRPr="00426D01">
        <w:t>frekvencia</w:t>
      </w:r>
      <w:r>
        <w:t xml:space="preserve">sávban jelenleg használt elsődleges állandóhelyű alkalmazásokra vonatkozóan a következő CEPT dokumentumok alkotják a szabályozási keretet. </w:t>
      </w:r>
      <w:r w:rsidRPr="00D71594">
        <w:t>Ezek alapján dolgoztuk ki a nemzeti frekvenciagazdálkodási követelményeket is.</w:t>
      </w:r>
    </w:p>
    <w:p w14:paraId="02D82663" w14:textId="0C948455" w:rsidR="008C63E0" w:rsidRDefault="008C63E0" w:rsidP="008C63E0">
      <w:pPr>
        <w:pStyle w:val="Behzottbekezdsnmhh"/>
        <w:rPr>
          <w:i/>
        </w:rPr>
      </w:pPr>
      <w:r w:rsidRPr="00913C27">
        <w:t>CEPT szinten</w:t>
      </w:r>
      <w:r>
        <w:t xml:space="preserve"> </w:t>
      </w:r>
      <w:r w:rsidR="008F40DD">
        <w:rPr>
          <w:i/>
        </w:rPr>
        <w:t xml:space="preserve">a </w:t>
      </w:r>
      <w:r w:rsidR="00150A8F">
        <w:rPr>
          <w:i/>
        </w:rPr>
        <w:t xml:space="preserve">T/R 13-02 </w:t>
      </w:r>
      <w:r w:rsidR="008F40DD">
        <w:rPr>
          <w:i/>
        </w:rPr>
        <w:t>A</w:t>
      </w:r>
      <w:r>
        <w:rPr>
          <w:i/>
        </w:rPr>
        <w:t>jánlás</w:t>
      </w:r>
      <w:r>
        <w:rPr>
          <w:rStyle w:val="Lbjegyzet-hivatkozs"/>
          <w:i/>
        </w:rPr>
        <w:footnoteReference w:id="25"/>
      </w:r>
      <w:r>
        <w:rPr>
          <w:i/>
        </w:rPr>
        <w:t xml:space="preserve"> </w:t>
      </w:r>
      <w:r w:rsidRPr="00604885">
        <w:t>szabályozza</w:t>
      </w:r>
      <w:r>
        <w:t xml:space="preserve"> a csatornaelrendezést digitális állandóhelyű pont-pont rendszerekre a 22-29,5 </w:t>
      </w:r>
      <w:proofErr w:type="spellStart"/>
      <w:r>
        <w:t>GHz</w:t>
      </w:r>
      <w:proofErr w:type="spellEnd"/>
      <w:r>
        <w:t xml:space="preserve"> </w:t>
      </w:r>
      <w:r w:rsidR="000539FF" w:rsidRPr="00426D01">
        <w:t>frekvencia</w:t>
      </w:r>
      <w:r>
        <w:t>tartományra vonatko</w:t>
      </w:r>
      <w:r w:rsidR="00A77B04">
        <w:t>zóan. Az ajánlást legutóbb 2019</w:t>
      </w:r>
      <w:r>
        <w:t xml:space="preserve"> májusában módosították, amikor lehetővé tették 224 MHz </w:t>
      </w:r>
      <w:r w:rsidR="003A768A">
        <w:t xml:space="preserve">sávszélességű </w:t>
      </w:r>
      <w:r>
        <w:t xml:space="preserve">csatornák használatát, amelyet két szomszédos 112 MHz </w:t>
      </w:r>
      <w:r w:rsidR="003A768A">
        <w:t xml:space="preserve">sávszélességű </w:t>
      </w:r>
      <w:r>
        <w:t xml:space="preserve">csatorna összevonásával lehet képezni (Magyarországon 112 MHz </w:t>
      </w:r>
      <w:r w:rsidR="008257C5">
        <w:t xml:space="preserve">a </w:t>
      </w:r>
      <w:r>
        <w:t xml:space="preserve">legnagyobb csatornasávszélesség, amit használni lehet). </w:t>
      </w:r>
    </w:p>
    <w:p w14:paraId="39456873" w14:textId="7E1A3922" w:rsidR="008C63E0" w:rsidRDefault="008C63E0" w:rsidP="008C63E0">
      <w:pPr>
        <w:pStyle w:val="Behzottbekezdsnmhh"/>
      </w:pPr>
      <w:r>
        <w:lastRenderedPageBreak/>
        <w:t xml:space="preserve">Az </w:t>
      </w:r>
      <w:r w:rsidRPr="00095587">
        <w:rPr>
          <w:i/>
        </w:rPr>
        <w:t>ECC/REC/(11</w:t>
      </w:r>
      <w:proofErr w:type="gramStart"/>
      <w:r w:rsidRPr="00095587">
        <w:rPr>
          <w:i/>
        </w:rPr>
        <w:t>)01</w:t>
      </w:r>
      <w:proofErr w:type="gramEnd"/>
      <w:r>
        <w:t xml:space="preserve"> </w:t>
      </w:r>
      <w:r w:rsidR="008F40DD">
        <w:rPr>
          <w:i/>
        </w:rPr>
        <w:t>A</w:t>
      </w:r>
      <w:r w:rsidRPr="005C0D61">
        <w:rPr>
          <w:i/>
        </w:rPr>
        <w:t>jánlás</w:t>
      </w:r>
      <w:r>
        <w:rPr>
          <w:rStyle w:val="Lbjegyzet-hivatkozs"/>
        </w:rPr>
        <w:footnoteReference w:id="26"/>
      </w:r>
      <w:r>
        <w:t xml:space="preserve"> állandóhelyű vezeték nélküli </w:t>
      </w:r>
      <w:r w:rsidR="00A77B04">
        <w:t xml:space="preserve">pont-többpont </w:t>
      </w:r>
      <w:r>
        <w:t>rendszerekre vonatkozóan rögzít iránymutatást a frekvenciablokk kijelölése tekintetében</w:t>
      </w:r>
      <w:r w:rsidR="00DD42BE">
        <w:t xml:space="preserve"> a </w:t>
      </w:r>
      <w:r w:rsidR="00DD42BE" w:rsidRPr="00DD42BE">
        <w:t>24</w:t>
      </w:r>
      <w:r w:rsidR="00150A8F">
        <w:t xml:space="preserve">,5-26,5 </w:t>
      </w:r>
      <w:proofErr w:type="spellStart"/>
      <w:r w:rsidR="00150A8F">
        <w:t>GHz</w:t>
      </w:r>
      <w:proofErr w:type="spellEnd"/>
      <w:r w:rsidR="00150A8F">
        <w:t>, 27,5-29,</w:t>
      </w:r>
      <w:r w:rsidR="00DD42BE" w:rsidRPr="00DD42BE">
        <w:t xml:space="preserve">5 </w:t>
      </w:r>
      <w:proofErr w:type="spellStart"/>
      <w:r w:rsidR="00DD42BE" w:rsidRPr="00DD42BE">
        <w:t>GHz</w:t>
      </w:r>
      <w:proofErr w:type="spellEnd"/>
      <w:r w:rsidR="00DD42BE" w:rsidRPr="00DD42BE">
        <w:t xml:space="preserve"> </w:t>
      </w:r>
      <w:r w:rsidR="008B5767">
        <w:t>és</w:t>
      </w:r>
      <w:r w:rsidR="00150A8F">
        <w:t xml:space="preserve"> 31,8-33,</w:t>
      </w:r>
      <w:r w:rsidR="00DD42BE" w:rsidRPr="00DD42BE">
        <w:t xml:space="preserve">4 </w:t>
      </w:r>
      <w:proofErr w:type="spellStart"/>
      <w:r w:rsidR="00DD42BE" w:rsidRPr="00DD42BE">
        <w:t>GHz</w:t>
      </w:r>
      <w:proofErr w:type="spellEnd"/>
      <w:r w:rsidR="00DD42BE">
        <w:t xml:space="preserve"> </w:t>
      </w:r>
      <w:r w:rsidR="00150A8F">
        <w:t>frekvencia</w:t>
      </w:r>
      <w:r w:rsidR="00DD42BE">
        <w:t>sávokban</w:t>
      </w:r>
      <w:r>
        <w:t xml:space="preserve">. Ez a szabályozó dokumentum rögzíti, hogy </w:t>
      </w:r>
    </w:p>
    <w:p w14:paraId="36C4DE5E" w14:textId="77777777" w:rsidR="008C63E0" w:rsidRDefault="008C63E0" w:rsidP="008C63E0">
      <w:pPr>
        <w:pStyle w:val="Behzottbekezdsnmhh"/>
        <w:numPr>
          <w:ilvl w:val="0"/>
          <w:numId w:val="34"/>
        </w:numPr>
      </w:pPr>
      <w:r>
        <w:t xml:space="preserve">az alapblokk mérete 28 MHz, </w:t>
      </w:r>
    </w:p>
    <w:p w14:paraId="39939DC8" w14:textId="77777777" w:rsidR="008C63E0" w:rsidRDefault="008C63E0" w:rsidP="008C63E0">
      <w:pPr>
        <w:pStyle w:val="Behzottbekezdsnmhh"/>
        <w:numPr>
          <w:ilvl w:val="0"/>
          <w:numId w:val="34"/>
        </w:numPr>
      </w:pPr>
      <w:r>
        <w:t xml:space="preserve">ez alapján 28 MHz többszörösei lehetnek a kijelölt frekvenciablokk méretek, </w:t>
      </w:r>
    </w:p>
    <w:p w14:paraId="6F18CF21" w14:textId="1D8A33AF" w:rsidR="008C63E0" w:rsidRDefault="008C63E0" w:rsidP="008C63E0">
      <w:pPr>
        <w:pStyle w:val="Behzottbekezdsnmhh"/>
        <w:numPr>
          <w:ilvl w:val="0"/>
          <w:numId w:val="34"/>
        </w:numPr>
      </w:pPr>
      <w:r>
        <w:t>mekkorának kell lenni</w:t>
      </w:r>
      <w:r w:rsidR="003A768A">
        <w:t>e</w:t>
      </w:r>
      <w:r>
        <w:t xml:space="preserve"> a védő tartománynak a kijelölt frekvenciablokkok között (FDD és TDD esetére is), és </w:t>
      </w:r>
    </w:p>
    <w:p w14:paraId="25CF1E26" w14:textId="77777777" w:rsidR="008C63E0" w:rsidRDefault="008C63E0" w:rsidP="008C63E0">
      <w:pPr>
        <w:pStyle w:val="Behzottbekezdsnmhh"/>
        <w:numPr>
          <w:ilvl w:val="0"/>
          <w:numId w:val="34"/>
        </w:numPr>
      </w:pPr>
      <w:r>
        <w:t>a különböző polarizációk használata esetén, milyen módon használhatók a frekvenciablokkok.</w:t>
      </w:r>
    </w:p>
    <w:p w14:paraId="13EB3464" w14:textId="77777777" w:rsidR="008C63E0" w:rsidRDefault="008C63E0" w:rsidP="008C63E0">
      <w:pPr>
        <w:pStyle w:val="Behzottbekezdsnmhh"/>
        <w:rPr>
          <w:i/>
        </w:rPr>
      </w:pPr>
    </w:p>
    <w:p w14:paraId="41459E38" w14:textId="0F9450AC" w:rsidR="008C63E0" w:rsidRDefault="009F3A19" w:rsidP="008C63E0">
      <w:pPr>
        <w:pStyle w:val="Cmsor4szmozottnmhh"/>
      </w:pPr>
      <w:r>
        <w:t xml:space="preserve">Tervezett </w:t>
      </w:r>
      <w:r w:rsidR="008C63E0">
        <w:t xml:space="preserve">MFCN rendszerekre vonatkozó </w:t>
      </w:r>
      <w:r>
        <w:t xml:space="preserve">CEPT </w:t>
      </w:r>
      <w:r w:rsidR="008C63E0">
        <w:t>szabályozás</w:t>
      </w:r>
    </w:p>
    <w:p w14:paraId="26D3A589" w14:textId="33202673" w:rsidR="008C63E0" w:rsidRDefault="008C63E0" w:rsidP="008C63E0">
      <w:pPr>
        <w:pStyle w:val="Behzottbekezdsnmhh"/>
      </w:pPr>
      <w:r>
        <w:t xml:space="preserve">A jövőben </w:t>
      </w:r>
      <w:r w:rsidR="00150A8F">
        <w:t>használható MFCN rendszerek</w:t>
      </w:r>
      <w:r>
        <w:t xml:space="preserve"> </w:t>
      </w:r>
      <w:r w:rsidR="00112EBF">
        <w:t xml:space="preserve">használatára </w:t>
      </w:r>
      <w:r>
        <w:t xml:space="preserve">vonatkozóan </w:t>
      </w:r>
      <w:r w:rsidR="00112EBF">
        <w:t xml:space="preserve">CEPT szinten elfogadásra kerültek a szabályozás alapját képező </w:t>
      </w:r>
      <w:r w:rsidR="00150A8F">
        <w:t xml:space="preserve">legfontosabb </w:t>
      </w:r>
      <w:r w:rsidR="00112EBF">
        <w:t>dokumentumok</w:t>
      </w:r>
      <w:r w:rsidR="00177EA0">
        <w:t>, e</w:t>
      </w:r>
      <w:r>
        <w:t xml:space="preserve">zek adják az 5G NR rendszerek </w:t>
      </w:r>
      <w:r w:rsidR="00150A8F">
        <w:t>bevezetéséhez szükséges szabályozás</w:t>
      </w:r>
      <w:r>
        <w:t xml:space="preserve"> alapját.</w:t>
      </w:r>
    </w:p>
    <w:p w14:paraId="20822E6C" w14:textId="77777777" w:rsidR="008C63E0" w:rsidRDefault="008C63E0" w:rsidP="008C63E0">
      <w:pPr>
        <w:spacing w:after="200"/>
        <w:jc w:val="left"/>
        <w:rPr>
          <w:sz w:val="20"/>
          <w:szCs w:val="20"/>
        </w:rPr>
      </w:pPr>
    </w:p>
    <w:p w14:paraId="3D3B9ACF" w14:textId="77777777" w:rsidR="008C63E0" w:rsidRDefault="008C63E0" w:rsidP="008C63E0">
      <w:pPr>
        <w:pStyle w:val="Cmsor4szmozottnmhh"/>
        <w:numPr>
          <w:ilvl w:val="4"/>
          <w:numId w:val="29"/>
        </w:numPr>
      </w:pPr>
      <w:r>
        <w:t>MFCN felhasználásra vonatkozó határozat</w:t>
      </w:r>
    </w:p>
    <w:p w14:paraId="32AECC2B" w14:textId="75663826" w:rsidR="008C63E0" w:rsidRDefault="009D6950" w:rsidP="008C63E0">
      <w:pPr>
        <w:pStyle w:val="Behzottbekezdsnmhh"/>
      </w:pPr>
      <w:r>
        <w:t>A</w:t>
      </w:r>
      <w:r w:rsidR="00D63975">
        <w:t xml:space="preserve"> Bizottság</w:t>
      </w:r>
      <w:r>
        <w:t xml:space="preserve"> CEPT</w:t>
      </w:r>
      <w:r w:rsidR="008C63E0">
        <w:t xml:space="preserve"> </w:t>
      </w:r>
      <w:r w:rsidR="00D63975">
        <w:t xml:space="preserve">részére kiadott </w:t>
      </w:r>
      <w:r w:rsidR="008C63E0">
        <w:t>mandátum</w:t>
      </w:r>
      <w:r w:rsidR="00D63975">
        <w:t>a</w:t>
      </w:r>
      <w:r w:rsidR="008C63E0">
        <w:rPr>
          <w:rStyle w:val="Lbjegyzet-hivatkozs"/>
        </w:rPr>
        <w:footnoteReference w:id="27"/>
      </w:r>
      <w:r w:rsidR="008C63E0">
        <w:t xml:space="preserve"> alapján a CEPT-en belül a</w:t>
      </w:r>
      <w:r w:rsidR="008F40DD">
        <w:t>z</w:t>
      </w:r>
      <w:r w:rsidR="008C63E0">
        <w:t xml:space="preserve"> </w:t>
      </w:r>
      <w:r w:rsidR="008F40DD">
        <w:t>ECC/</w:t>
      </w:r>
      <w:r w:rsidR="008C63E0">
        <w:t xml:space="preserve">PT1 munkacsoport </w:t>
      </w:r>
      <w:r w:rsidR="00AB7288">
        <w:t>folytatott</w:t>
      </w:r>
      <w:r w:rsidR="008C63E0">
        <w:t xml:space="preserve"> vizsgálatokat, amelynek eredményeként meghatározták a harmonizált műszaki feltételeket az 5G </w:t>
      </w:r>
      <w:r>
        <w:t xml:space="preserve">NR </w:t>
      </w:r>
      <w:r w:rsidR="008C63E0">
        <w:t>rendszerek használatára vonatkozóan. Ezen kívül annak feltételeit is megvizsgált</w:t>
      </w:r>
      <w:r w:rsidR="008F40DD">
        <w:t>a</w:t>
      </w:r>
      <w:r w:rsidR="008C63E0">
        <w:t xml:space="preserve">, hogy az MFCN rendszerek hogy férnek össze a sávban és szomszédos sávokban jelenleg is üzemelő, eltérő alkalmazásokkal, </w:t>
      </w:r>
      <w:r w:rsidR="003A768A">
        <w:t>úgy</w:t>
      </w:r>
      <w:r w:rsidR="008C63E0">
        <w:t>mint pont-pont, pont-</w:t>
      </w:r>
      <w:r w:rsidR="000539FF">
        <w:t>több</w:t>
      </w:r>
      <w:r w:rsidR="008C63E0">
        <w:t>pont vagy műholdas rendszerek</w:t>
      </w:r>
      <w:r w:rsidR="000C1A87">
        <w:t>kel</w:t>
      </w:r>
      <w:r w:rsidR="006E1262">
        <w:t>. A</w:t>
      </w:r>
      <w:r w:rsidR="008C63E0">
        <w:t xml:space="preserve"> </w:t>
      </w:r>
      <w:r w:rsidR="00D63975">
        <w:t xml:space="preserve">Bizottság </w:t>
      </w:r>
      <w:r w:rsidR="008C63E0">
        <w:t>mandátum</w:t>
      </w:r>
      <w:r w:rsidR="00D63975">
        <w:t>á</w:t>
      </w:r>
      <w:r w:rsidR="008C63E0">
        <w:t xml:space="preserve">nak megfelelően a végleges jelentés 2018. júniusára készült el (CEPT </w:t>
      </w:r>
      <w:r w:rsidR="008F40DD">
        <w:t>68. Jelentés</w:t>
      </w:r>
      <w:r w:rsidR="008C63E0">
        <w:rPr>
          <w:rStyle w:val="Lbjegyzet-hivatkozs"/>
        </w:rPr>
        <w:footnoteReference w:id="28"/>
      </w:r>
      <w:r w:rsidR="008C63E0">
        <w:t>)</w:t>
      </w:r>
      <w:r w:rsidR="00D63975">
        <w:t xml:space="preserve"> a Bizottság részére</w:t>
      </w:r>
      <w:r w:rsidR="008C63E0">
        <w:t xml:space="preserve">. A </w:t>
      </w:r>
      <w:r w:rsidR="000C1A87">
        <w:t xml:space="preserve">26 </w:t>
      </w:r>
      <w:proofErr w:type="spellStart"/>
      <w:r w:rsidR="000C1A87">
        <w:t>GHz</w:t>
      </w:r>
      <w:proofErr w:type="spellEnd"/>
      <w:r w:rsidR="000C1A87">
        <w:t xml:space="preserve"> </w:t>
      </w:r>
      <w:r>
        <w:t>frekvencia</w:t>
      </w:r>
      <w:r w:rsidR="000C1A87">
        <w:t>sáv MFCN rendszerek</w:t>
      </w:r>
      <w:r w:rsidR="008C63E0">
        <w:t xml:space="preserve"> (beleértve 5G) általi elérhetővé tételével és kijelölési módjával kapcsolatos előírásokat és a vonatkozó harmonizált műszaki feltételeket tartalmazza az ECC/DEC/(18</w:t>
      </w:r>
      <w:proofErr w:type="gramStart"/>
      <w:r w:rsidR="008C63E0">
        <w:t>)06</w:t>
      </w:r>
      <w:proofErr w:type="gramEnd"/>
      <w:r w:rsidR="008C63E0">
        <w:rPr>
          <w:rStyle w:val="Lbjegyzet-hivatkozs"/>
        </w:rPr>
        <w:footnoteReference w:id="29"/>
      </w:r>
      <w:r w:rsidR="008C63E0">
        <w:t xml:space="preserve"> </w:t>
      </w:r>
      <w:r w:rsidR="008F40DD">
        <w:t>H</w:t>
      </w:r>
      <w:r w:rsidR="008C63E0">
        <w:t>atározat (</w:t>
      </w:r>
      <w:r w:rsidR="008F40DD">
        <w:t xml:space="preserve">eddig </w:t>
      </w:r>
      <w:r w:rsidR="008C63E0">
        <w:t>kétszer módosult, a legutolsó verzió 2020.11.20-i</w:t>
      </w:r>
      <w:r w:rsidR="00B86588">
        <w:t>,</w:t>
      </w:r>
      <w:r w:rsidR="008C63E0">
        <w:t>).</w:t>
      </w:r>
    </w:p>
    <w:p w14:paraId="76DB66B5" w14:textId="77777777" w:rsidR="008C63E0" w:rsidRDefault="008C63E0" w:rsidP="008C63E0">
      <w:pPr>
        <w:pStyle w:val="Behzottbekezdsnmhh"/>
        <w:rPr>
          <w:u w:val="single"/>
        </w:rPr>
      </w:pPr>
    </w:p>
    <w:p w14:paraId="5A002CD5" w14:textId="4C26D5CE" w:rsidR="008C63E0" w:rsidRPr="00F31BF8" w:rsidRDefault="008C63E0" w:rsidP="008C63E0">
      <w:pPr>
        <w:pStyle w:val="Behzottbekezdsnmhh"/>
        <w:rPr>
          <w:u w:val="single"/>
        </w:rPr>
      </w:pPr>
      <w:r w:rsidRPr="00F31BF8">
        <w:rPr>
          <w:u w:val="single"/>
        </w:rPr>
        <w:t>ECC/DEC/(18</w:t>
      </w:r>
      <w:proofErr w:type="gramStart"/>
      <w:r w:rsidRPr="00F31BF8">
        <w:rPr>
          <w:u w:val="single"/>
        </w:rPr>
        <w:t>)06</w:t>
      </w:r>
      <w:proofErr w:type="gramEnd"/>
      <w:r w:rsidRPr="00F31BF8">
        <w:rPr>
          <w:u w:val="single"/>
        </w:rPr>
        <w:t xml:space="preserve"> </w:t>
      </w:r>
      <w:r w:rsidR="00B86588">
        <w:rPr>
          <w:u w:val="single"/>
        </w:rPr>
        <w:t>H</w:t>
      </w:r>
      <w:r w:rsidRPr="00F31BF8">
        <w:rPr>
          <w:u w:val="single"/>
        </w:rPr>
        <w:t>atározat főbb pontjai:</w:t>
      </w:r>
    </w:p>
    <w:p w14:paraId="53C4C39D" w14:textId="65BC7810" w:rsidR="008C63E0" w:rsidRDefault="008C63E0" w:rsidP="008C63E0">
      <w:pPr>
        <w:pStyle w:val="Behzottbekezdsnmhh"/>
        <w:numPr>
          <w:ilvl w:val="0"/>
          <w:numId w:val="59"/>
        </w:numPr>
      </w:pPr>
      <w:r>
        <w:t xml:space="preserve">A CEPT igazgatásoknak nem kizárólagos jelleggel ki kell jelölni a 24,25-27,5 </w:t>
      </w:r>
      <w:proofErr w:type="spellStart"/>
      <w:r>
        <w:t>GHz</w:t>
      </w:r>
      <w:proofErr w:type="spellEnd"/>
      <w:r>
        <w:t xml:space="preserve"> </w:t>
      </w:r>
      <w:r w:rsidR="000539FF" w:rsidRPr="00426D01">
        <w:t>frekvencia</w:t>
      </w:r>
      <w:r>
        <w:t>sávot MFCN rendszerek részére figyelembe véve a jelenleg működő és jövőben telepítendő űrkutatási, műholdas Föld-kutató valamint a műholdas állandóhelyű szolgálat keretében működő földi állomásokat.</w:t>
      </w:r>
    </w:p>
    <w:p w14:paraId="3E914EE1" w14:textId="77777777" w:rsidR="008C63E0" w:rsidRDefault="008C63E0" w:rsidP="008C63E0">
      <w:pPr>
        <w:pStyle w:val="Behzottbekezdsnmhh"/>
        <w:numPr>
          <w:ilvl w:val="0"/>
          <w:numId w:val="59"/>
        </w:numPr>
      </w:pPr>
      <w:r>
        <w:t xml:space="preserve">A CEPT igazgatásoknak elérhetővé kell tenni legalább 1 </w:t>
      </w:r>
      <w:proofErr w:type="spellStart"/>
      <w:r>
        <w:t>GHz</w:t>
      </w:r>
      <w:proofErr w:type="spellEnd"/>
      <w:r>
        <w:t xml:space="preserve"> spektrumot 2020-ig MFCN rendszerek részére piaci igénytől függően.</w:t>
      </w:r>
    </w:p>
    <w:p w14:paraId="678BD657" w14:textId="77777777" w:rsidR="008C63E0" w:rsidRDefault="008C63E0" w:rsidP="008C63E0">
      <w:pPr>
        <w:pStyle w:val="Behzottbekezdsnmhh"/>
        <w:numPr>
          <w:ilvl w:val="0"/>
          <w:numId w:val="59"/>
        </w:numPr>
      </w:pPr>
      <w:r>
        <w:lastRenderedPageBreak/>
        <w:t xml:space="preserve">Kizárólag TDD rendszerek működtethetők, a frekvenciaelrendezés </w:t>
      </w:r>
      <w:proofErr w:type="spellStart"/>
      <w:r>
        <w:t>párosítatlan</w:t>
      </w:r>
      <w:proofErr w:type="spellEnd"/>
      <w:r>
        <w:t>.</w:t>
      </w:r>
    </w:p>
    <w:p w14:paraId="7AAAC82E" w14:textId="77777777" w:rsidR="008C63E0" w:rsidRDefault="008C63E0" w:rsidP="008C63E0">
      <w:pPr>
        <w:pStyle w:val="Behzottbekezdsnmhh"/>
        <w:numPr>
          <w:ilvl w:val="0"/>
          <w:numId w:val="59"/>
        </w:numPr>
      </w:pPr>
      <w:r>
        <w:t>A harmonizált frekvenciaelrendezés szerint 200 MHz-es blokkokat lehet kijelölni (a spektrum hatékony felhasználása érdekében ennél kisebb blokkok is kijelölhetők, amelyek 50 MHz többszörösei). Egyéb felhasználások esetén a blokkok 10 MHz lépéssel odébb tolhatók.</w:t>
      </w:r>
    </w:p>
    <w:p w14:paraId="04CE813A" w14:textId="68193992" w:rsidR="008C63E0" w:rsidRDefault="008C63E0" w:rsidP="008C63E0">
      <w:pPr>
        <w:pStyle w:val="Behzottbekezdsnmhh"/>
        <w:numPr>
          <w:ilvl w:val="0"/>
          <w:numId w:val="59"/>
        </w:numPr>
      </w:pPr>
      <w:r>
        <w:t>A Blokkszéli maszkokat (</w:t>
      </w:r>
      <w:proofErr w:type="spellStart"/>
      <w:r>
        <w:t>Block</w:t>
      </w:r>
      <w:proofErr w:type="spellEnd"/>
      <w:r>
        <w:t xml:space="preserve"> </w:t>
      </w:r>
      <w:proofErr w:type="spellStart"/>
      <w:r>
        <w:t>Edge</w:t>
      </w:r>
      <w:proofErr w:type="spellEnd"/>
      <w:r>
        <w:t xml:space="preserve"> </w:t>
      </w:r>
      <w:proofErr w:type="spellStart"/>
      <w:r>
        <w:t>Mask</w:t>
      </w:r>
      <w:proofErr w:type="spellEnd"/>
      <w:r>
        <w:t xml:space="preserve"> – BEM) és a részletesebb műszaki feltételeket a határozat 2. melléklete tartalmazza (a határozat aktuális verziója különböző értékeket határoz meg a sávon kívüli sugárzásra vonatkozóan a 23,6-24 </w:t>
      </w:r>
      <w:proofErr w:type="spellStart"/>
      <w:r>
        <w:t>GHz</w:t>
      </w:r>
      <w:proofErr w:type="spellEnd"/>
      <w:r>
        <w:t xml:space="preserve"> </w:t>
      </w:r>
      <w:r w:rsidR="00E9113D">
        <w:t>frekvencia</w:t>
      </w:r>
      <w:r>
        <w:t>tartományra vonatkozóan).</w:t>
      </w:r>
    </w:p>
    <w:p w14:paraId="014052EF" w14:textId="7F70C5AF" w:rsidR="008C63E0" w:rsidRDefault="008C63E0" w:rsidP="008C63E0">
      <w:pPr>
        <w:pStyle w:val="Behzottbekezdsnmhh"/>
        <w:numPr>
          <w:ilvl w:val="0"/>
          <w:numId w:val="59"/>
        </w:numPr>
      </w:pPr>
      <w:r>
        <w:t xml:space="preserve">A 22-23,6 </w:t>
      </w:r>
      <w:proofErr w:type="spellStart"/>
      <w:r>
        <w:t>GHz</w:t>
      </w:r>
      <w:proofErr w:type="spellEnd"/>
      <w:r>
        <w:t xml:space="preserve"> </w:t>
      </w:r>
      <w:r w:rsidR="000539FF" w:rsidRPr="00426D01">
        <w:t>frekvencia</w:t>
      </w:r>
      <w:r>
        <w:t xml:space="preserve">sávban el kell kerülni a nagy sűrűségű mozgószolgálati és </w:t>
      </w:r>
      <w:r w:rsidR="00B86588">
        <w:t xml:space="preserve">állandóhelyű vezetéknélküli hozzáférési </w:t>
      </w:r>
      <w:proofErr w:type="gramStart"/>
      <w:r w:rsidR="00B86588">
        <w:t>(</w:t>
      </w:r>
      <w:r>
        <w:t xml:space="preserve"> Fixed</w:t>
      </w:r>
      <w:proofErr w:type="gramEnd"/>
      <w:r>
        <w:t xml:space="preserve"> </w:t>
      </w:r>
      <w:proofErr w:type="spellStart"/>
      <w:r>
        <w:t>Wireless</w:t>
      </w:r>
      <w:proofErr w:type="spellEnd"/>
      <w:r>
        <w:t xml:space="preserve"> Access</w:t>
      </w:r>
      <w:r w:rsidR="00A46EC4">
        <w:t xml:space="preserve"> - FWA</w:t>
      </w:r>
      <w:r>
        <w:t>) rendszerek használatát</w:t>
      </w:r>
      <w:r w:rsidR="0067677D">
        <w:t>.</w:t>
      </w:r>
    </w:p>
    <w:p w14:paraId="1BBA4B88" w14:textId="52E5E947" w:rsidR="008C63E0" w:rsidRDefault="008C63E0" w:rsidP="008C63E0">
      <w:pPr>
        <w:pStyle w:val="Behzottbekezdsnmhh"/>
        <w:numPr>
          <w:ilvl w:val="0"/>
          <w:numId w:val="59"/>
        </w:numPr>
      </w:pPr>
      <w:r>
        <w:t xml:space="preserve">A </w:t>
      </w:r>
      <w:r w:rsidR="000539FF" w:rsidRPr="00426D01">
        <w:t>frekvencia</w:t>
      </w:r>
      <w:r>
        <w:t xml:space="preserve">sáv nem használható bázisállomás és légi járművön működő felhasználói állomás közti </w:t>
      </w:r>
      <w:r w:rsidR="0067677D">
        <w:t>lemenő (</w:t>
      </w:r>
      <w:proofErr w:type="spellStart"/>
      <w:r>
        <w:t>dowlink</w:t>
      </w:r>
      <w:proofErr w:type="spellEnd"/>
      <w:r w:rsidR="0067677D">
        <w:t>)</w:t>
      </w:r>
      <w:r>
        <w:t xml:space="preserve"> irányú átvitelre, </w:t>
      </w:r>
      <w:r w:rsidR="0067677D">
        <w:t>felmenő (</w:t>
      </w:r>
      <w:proofErr w:type="spellStart"/>
      <w:r>
        <w:t>uplink</w:t>
      </w:r>
      <w:proofErr w:type="spellEnd"/>
      <w:r w:rsidR="0067677D">
        <w:t>)</w:t>
      </w:r>
      <w:r>
        <w:t xml:space="preserve"> irányú átvitelre csak akkor, ha a tanulmányok azt mutatják, hogy a </w:t>
      </w:r>
      <w:r w:rsidR="000539FF" w:rsidRPr="00426D01">
        <w:t>frekvencia</w:t>
      </w:r>
      <w:r>
        <w:t>sávban működő más szolgálatokkal való együttélés biztosítható</w:t>
      </w:r>
      <w:r w:rsidR="0067677D">
        <w:t>.</w:t>
      </w:r>
    </w:p>
    <w:p w14:paraId="54F0566E" w14:textId="77777777" w:rsidR="008C63E0" w:rsidRDefault="008C63E0" w:rsidP="008C63E0">
      <w:pPr>
        <w:pStyle w:val="Behzottbekezdsnmhh"/>
        <w:ind w:left="1077" w:firstLine="0"/>
      </w:pPr>
    </w:p>
    <w:p w14:paraId="23309DE1" w14:textId="77777777" w:rsidR="008C63E0" w:rsidRDefault="008C63E0" w:rsidP="008C63E0">
      <w:pPr>
        <w:pStyle w:val="Behzottbekezdsnmhh"/>
        <w:keepNext/>
        <w:ind w:left="709" w:firstLine="0"/>
        <w:jc w:val="center"/>
      </w:pPr>
      <w:r w:rsidRPr="00435DED">
        <w:rPr>
          <w:noProof/>
          <w:lang w:eastAsia="hu-HU"/>
        </w:rPr>
        <w:drawing>
          <wp:inline distT="0" distB="0" distL="0" distR="0" wp14:anchorId="45855700" wp14:editId="27678181">
            <wp:extent cx="5760720" cy="59824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vice Independent Bitmap) 1.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598245"/>
                    </a:xfrm>
                    <a:prstGeom prst="rect">
                      <a:avLst/>
                    </a:prstGeom>
                  </pic:spPr>
                </pic:pic>
              </a:graphicData>
            </a:graphic>
          </wp:inline>
        </w:drawing>
      </w:r>
    </w:p>
    <w:p w14:paraId="1B258FB7" w14:textId="77777777" w:rsidR="008C63E0" w:rsidRDefault="00AA3C2D" w:rsidP="008C63E0">
      <w:pPr>
        <w:pStyle w:val="Kpalrs"/>
        <w:jc w:val="center"/>
      </w:pPr>
      <w:r>
        <w:fldChar w:fldCharType="begin"/>
      </w:r>
      <w:r>
        <w:instrText xml:space="preserve"> SEQ ábra \* ARABIC </w:instrText>
      </w:r>
      <w:r>
        <w:fldChar w:fldCharType="separate"/>
      </w:r>
      <w:r w:rsidR="008C63E0">
        <w:rPr>
          <w:noProof/>
        </w:rPr>
        <w:t>1</w:t>
      </w:r>
      <w:r>
        <w:rPr>
          <w:noProof/>
        </w:rPr>
        <w:fldChar w:fldCharType="end"/>
      </w:r>
      <w:r w:rsidR="008C63E0">
        <w:t>. ábra Példa a harmonizált sávelrendezés alapján a blokk elosztásra</w:t>
      </w:r>
    </w:p>
    <w:p w14:paraId="0B072431" w14:textId="327DDA98" w:rsidR="008C63E0" w:rsidRDefault="008C63E0" w:rsidP="008C63E0">
      <w:pPr>
        <w:pStyle w:val="Behzottbekezdsnmhh"/>
        <w:ind w:left="1077" w:firstLine="0"/>
      </w:pPr>
    </w:p>
    <w:p w14:paraId="2C0434EF" w14:textId="07E5FE23" w:rsidR="008C63E0" w:rsidRDefault="008C63E0" w:rsidP="008C63E0">
      <w:pPr>
        <w:pStyle w:val="Cmsor4szmozottnmhh"/>
        <w:numPr>
          <w:ilvl w:val="4"/>
          <w:numId w:val="29"/>
        </w:numPr>
      </w:pPr>
      <w:r>
        <w:t xml:space="preserve">Összeférhetőség a </w:t>
      </w:r>
      <w:r w:rsidR="000539FF" w:rsidRPr="00426D01">
        <w:t>frekvencia</w:t>
      </w:r>
      <w:r>
        <w:t xml:space="preserve">sávban működő egyéb </w:t>
      </w:r>
      <w:r w:rsidR="008E78EF">
        <w:t>szolgálatokkal</w:t>
      </w:r>
    </w:p>
    <w:p w14:paraId="386F7317" w14:textId="46164DC8" w:rsidR="008C63E0" w:rsidRDefault="005F14D6" w:rsidP="008C63E0">
      <w:pPr>
        <w:pStyle w:val="Behzottbekezdsnmhh"/>
      </w:pPr>
      <w:r>
        <w:t>E</w:t>
      </w:r>
      <w:r w:rsidR="008C63E0">
        <w:t xml:space="preserve">lsőként a különböző műholdas rendszerekkel való összeférhetőséget kezdték vizsgálni, ezután kezdődtek a vizsgálatok a </w:t>
      </w:r>
      <w:r w:rsidR="000539FF" w:rsidRPr="00426D01">
        <w:t>frekvencia</w:t>
      </w:r>
      <w:r w:rsidR="008C63E0">
        <w:t>sávban Európa-szerte használt állandóhelyű rendszerekkel való együttélésre vonatkozóan.</w:t>
      </w:r>
    </w:p>
    <w:p w14:paraId="269F1106" w14:textId="77777777" w:rsidR="008C63E0" w:rsidRPr="005F0387" w:rsidRDefault="008C63E0" w:rsidP="008C63E0">
      <w:pPr>
        <w:pStyle w:val="Behzottbekezdsnmhh"/>
      </w:pPr>
    </w:p>
    <w:p w14:paraId="3F5CDA96" w14:textId="77777777" w:rsidR="008C63E0" w:rsidRPr="006D7013" w:rsidRDefault="008C63E0" w:rsidP="008C63E0">
      <w:pPr>
        <w:pStyle w:val="Cmsor4szmozottnmhh"/>
        <w:numPr>
          <w:ilvl w:val="5"/>
          <w:numId w:val="29"/>
        </w:numPr>
      </w:pPr>
      <w:r>
        <w:t>Űrkutatási és műholdas Föld-kutató szolgálat</w:t>
      </w:r>
    </w:p>
    <w:p w14:paraId="683A8A4D" w14:textId="0E9DCF35" w:rsidR="008C63E0" w:rsidRDefault="008C63E0" w:rsidP="008C63E0">
      <w:pPr>
        <w:pStyle w:val="Behzottbekezdsnmhh"/>
        <w:tabs>
          <w:tab w:val="left" w:pos="977"/>
        </w:tabs>
      </w:pPr>
      <w:r>
        <w:t xml:space="preserve">A 26 </w:t>
      </w:r>
      <w:proofErr w:type="spellStart"/>
      <w:r>
        <w:t>GHz</w:t>
      </w:r>
      <w:proofErr w:type="spellEnd"/>
      <w:r>
        <w:t xml:space="preserve"> </w:t>
      </w:r>
      <w:r w:rsidR="000539FF" w:rsidRPr="00426D01">
        <w:t>frekvencia</w:t>
      </w:r>
      <w:r>
        <w:t xml:space="preserve">sávban működő űrkutatási és műholdas Föld-kutató szolgálat keretében működő földi állomásokkal összefüggő </w:t>
      </w:r>
      <w:r w:rsidR="005F14D6">
        <w:t>összeférhetőségi</w:t>
      </w:r>
      <w:r>
        <w:t xml:space="preserve"> vizsgálatok eredményei </w:t>
      </w:r>
      <w:r w:rsidR="006B5A93">
        <w:t>az ECC/REC/(19</w:t>
      </w:r>
      <w:proofErr w:type="gramStart"/>
      <w:r w:rsidR="006B5A93">
        <w:t>)01</w:t>
      </w:r>
      <w:proofErr w:type="gramEnd"/>
      <w:r w:rsidR="006B5A93">
        <w:rPr>
          <w:rStyle w:val="Lbjegyzet-hivatkozs"/>
        </w:rPr>
        <w:footnoteReference w:id="30"/>
      </w:r>
      <w:r>
        <w:t xml:space="preserve"> </w:t>
      </w:r>
      <w:r w:rsidR="0067677D">
        <w:t>A</w:t>
      </w:r>
      <w:r>
        <w:t xml:space="preserve">jánlás keretében kerültek </w:t>
      </w:r>
      <w:r w:rsidR="009452D4">
        <w:t>közzétételre</w:t>
      </w:r>
      <w:r w:rsidR="00177EA0">
        <w:t>.</w:t>
      </w:r>
      <w:r>
        <w:t xml:space="preserve"> Ebben a földi állomásokra alkalmazandó védőzóna meghatározására vonatkozóan talál</w:t>
      </w:r>
      <w:r w:rsidR="009452D4">
        <w:t>hatóak</w:t>
      </w:r>
      <w:r>
        <w:t xml:space="preserve"> előírások. Az ajánlás általános elveket és konkrét számítási módszert ad meg a 25,5-27 </w:t>
      </w:r>
      <w:proofErr w:type="spellStart"/>
      <w:r>
        <w:t>GHz</w:t>
      </w:r>
      <w:proofErr w:type="spellEnd"/>
      <w:r>
        <w:t xml:space="preserve"> frekvenciatartományban üzemelő űrkutatási, GSO és NGSO műholdas Föld-kutató szolgálat keretében működő földi állomások körüli védőzóna meghatározására</w:t>
      </w:r>
      <w:r w:rsidR="006B5A93">
        <w:t>.</w:t>
      </w:r>
    </w:p>
    <w:p w14:paraId="28D895B3" w14:textId="2795982E" w:rsidR="008C63E0" w:rsidRDefault="008C63E0" w:rsidP="008C63E0">
      <w:pPr>
        <w:pStyle w:val="Behzottbekezdsnmhh"/>
        <w:tabs>
          <w:tab w:val="left" w:pos="977"/>
        </w:tabs>
      </w:pPr>
      <w:r>
        <w:t xml:space="preserve">A nemzeti szabályozást illetően meg kell jegyezni, hogy a 25,5-27 </w:t>
      </w:r>
      <w:proofErr w:type="spellStart"/>
      <w:r>
        <w:t>GHz</w:t>
      </w:r>
      <w:proofErr w:type="spellEnd"/>
      <w:r>
        <w:t xml:space="preserve"> </w:t>
      </w:r>
      <w:r w:rsidR="000539FF" w:rsidRPr="00426D01">
        <w:t>frekvencia</w:t>
      </w:r>
      <w:r>
        <w:t xml:space="preserve">sáv műholdas Föld-kutató (űr-Föld irány) szolgálat alkalmazásai számára elsődleges jelleggel kijelölt és az űrkutatási (űr-Föld irány) szolgálat alkalmazásai számára elsődleges jelleggel tervezett. Jelenleg nem működik a </w:t>
      </w:r>
      <w:r w:rsidR="000539FF" w:rsidRPr="00426D01">
        <w:t>frekvencia</w:t>
      </w:r>
      <w:r>
        <w:t>sávban földi állomás, de ez nem zárja ki az esetleges jövőbe</w:t>
      </w:r>
      <w:r w:rsidR="009452D4">
        <w:t>n</w:t>
      </w:r>
      <w:r>
        <w:t xml:space="preserve">i telepítés lehetőségét, figyelembe véve, hogy a </w:t>
      </w:r>
      <w:r w:rsidR="000539FF" w:rsidRPr="00426D01">
        <w:t>frekvencia</w:t>
      </w:r>
      <w:r>
        <w:t xml:space="preserve">sáv MFCN rendszerek számára elsődleges jelleggel tervezett (illetve </w:t>
      </w:r>
      <w:r>
        <w:lastRenderedPageBreak/>
        <w:t xml:space="preserve">a későbbiekben vagy teljes egészében vagy egy részében várhatóan kijelölt lesz) az (EU) 2019/784 és (EU) 2020/590 határozatok alapján. A </w:t>
      </w:r>
      <w:r w:rsidR="000539FF" w:rsidRPr="00426D01">
        <w:t>frekvencia</w:t>
      </w:r>
      <w:r>
        <w:t>sávban működő űrkutatási és a műholdas Föld-kutató szolgálat földi állomásainak védelmére vonatkozóan az (EU) 2019/784 határozat 3. Cikk b) pontja és 5. Cikke, valamint az ECC/DEC/(18</w:t>
      </w:r>
      <w:proofErr w:type="gramStart"/>
      <w:r>
        <w:t>)06</w:t>
      </w:r>
      <w:proofErr w:type="gramEnd"/>
      <w:r>
        <w:t xml:space="preserve"> </w:t>
      </w:r>
      <w:r w:rsidR="009452D4">
        <w:t>H</w:t>
      </w:r>
      <w:r>
        <w:t>atározat 1. és 7. határozati pontja tartalmaz előírást.</w:t>
      </w:r>
    </w:p>
    <w:p w14:paraId="17F3B2D2" w14:textId="77777777" w:rsidR="008C63E0" w:rsidRDefault="008C63E0" w:rsidP="008C63E0">
      <w:pPr>
        <w:pStyle w:val="Behzottbekezdsnmhh"/>
        <w:tabs>
          <w:tab w:val="left" w:pos="977"/>
        </w:tabs>
      </w:pPr>
    </w:p>
    <w:p w14:paraId="7B1FDE01" w14:textId="77777777" w:rsidR="008C63E0" w:rsidRPr="006D7013" w:rsidRDefault="008C63E0" w:rsidP="008C63E0">
      <w:pPr>
        <w:pStyle w:val="Cmsor4szmozottnmhh"/>
        <w:numPr>
          <w:ilvl w:val="5"/>
          <w:numId w:val="29"/>
        </w:numPr>
      </w:pPr>
      <w:r>
        <w:t>Műholdas állandóhelyű szolgálat</w:t>
      </w:r>
    </w:p>
    <w:p w14:paraId="1094C3A7" w14:textId="4BCCC0CD" w:rsidR="008C63E0" w:rsidRDefault="008C63E0" w:rsidP="008C63E0">
      <w:pPr>
        <w:pStyle w:val="Behzottbekezdsnmhh"/>
        <w:tabs>
          <w:tab w:val="left" w:pos="977"/>
        </w:tabs>
      </w:pPr>
      <w:r>
        <w:t xml:space="preserve">A műholdas állandóhelyű szolgálat keretében működő földi állomásokra vonatkozó vizsgálat eredményeként szintén egy ajánlás került </w:t>
      </w:r>
      <w:r w:rsidR="009452D4">
        <w:t xml:space="preserve">közzétételre </w:t>
      </w:r>
      <w:r>
        <w:t>(ECC/REC/(20</w:t>
      </w:r>
      <w:proofErr w:type="gramStart"/>
      <w:r>
        <w:t>)01</w:t>
      </w:r>
      <w:proofErr w:type="gramEnd"/>
      <w:r>
        <w:rPr>
          <w:rStyle w:val="Lbjegyzet-hivatkozs"/>
        </w:rPr>
        <w:footnoteReference w:id="31"/>
      </w:r>
      <w:r w:rsidR="006C1538">
        <w:t>)</w:t>
      </w:r>
      <w:r>
        <w:t xml:space="preserve">. Ebben az ajánlásban a 24,65-25,25 </w:t>
      </w:r>
      <w:proofErr w:type="spellStart"/>
      <w:r>
        <w:t>GHz</w:t>
      </w:r>
      <w:proofErr w:type="spellEnd"/>
      <w:r>
        <w:t xml:space="preserve"> frekvenciatartományban </w:t>
      </w:r>
      <w:r w:rsidR="006C1538">
        <w:t xml:space="preserve">működő </w:t>
      </w:r>
      <w:r>
        <w:t xml:space="preserve">földi állomások esetén alkalmazandó védőzónák meghatározásának módjáról kapunk iránymutatásokat, hasonlóan az ECC/REC/(19)01 </w:t>
      </w:r>
      <w:r w:rsidR="009452D4">
        <w:t>A</w:t>
      </w:r>
      <w:r>
        <w:t>jánlásban leírtakhoz.</w:t>
      </w:r>
    </w:p>
    <w:p w14:paraId="362297BD" w14:textId="69EA620A" w:rsidR="008C63E0" w:rsidRDefault="008C63E0" w:rsidP="008C63E0">
      <w:pPr>
        <w:pStyle w:val="Behzottbekezdsnmhh"/>
        <w:tabs>
          <w:tab w:val="left" w:pos="977"/>
        </w:tabs>
      </w:pPr>
      <w:r>
        <w:t xml:space="preserve">A nemzeti szabályozást illetően meg kell jegyezni, hogy a 24,65-25,25 </w:t>
      </w:r>
      <w:proofErr w:type="spellStart"/>
      <w:r>
        <w:t>GHz</w:t>
      </w:r>
      <w:proofErr w:type="spellEnd"/>
      <w:r>
        <w:t xml:space="preserve"> </w:t>
      </w:r>
      <w:r w:rsidR="000539FF" w:rsidRPr="00426D01">
        <w:t>frekvencia</w:t>
      </w:r>
      <w:r>
        <w:t xml:space="preserve">sáv műholdas állandóhelyű (Föld-űr irány) szolgálat alkalmazásai számára elsődleges jelleggel tervezett. A státuszából kifolyólag jelenleg nem működik a </w:t>
      </w:r>
      <w:r w:rsidR="000539FF" w:rsidRPr="00426D01">
        <w:t>frekvencia</w:t>
      </w:r>
      <w:r>
        <w:t>sávban földi állomás, de ez nem zárja ki az esetleges jövőbe</w:t>
      </w:r>
      <w:r w:rsidR="00A239B5">
        <w:t>n</w:t>
      </w:r>
      <w:r>
        <w:t xml:space="preserve">i telepítés lehetőségét tervezettből kijelöltté történő módosítás esetén, figyelembe véve, hogy a </w:t>
      </w:r>
      <w:r w:rsidR="000539FF" w:rsidRPr="00426D01">
        <w:t>frekvencia</w:t>
      </w:r>
      <w:r>
        <w:t>sáv MFCN rendszerek számára elsődleges jelleggel tervezett (illetve a későbbiekben teljes egészében vagy egy részében várhatóan kijelölt lesz) az (EU)</w:t>
      </w:r>
      <w:r w:rsidR="00A239B5">
        <w:t xml:space="preserve"> </w:t>
      </w:r>
      <w:r>
        <w:t>2019/784 és (EU)</w:t>
      </w:r>
      <w:r w:rsidR="00A239B5">
        <w:t> </w:t>
      </w:r>
      <w:r>
        <w:t xml:space="preserve">2020/590 határozatok alapján. A </w:t>
      </w:r>
      <w:r w:rsidR="000539FF" w:rsidRPr="00426D01">
        <w:t>frekvencia</w:t>
      </w:r>
      <w:r>
        <w:t>sávban működő műholdas állandóhelyű szolgálat földi állomásainak védelmére vonatkozóan az (EU)</w:t>
      </w:r>
      <w:r w:rsidR="00A239B5">
        <w:t> </w:t>
      </w:r>
      <w:r>
        <w:t>2019/784 határozat 3. Cikk c) pontja és 5. Cikke, valamint az ECC/DEC/(18</w:t>
      </w:r>
      <w:proofErr w:type="gramStart"/>
      <w:r>
        <w:t>)06</w:t>
      </w:r>
      <w:proofErr w:type="gramEnd"/>
      <w:r>
        <w:t xml:space="preserve"> határozat 1. és 7. határozati pontja tartalmaz előírást.</w:t>
      </w:r>
    </w:p>
    <w:p w14:paraId="6823FEBB" w14:textId="77777777" w:rsidR="008C63E0" w:rsidRDefault="008C63E0" w:rsidP="008C63E0">
      <w:pPr>
        <w:pStyle w:val="Behzottbekezdsnmhh"/>
        <w:tabs>
          <w:tab w:val="left" w:pos="977"/>
        </w:tabs>
      </w:pPr>
    </w:p>
    <w:p w14:paraId="47F03A4E" w14:textId="77777777" w:rsidR="008C63E0" w:rsidRPr="006D7013" w:rsidRDefault="008C63E0" w:rsidP="008C63E0">
      <w:pPr>
        <w:pStyle w:val="Cmsor4szmozottnmhh"/>
        <w:numPr>
          <w:ilvl w:val="5"/>
          <w:numId w:val="29"/>
        </w:numPr>
      </w:pPr>
      <w:r>
        <w:t>Állandóhelyű szolgálat</w:t>
      </w:r>
    </w:p>
    <w:p w14:paraId="65F98B2A" w14:textId="7DE88EDD" w:rsidR="008C63E0" w:rsidRDefault="008C63E0" w:rsidP="008C63E0">
      <w:pPr>
        <w:pStyle w:val="Behzottbekezdsnmhh"/>
        <w:tabs>
          <w:tab w:val="left" w:pos="977"/>
        </w:tabs>
      </w:pPr>
      <w:r>
        <w:t xml:space="preserve">Az állandóhelyű rendszerekkel való összeférhetőségre vonatkozóan </w:t>
      </w:r>
      <w:r w:rsidR="00D11975">
        <w:t xml:space="preserve">elfogadásra került az </w:t>
      </w:r>
      <w:r>
        <w:t xml:space="preserve">ECC 303. </w:t>
      </w:r>
      <w:r w:rsidR="009452D4">
        <w:t>J</w:t>
      </w:r>
      <w:r>
        <w:t>elentés</w:t>
      </w:r>
      <w:r>
        <w:rPr>
          <w:rStyle w:val="Lbjegyzet-hivatkozs"/>
        </w:rPr>
        <w:footnoteReference w:id="32"/>
      </w:r>
      <w:r>
        <w:t xml:space="preserve">, amely iránymutatást ad arra </w:t>
      </w:r>
      <w:r w:rsidR="00D11975">
        <w:t>nézve</w:t>
      </w:r>
      <w:r>
        <w:t>, hogy milyen technikákat és számítási módszereket lehet alkalmazni, hogy elkerüljük az 5G mobilrendszerek és a meglévő állandóhelyű rendszerek kölcsönös zavartatását. A jelentés általános elveket fogalmaz meg, de konkrét számításokat is tartalmaz. A zavarszámítás nagyban függ a rendszerparaméterektől és telepítési és hullámterjedési jellemzőktől, ezért iránymutatás céljára alkalmas az anyag. Konkrét esetben az adott körülményeket figyelembe véve lehet a nemzeti használatra vonatkozó specifikus következtetéseket levonni.</w:t>
      </w:r>
    </w:p>
    <w:p w14:paraId="315CB961" w14:textId="0952F82F" w:rsidR="008C63E0" w:rsidRDefault="008C63E0" w:rsidP="00A239B5">
      <w:pPr>
        <w:pStyle w:val="Behzottbekezdsnmhh"/>
        <w:tabs>
          <w:tab w:val="left" w:pos="977"/>
        </w:tabs>
      </w:pPr>
      <w:r>
        <w:t xml:space="preserve">A </w:t>
      </w:r>
      <w:r w:rsidR="000539FF" w:rsidRPr="00426D01">
        <w:t>frekvencia</w:t>
      </w:r>
      <w:r>
        <w:t>sávban működő állandóhelyű szolgálati rendszerek mozgószolgálati rendszerekkel való együttélésére vonatkozóan az (EU)</w:t>
      </w:r>
      <w:r w:rsidR="00A239B5">
        <w:t> </w:t>
      </w:r>
      <w:r>
        <w:t>2019/784 határozat 4. Cikke,</w:t>
      </w:r>
      <w:r w:rsidRPr="00D21E00">
        <w:t xml:space="preserve"> </w:t>
      </w:r>
      <w:r>
        <w:t>és az ECC/DEC/(18</w:t>
      </w:r>
      <w:proofErr w:type="gramStart"/>
      <w:r>
        <w:t>)06</w:t>
      </w:r>
      <w:proofErr w:type="gramEnd"/>
      <w:r>
        <w:t xml:space="preserve"> </w:t>
      </w:r>
      <w:r w:rsidR="00A239B5">
        <w:t>H</w:t>
      </w:r>
      <w:r>
        <w:t xml:space="preserve">atározat 1. határozati pontja tesz megállapítást. A határozat szerint nemzeti alapon kell megoldást találni a két rendszer együttélésére – ehhez készült segítségképpen az ECC 303. </w:t>
      </w:r>
      <w:r w:rsidR="00A239B5">
        <w:t>J</w:t>
      </w:r>
      <w:r>
        <w:t xml:space="preserve">elentés, amely konkrét példákat is tartalmaz. </w:t>
      </w:r>
      <w:r w:rsidR="00A239B5">
        <w:t>M</w:t>
      </w:r>
      <w:r>
        <w:t xml:space="preserve">eg kell jegyezni, hogy általánosságban igen intenzíven használt </w:t>
      </w:r>
      <w:r w:rsidR="000539FF" w:rsidRPr="00426D01">
        <w:t>frekvencia</w:t>
      </w:r>
      <w:r>
        <w:t>sávról van szó a CEPT-en belül, így számos ország esetében nem megoldható a két rendszer együttélése, különösen ahol országos használat jellemző és a földrajzi elkülönítés nehezen megoldható. A frekvencia</w:t>
      </w:r>
      <w:r w:rsidR="00111B91">
        <w:t>elválasztás</w:t>
      </w:r>
      <w:r>
        <w:t xml:space="preserve"> is problémás lehet a 24,5-26,5 </w:t>
      </w:r>
      <w:proofErr w:type="spellStart"/>
      <w:r>
        <w:t>GHz</w:t>
      </w:r>
      <w:proofErr w:type="spellEnd"/>
      <w:r>
        <w:t xml:space="preserve"> </w:t>
      </w:r>
      <w:r w:rsidR="000539FF" w:rsidRPr="00426D01">
        <w:t>frekvencia</w:t>
      </w:r>
      <w:r>
        <w:t>tartományban, ahol a hagyományos FDD rendszerű állandóhelyű szolgálati rendszerek mű</w:t>
      </w:r>
      <w:r w:rsidR="000A55EE">
        <w:t>ködnek párosított sávban, míg a</w:t>
      </w:r>
      <w:r>
        <w:t xml:space="preserve"> </w:t>
      </w:r>
      <w:r w:rsidR="00D11975">
        <w:t xml:space="preserve">tervezett </w:t>
      </w:r>
      <w:r>
        <w:t xml:space="preserve">mozgószolgálati 5G rendszerek TDD </w:t>
      </w:r>
      <w:r w:rsidR="00714B17">
        <w:t>rendszerek</w:t>
      </w:r>
      <w:r>
        <w:t>, így a csatornaelrendezésük is más (</w:t>
      </w:r>
      <w:proofErr w:type="spellStart"/>
      <w:r>
        <w:t>párosítatlan</w:t>
      </w:r>
      <w:proofErr w:type="spellEnd"/>
      <w:r>
        <w:t xml:space="preserve"> elrendezés és nagy csatornasávszélességek – jellemzően 200 MHz és annak többszörösei). Emiatt sok esetben a sáv kiürítése az egyetlen megoldás, ami nem bonyolítja tovább a </w:t>
      </w:r>
      <w:r>
        <w:lastRenderedPageBreak/>
        <w:t xml:space="preserve">TDD üzemű 5G rendszereknél alapból is felmerülő, </w:t>
      </w:r>
      <w:proofErr w:type="spellStart"/>
      <w:r>
        <w:t>szinkronizációból</w:t>
      </w:r>
      <w:proofErr w:type="spellEnd"/>
      <w:r>
        <w:t xml:space="preserve"> adódó komplexitást (mind szomszédcsatornás esetben, mind határmenti használatnál azonoscsatornás esetben).</w:t>
      </w:r>
    </w:p>
    <w:p w14:paraId="4D408006" w14:textId="77777777" w:rsidR="008C63E0" w:rsidRDefault="008C63E0" w:rsidP="008C63E0">
      <w:pPr>
        <w:pStyle w:val="Behzottbekezdsnmhh"/>
        <w:tabs>
          <w:tab w:val="left" w:pos="977"/>
        </w:tabs>
      </w:pPr>
    </w:p>
    <w:p w14:paraId="3E7C5274" w14:textId="77777777" w:rsidR="008C63E0" w:rsidRDefault="008C63E0" w:rsidP="008C63E0">
      <w:pPr>
        <w:pStyle w:val="Cmsor4szmozottnmhh"/>
        <w:numPr>
          <w:ilvl w:val="4"/>
          <w:numId w:val="29"/>
        </w:numPr>
      </w:pPr>
      <w:r>
        <w:t>Szinkronizáció</w:t>
      </w:r>
    </w:p>
    <w:p w14:paraId="4273F1AD" w14:textId="3425E4E3" w:rsidR="008C63E0" w:rsidRDefault="008C63E0" w:rsidP="008C63E0">
      <w:pPr>
        <w:pStyle w:val="Behzottbekezdsnmhh"/>
        <w:tabs>
          <w:tab w:val="left" w:pos="977"/>
        </w:tabs>
      </w:pPr>
      <w:r>
        <w:t>Az ECC</w:t>
      </w:r>
      <w:r w:rsidR="00DC0CDB">
        <w:t>/</w:t>
      </w:r>
      <w:r>
        <w:t xml:space="preserve">PT1 munkacsoport </w:t>
      </w:r>
      <w:r w:rsidR="00EE02F0">
        <w:t xml:space="preserve">vizsgálatokat végzett </w:t>
      </w:r>
      <w:r>
        <w:t xml:space="preserve">a 26 </w:t>
      </w:r>
      <w:proofErr w:type="spellStart"/>
      <w:r>
        <w:t>GHz</w:t>
      </w:r>
      <w:proofErr w:type="spellEnd"/>
      <w:r>
        <w:t xml:space="preserve"> </w:t>
      </w:r>
      <w:r w:rsidR="00414891" w:rsidRPr="00426D01">
        <w:t>frekvencia</w:t>
      </w:r>
      <w:r>
        <w:t xml:space="preserve">sávban </w:t>
      </w:r>
      <w:r w:rsidR="008E78EF">
        <w:t xml:space="preserve">tervezett TDD </w:t>
      </w:r>
      <w:proofErr w:type="spellStart"/>
      <w:r w:rsidR="008E78EF">
        <w:t>hozzáférésű</w:t>
      </w:r>
      <w:proofErr w:type="spellEnd"/>
      <w:r w:rsidR="008E78EF">
        <w:t xml:space="preserve"> </w:t>
      </w:r>
      <w:r>
        <w:t xml:space="preserve">MFCN rendszerek </w:t>
      </w:r>
      <w:r w:rsidR="00EE02F0">
        <w:t>összeférhetőségével</w:t>
      </w:r>
      <w:r w:rsidR="008E78EF">
        <w:t xml:space="preserve"> </w:t>
      </w:r>
      <w:r>
        <w:t>kapcsolatban</w:t>
      </w:r>
      <w:r w:rsidR="00EE02F0">
        <w:t xml:space="preserve">. A vizsgálatok eredményeit tartalmazó </w:t>
      </w:r>
      <w:r w:rsidRPr="00C32DBF">
        <w:t>ECC 307</w:t>
      </w:r>
      <w:r>
        <w:t xml:space="preserve">. </w:t>
      </w:r>
      <w:r w:rsidR="00DC0CDB">
        <w:t>J</w:t>
      </w:r>
      <w:r>
        <w:t>ele</w:t>
      </w:r>
      <w:r w:rsidR="00977123">
        <w:t>n</w:t>
      </w:r>
      <w:r>
        <w:t>tés</w:t>
      </w:r>
      <w:r>
        <w:rPr>
          <w:rStyle w:val="Lbjegyzet-hivatkozs"/>
        </w:rPr>
        <w:footnoteReference w:id="33"/>
      </w:r>
      <w:r>
        <w:t xml:space="preserve"> 2020 márciusában </w:t>
      </w:r>
      <w:r w:rsidR="008E78EF">
        <w:t>került elfogadásra</w:t>
      </w:r>
      <w:r>
        <w:t>. A jelentés</w:t>
      </w:r>
      <w:r w:rsidR="008E78EF">
        <w:t>ben találhat</w:t>
      </w:r>
      <w:r w:rsidR="00EE02F0">
        <w:t>ó</w:t>
      </w:r>
      <w:r>
        <w:t xml:space="preserve"> </w:t>
      </w:r>
      <w:r w:rsidR="00DC0CDB">
        <w:t xml:space="preserve">következtetéseket </w:t>
      </w:r>
      <w:r>
        <w:t>tartalmazó ábrák jól szemléltetik, hogy kültéri telepítésnél milyen kizáró távolságok alkalmazása javasolt az egyes szinkronizációs opciók esetén, azonos, illetve szomszédcsatornás használatra vonatkozóan. A jelentés szerint beltéri telepítés esetén nem kell szükségszerűen szinkronizálni a bázisállomásokat, de a telepítési körülmények befolyásolhatják a zavartatás</w:t>
      </w:r>
      <w:r w:rsidR="008E78EF">
        <w:t>i helyzetet.</w:t>
      </w:r>
      <w:r>
        <w:t xml:space="preserve"> A kültéri és beltéri rendszerek közti összeférhetőség </w:t>
      </w:r>
      <w:r w:rsidR="00F431E2">
        <w:t xml:space="preserve">nem </w:t>
      </w:r>
      <w:r>
        <w:t>szinkronizál</w:t>
      </w:r>
      <w:r w:rsidR="00F431E2">
        <w:t>t</w:t>
      </w:r>
      <w:r>
        <w:t xml:space="preserve"> esetbe</w:t>
      </w:r>
      <w:r w:rsidR="000A55EE">
        <w:t>n nagyban függ az épület</w:t>
      </w:r>
      <w:r>
        <w:t>csillapítástól. A vizsgálatokban használt rendszerparamétereket (csatornasávszélesség, antennamagasság, antenna konfiguráció, stb.) és egyéb részleteket (pl. hullámterjedési modell, szimulációs módszer) a jelentés vonatkozó fejezetei tartalmazzák.</w:t>
      </w:r>
    </w:p>
    <w:p w14:paraId="750B42E6" w14:textId="77777777" w:rsidR="008C63E0" w:rsidRDefault="008C63E0" w:rsidP="008C63E0">
      <w:pPr>
        <w:pStyle w:val="Behzottbekezdsnmhh"/>
        <w:tabs>
          <w:tab w:val="left" w:pos="977"/>
        </w:tabs>
      </w:pPr>
    </w:p>
    <w:p w14:paraId="4C127594" w14:textId="77777777" w:rsidR="008C63E0" w:rsidRDefault="008C63E0" w:rsidP="008C63E0">
      <w:pPr>
        <w:pStyle w:val="Behzottbekezdsnmhh"/>
        <w:keepNext/>
        <w:tabs>
          <w:tab w:val="left" w:pos="977"/>
        </w:tabs>
      </w:pPr>
      <w:r w:rsidRPr="0021075B">
        <w:rPr>
          <w:noProof/>
          <w:lang w:eastAsia="hu-HU"/>
        </w:rPr>
        <w:drawing>
          <wp:inline distT="0" distB="0" distL="0" distR="0" wp14:anchorId="48DFF7EC" wp14:editId="5FF1AF8C">
            <wp:extent cx="4888865" cy="1578477"/>
            <wp:effectExtent l="0" t="0" r="0" b="0"/>
            <wp:docPr id="9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1525" cy="1585793"/>
                    </a:xfrm>
                    <a:prstGeom prst="rect">
                      <a:avLst/>
                    </a:prstGeom>
                    <a:noFill/>
                    <a:ln>
                      <a:noFill/>
                    </a:ln>
                  </pic:spPr>
                </pic:pic>
              </a:graphicData>
            </a:graphic>
          </wp:inline>
        </w:drawing>
      </w:r>
    </w:p>
    <w:p w14:paraId="7B358AB3" w14:textId="53A6C4C5" w:rsidR="008C63E0" w:rsidRDefault="00AA3C2D" w:rsidP="008C63E0">
      <w:pPr>
        <w:pStyle w:val="Kpalrs"/>
        <w:jc w:val="center"/>
      </w:pPr>
      <w:r>
        <w:fldChar w:fldCharType="begin"/>
      </w:r>
      <w:r>
        <w:instrText xml:space="preserve"> SEQ ábra \* ARA</w:instrText>
      </w:r>
      <w:r>
        <w:instrText xml:space="preserve">BIC </w:instrText>
      </w:r>
      <w:r>
        <w:fldChar w:fldCharType="separate"/>
      </w:r>
      <w:r w:rsidR="008C63E0">
        <w:rPr>
          <w:noProof/>
        </w:rPr>
        <w:t>2</w:t>
      </w:r>
      <w:r>
        <w:rPr>
          <w:noProof/>
        </w:rPr>
        <w:fldChar w:fldCharType="end"/>
      </w:r>
      <w:r w:rsidR="008C63E0">
        <w:t xml:space="preserve">. ábra Szinkronizációs opciók kültéri telepítés és azonos csatornás használat esetén </w:t>
      </w:r>
      <w:r w:rsidR="00136C02">
        <w:t>(forrás: ECC 307. Jelentés</w:t>
      </w:r>
      <w:r w:rsidR="001B379D">
        <w:t>)</w:t>
      </w:r>
    </w:p>
    <w:p w14:paraId="5016F05C" w14:textId="77777777" w:rsidR="008C63E0" w:rsidRPr="003905C6" w:rsidRDefault="008C63E0" w:rsidP="008C63E0"/>
    <w:p w14:paraId="1B0FD2AA" w14:textId="77777777" w:rsidR="008C63E0" w:rsidRDefault="008C63E0" w:rsidP="00172E2E">
      <w:pPr>
        <w:pStyle w:val="Behzottbekezdsnmhh"/>
        <w:keepNext/>
        <w:tabs>
          <w:tab w:val="left" w:pos="977"/>
        </w:tabs>
        <w:jc w:val="center"/>
      </w:pPr>
      <w:r w:rsidRPr="0021075B">
        <w:rPr>
          <w:noProof/>
          <w:lang w:eastAsia="hu-HU"/>
        </w:rPr>
        <w:drawing>
          <wp:inline distT="0" distB="0" distL="0" distR="0" wp14:anchorId="7D106E10" wp14:editId="54A77466">
            <wp:extent cx="4619625" cy="1880685"/>
            <wp:effectExtent l="0" t="0" r="0" b="0"/>
            <wp:docPr id="93"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9023" cy="1888582"/>
                    </a:xfrm>
                    <a:prstGeom prst="rect">
                      <a:avLst/>
                    </a:prstGeom>
                    <a:noFill/>
                    <a:ln>
                      <a:noFill/>
                    </a:ln>
                  </pic:spPr>
                </pic:pic>
              </a:graphicData>
            </a:graphic>
          </wp:inline>
        </w:drawing>
      </w:r>
    </w:p>
    <w:p w14:paraId="4911840C" w14:textId="1EA2C1E7" w:rsidR="008C63E0" w:rsidRDefault="00AA3C2D" w:rsidP="008C63E0">
      <w:pPr>
        <w:pStyle w:val="Kpalrs"/>
        <w:jc w:val="center"/>
      </w:pPr>
      <w:r>
        <w:fldChar w:fldCharType="begin"/>
      </w:r>
      <w:r>
        <w:instrText xml:space="preserve"> SEQ ábra \* ARABIC </w:instrText>
      </w:r>
      <w:r>
        <w:fldChar w:fldCharType="separate"/>
      </w:r>
      <w:r w:rsidR="008C63E0">
        <w:rPr>
          <w:noProof/>
        </w:rPr>
        <w:t>3</w:t>
      </w:r>
      <w:r>
        <w:rPr>
          <w:noProof/>
        </w:rPr>
        <w:fldChar w:fldCharType="end"/>
      </w:r>
      <w:r w:rsidR="008C63E0">
        <w:t>. ábra Szinkronizációs opciók kültéri telepítés és szomszédcsatornás használat esetén</w:t>
      </w:r>
      <w:r w:rsidR="00E71915">
        <w:t xml:space="preserve"> </w:t>
      </w:r>
      <w:r w:rsidR="00136C02">
        <w:t>(forrás: ECC 307. Jelentés)</w:t>
      </w:r>
    </w:p>
    <w:p w14:paraId="645F3249" w14:textId="77777777" w:rsidR="008C63E0" w:rsidRDefault="008C63E0" w:rsidP="008C63E0">
      <w:pPr>
        <w:pStyle w:val="Cmsor4szmozottnmhh"/>
        <w:numPr>
          <w:ilvl w:val="4"/>
          <w:numId w:val="29"/>
        </w:numPr>
      </w:pPr>
      <w:r>
        <w:lastRenderedPageBreak/>
        <w:t>Engedélyezési kérdések</w:t>
      </w:r>
    </w:p>
    <w:p w14:paraId="33190272" w14:textId="192AD703" w:rsidR="008C63E0" w:rsidRPr="00281C63" w:rsidRDefault="008C63E0" w:rsidP="008C63E0">
      <w:pPr>
        <w:pStyle w:val="Behzottbekezdsnmhh"/>
        <w:tabs>
          <w:tab w:val="left" w:pos="977"/>
        </w:tabs>
      </w:pPr>
      <w:r w:rsidRPr="0087721E">
        <w:t xml:space="preserve">A 26 </w:t>
      </w:r>
      <w:proofErr w:type="spellStart"/>
      <w:r w:rsidRPr="0087721E">
        <w:t>GHz</w:t>
      </w:r>
      <w:proofErr w:type="spellEnd"/>
      <w:r w:rsidRPr="0087721E">
        <w:t xml:space="preserve">-es </w:t>
      </w:r>
      <w:r w:rsidR="00414891" w:rsidRPr="00426D01">
        <w:t>frekvencia</w:t>
      </w:r>
      <w:r w:rsidRPr="0087721E">
        <w:t>sáv (24</w:t>
      </w:r>
      <w:r>
        <w:t>,</w:t>
      </w:r>
      <w:r w:rsidRPr="0087721E">
        <w:t>25-27</w:t>
      </w:r>
      <w:r>
        <w:t>,</w:t>
      </w:r>
      <w:r w:rsidRPr="0087721E">
        <w:t xml:space="preserve">5 </w:t>
      </w:r>
      <w:proofErr w:type="spellStart"/>
      <w:r w:rsidRPr="0087721E">
        <w:t>GHz</w:t>
      </w:r>
      <w:proofErr w:type="spellEnd"/>
      <w:r w:rsidRPr="0087721E">
        <w:t xml:space="preserve">) </w:t>
      </w:r>
      <w:r w:rsidR="00EE02F0">
        <w:t>MFCN</w:t>
      </w:r>
      <w:r w:rsidR="00EE02F0" w:rsidRPr="0087721E">
        <w:t xml:space="preserve"> </w:t>
      </w:r>
      <w:r w:rsidRPr="0087721E">
        <w:t>célú felhasználásá</w:t>
      </w:r>
      <w:r w:rsidR="00EE02F0">
        <w:t xml:space="preserve">hoz kapcsolódó </w:t>
      </w:r>
      <w:r w:rsidRPr="00281C63">
        <w:t xml:space="preserve">legkevésbé </w:t>
      </w:r>
      <w:r w:rsidR="00977123">
        <w:t>korlátozó</w:t>
      </w:r>
      <w:r w:rsidRPr="00281C63">
        <w:t xml:space="preserve"> műszaki feltételek (</w:t>
      </w:r>
      <w:r w:rsidRPr="00A56D0C">
        <w:t>LRTC</w:t>
      </w:r>
      <w:r w:rsidR="00977123" w:rsidRPr="00977123">
        <w:rPr>
          <w:rStyle w:val="Lbjegyzet-hivatkozs"/>
        </w:rPr>
        <w:footnoteReference w:id="34"/>
      </w:r>
      <w:r w:rsidRPr="00A56D0C">
        <w:t>)</w:t>
      </w:r>
      <w:r w:rsidRPr="00281C63">
        <w:t xml:space="preserve"> </w:t>
      </w:r>
      <w:r w:rsidR="008F7774" w:rsidRPr="00281C63">
        <w:t>kidolgozás</w:t>
      </w:r>
      <w:r w:rsidR="008F7774">
        <w:t>a</w:t>
      </w:r>
      <w:r w:rsidR="008F7774" w:rsidRPr="00281C63">
        <w:t xml:space="preserve"> </w:t>
      </w:r>
      <w:r w:rsidRPr="00281C63">
        <w:t>az egyedi engedélyezés</w:t>
      </w:r>
      <w:r w:rsidR="008F7774">
        <w:t xml:space="preserve">hez kötött </w:t>
      </w:r>
      <w:r w:rsidRPr="00281C63">
        <w:t>használ</w:t>
      </w:r>
      <w:r w:rsidR="008F7774">
        <w:t>aton alapult</w:t>
      </w:r>
      <w:r w:rsidR="00714B17">
        <w:t xml:space="preserve">, </w:t>
      </w:r>
      <w:r>
        <w:t xml:space="preserve">figyelembe véve a szomszédos </w:t>
      </w:r>
      <w:r w:rsidR="00414891" w:rsidRPr="00426D01">
        <w:t>frekvencia</w:t>
      </w:r>
      <w:r>
        <w:t>sávokban működő passzív szolgálatokat is</w:t>
      </w:r>
      <w:r w:rsidRPr="00281C63">
        <w:t xml:space="preserve">. </w:t>
      </w:r>
      <w:r>
        <w:t xml:space="preserve">A </w:t>
      </w:r>
      <w:r w:rsidR="00414891" w:rsidRPr="00426D01">
        <w:t>frekvencia</w:t>
      </w:r>
      <w:r>
        <w:t xml:space="preserve">sávban működő egyéb szolgálatok alkalmazásaival való együttélésre vonatkozóan különböző ajánlások és jelentések készültek, amelyek iránymutatást adnak arra vonatkozóan, hogy milyen módon lehet eljárni, ha a tagállamok a </w:t>
      </w:r>
      <w:r w:rsidR="00414891" w:rsidRPr="00426D01">
        <w:t>frekvencia</w:t>
      </w:r>
      <w:r>
        <w:t>sávban MFCN rendszereket szeretnének bevezetni a más</w:t>
      </w:r>
      <w:r w:rsidR="00407364">
        <w:t>féle</w:t>
      </w:r>
      <w:r>
        <w:t xml:space="preserve"> meglévő alkalmazások mellett.</w:t>
      </w:r>
      <w:r w:rsidR="00407364">
        <w:t xml:space="preserve"> </w:t>
      </w:r>
      <w:r>
        <w:t>A</w:t>
      </w:r>
      <w:r w:rsidRPr="00281C63">
        <w:t xml:space="preserve">z </w:t>
      </w:r>
      <w:r>
        <w:t>MFCN rendszerekre vonatkozó európai szinten harmonizált sávhasználati feltételeket</w:t>
      </w:r>
      <w:r w:rsidRPr="00281C63">
        <w:t xml:space="preserve"> </w:t>
      </w:r>
      <w:r>
        <w:t xml:space="preserve">tartalmazó Bizottsági végrehajtási </w:t>
      </w:r>
      <w:r w:rsidRPr="00281C63">
        <w:t xml:space="preserve">határozat elfogadásakor a Bizottság felkérte a CEPT-et </w:t>
      </w:r>
      <w:r>
        <w:t>az egyedi</w:t>
      </w:r>
      <w:r w:rsidRPr="00281C63">
        <w:t xml:space="preserve"> engedélyezés</w:t>
      </w:r>
      <w:r>
        <w:t>től</w:t>
      </w:r>
      <w:r w:rsidRPr="00281C63">
        <w:t xml:space="preserve"> </w:t>
      </w:r>
      <w:r>
        <w:t>eltérő engedélyezési módok</w:t>
      </w:r>
      <w:r w:rsidRPr="00281C63">
        <w:t xml:space="preserve"> használatának tanulmányozására is.</w:t>
      </w:r>
    </w:p>
    <w:p w14:paraId="617FA6C7" w14:textId="4A82164A" w:rsidR="008C63E0" w:rsidRDefault="008C63E0" w:rsidP="008C63E0">
      <w:pPr>
        <w:pStyle w:val="Behzottbekezdsnmhh"/>
        <w:tabs>
          <w:tab w:val="left" w:pos="977"/>
        </w:tabs>
      </w:pPr>
      <w:r w:rsidRPr="00CB59D1">
        <w:t>Az ECC</w:t>
      </w:r>
      <w:r w:rsidR="00F431E2">
        <w:t>/</w:t>
      </w:r>
      <w:r w:rsidRPr="00CB59D1">
        <w:t xml:space="preserve">PT1 munkacsoport </w:t>
      </w:r>
      <w:r>
        <w:t>dolgozta ki</w:t>
      </w:r>
      <w:r w:rsidRPr="00CB59D1">
        <w:t xml:space="preserve"> </w:t>
      </w:r>
      <w:r>
        <w:t xml:space="preserve">az </w:t>
      </w:r>
      <w:r w:rsidRPr="00CB59D1">
        <w:t xml:space="preserve">ECC </w:t>
      </w:r>
      <w:r>
        <w:t xml:space="preserve">317. </w:t>
      </w:r>
      <w:r w:rsidR="00F431E2">
        <w:t>J</w:t>
      </w:r>
      <w:r w:rsidRPr="00CB59D1">
        <w:t>elentés</w:t>
      </w:r>
      <w:r>
        <w:t>t</w:t>
      </w:r>
      <w:r>
        <w:rPr>
          <w:rStyle w:val="Lbjegyzet-hivatkozs"/>
        </w:rPr>
        <w:footnoteReference w:id="35"/>
      </w:r>
      <w:r w:rsidRPr="00CB59D1">
        <w:t xml:space="preserve">, amely </w:t>
      </w:r>
      <w:r w:rsidR="00763B3C">
        <w:t>tájékoztatást nyújt a</w:t>
      </w:r>
      <w:r w:rsidR="00F431E2">
        <w:t>z igazgatásoknak</w:t>
      </w:r>
      <w:r w:rsidR="00763B3C">
        <w:t>, az MFCN rendszereknél szokásos egyedi engedélyezési eljáráson kívüli más engedélyezési formák esetén az egyéb szolgálatokkal való együttélés feltételeivel kapcsolatban.</w:t>
      </w:r>
      <w:r w:rsidRPr="00CB59D1">
        <w:t xml:space="preserve"> </w:t>
      </w:r>
      <w:r>
        <w:t xml:space="preserve">Az engedélyezési módok jó áttekintését adja az ECC 132. </w:t>
      </w:r>
      <w:r w:rsidR="00F431E2">
        <w:t>J</w:t>
      </w:r>
      <w:r>
        <w:t>elentésben található táblázat</w:t>
      </w:r>
      <w:r w:rsidR="00763B3C">
        <w:t xml:space="preserve">, amelynek megállapításait, eredményeit felhasználták az ECC 317. </w:t>
      </w:r>
      <w:r w:rsidR="00F431E2">
        <w:t>J</w:t>
      </w:r>
      <w:r w:rsidR="00763B3C">
        <w:t>elentés kidolgozásához</w:t>
      </w:r>
      <w:r w:rsidR="00AB7288">
        <w:t>.</w:t>
      </w:r>
    </w:p>
    <w:tbl>
      <w:tblPr>
        <w:tblW w:w="934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344"/>
        <w:gridCol w:w="2331"/>
        <w:gridCol w:w="2331"/>
        <w:gridCol w:w="2340"/>
      </w:tblGrid>
      <w:tr w:rsidR="008C63E0" w:rsidRPr="00742FDE" w14:paraId="19A2FB2E" w14:textId="77777777" w:rsidTr="00A56D0C">
        <w:trPr>
          <w:trHeight w:val="481"/>
          <w:jc w:val="center"/>
        </w:trPr>
        <w:tc>
          <w:tcPr>
            <w:tcW w:w="4675" w:type="dxa"/>
            <w:gridSpan w:val="2"/>
            <w:shd w:val="clear" w:color="auto" w:fill="95B3D7" w:themeFill="accent1" w:themeFillTint="99"/>
          </w:tcPr>
          <w:p w14:paraId="792E188D" w14:textId="3F684974" w:rsidR="008C63E0" w:rsidRPr="00A56D0C" w:rsidRDefault="008C63E0" w:rsidP="001C5172">
            <w:pPr>
              <w:pStyle w:val="ECCFiguregraphcentered"/>
              <w:spacing w:before="120" w:after="120"/>
              <w:rPr>
                <w:noProof w:val="0"/>
                <w:lang w:val="hu-HU"/>
              </w:rPr>
            </w:pPr>
            <w:r w:rsidRPr="00A56D0C">
              <w:rPr>
                <w:rStyle w:val="ECCHLbold"/>
                <w:noProof w:val="0"/>
                <w:lang w:val="hu-HU"/>
              </w:rPr>
              <w:t>Egyedi engedélyezés</w:t>
            </w:r>
            <w:r w:rsidRPr="00A56D0C">
              <w:rPr>
                <w:rStyle w:val="ECCHLbold"/>
                <w:lang w:val="hu-HU"/>
              </w:rPr>
              <w:br/>
            </w:r>
            <w:r w:rsidRPr="00A56D0C">
              <w:rPr>
                <w:noProof w:val="0"/>
                <w:lang w:val="hu-HU"/>
              </w:rPr>
              <w:t xml:space="preserve">(Egyedi </w:t>
            </w:r>
            <w:r w:rsidR="001C5172" w:rsidRPr="00A56D0C">
              <w:rPr>
                <w:noProof w:val="0"/>
                <w:lang w:val="hu-HU"/>
              </w:rPr>
              <w:t>rádióspektrum-</w:t>
            </w:r>
            <w:r w:rsidRPr="00A56D0C">
              <w:rPr>
                <w:noProof w:val="0"/>
                <w:lang w:val="hu-HU"/>
              </w:rPr>
              <w:t>használati jogok)</w:t>
            </w:r>
          </w:p>
        </w:tc>
        <w:tc>
          <w:tcPr>
            <w:tcW w:w="4671" w:type="dxa"/>
            <w:gridSpan w:val="2"/>
            <w:shd w:val="clear" w:color="auto" w:fill="95B3D7" w:themeFill="accent1" w:themeFillTint="99"/>
          </w:tcPr>
          <w:p w14:paraId="7870C784" w14:textId="6E06A7E2" w:rsidR="008C63E0" w:rsidRPr="00A56D0C" w:rsidRDefault="008C63E0" w:rsidP="001C5172">
            <w:pPr>
              <w:pStyle w:val="ECCFiguregraphcentered"/>
              <w:spacing w:before="120" w:after="120"/>
              <w:rPr>
                <w:noProof w:val="0"/>
                <w:lang w:val="hu-HU"/>
              </w:rPr>
            </w:pPr>
            <w:r w:rsidRPr="00A56D0C">
              <w:rPr>
                <w:rStyle w:val="ECCHLbold"/>
                <w:noProof w:val="0"/>
                <w:lang w:val="hu-HU"/>
              </w:rPr>
              <w:t>Általános engedélyezés</w:t>
            </w:r>
            <w:r w:rsidRPr="00A56D0C">
              <w:rPr>
                <w:rStyle w:val="ECCHLbold"/>
                <w:lang w:val="hu-HU"/>
              </w:rPr>
              <w:br/>
            </w:r>
            <w:r w:rsidRPr="00A56D0C">
              <w:rPr>
                <w:noProof w:val="0"/>
                <w:lang w:val="hu-HU"/>
              </w:rPr>
              <w:t xml:space="preserve">(Nem egyedi </w:t>
            </w:r>
            <w:r w:rsidR="001C5172" w:rsidRPr="00A56D0C">
              <w:rPr>
                <w:noProof w:val="0"/>
                <w:lang w:val="hu-HU"/>
              </w:rPr>
              <w:t>rádióspektrum-</w:t>
            </w:r>
            <w:r w:rsidRPr="00A56D0C">
              <w:rPr>
                <w:noProof w:val="0"/>
                <w:lang w:val="hu-HU"/>
              </w:rPr>
              <w:t>használati jogok)</w:t>
            </w:r>
          </w:p>
        </w:tc>
      </w:tr>
      <w:tr w:rsidR="008C63E0" w:rsidRPr="00742FDE" w14:paraId="1E6B247B" w14:textId="77777777" w:rsidTr="00A56D0C">
        <w:trPr>
          <w:trHeight w:val="465"/>
          <w:jc w:val="center"/>
        </w:trPr>
        <w:tc>
          <w:tcPr>
            <w:tcW w:w="2344" w:type="dxa"/>
            <w:shd w:val="clear" w:color="auto" w:fill="95B3D7" w:themeFill="accent1" w:themeFillTint="99"/>
          </w:tcPr>
          <w:p w14:paraId="1C8AE0AA" w14:textId="77777777" w:rsidR="008C63E0" w:rsidRPr="00A56D0C" w:rsidRDefault="008C63E0" w:rsidP="00414891">
            <w:pPr>
              <w:pStyle w:val="ECCFiguregraphcentered"/>
              <w:spacing w:before="120" w:after="120"/>
              <w:rPr>
                <w:lang w:val="en-GB"/>
              </w:rPr>
            </w:pPr>
            <w:proofErr w:type="spellStart"/>
            <w:r w:rsidRPr="00A56D0C">
              <w:rPr>
                <w:rStyle w:val="ECCHLbold"/>
                <w:noProof w:val="0"/>
                <w:lang w:val="en-GB"/>
              </w:rPr>
              <w:t>Egyedi</w:t>
            </w:r>
            <w:proofErr w:type="spellEnd"/>
            <w:r w:rsidRPr="00A56D0C">
              <w:rPr>
                <w:rStyle w:val="ECCHLbold"/>
                <w:noProof w:val="0"/>
                <w:lang w:val="en-GB"/>
              </w:rPr>
              <w:t xml:space="preserve"> </w:t>
            </w:r>
            <w:proofErr w:type="spellStart"/>
            <w:r w:rsidRPr="00A56D0C">
              <w:rPr>
                <w:rStyle w:val="ECCHLbold"/>
                <w:noProof w:val="0"/>
                <w:lang w:val="en-GB"/>
              </w:rPr>
              <w:t>engedélyezés</w:t>
            </w:r>
            <w:proofErr w:type="spellEnd"/>
            <w:r w:rsidRPr="00A56D0C">
              <w:rPr>
                <w:rStyle w:val="ECCHLbold"/>
                <w:lang w:val="en-GB"/>
              </w:rPr>
              <w:br/>
            </w:r>
          </w:p>
        </w:tc>
        <w:tc>
          <w:tcPr>
            <w:tcW w:w="4662" w:type="dxa"/>
            <w:gridSpan w:val="2"/>
            <w:shd w:val="clear" w:color="auto" w:fill="95B3D7" w:themeFill="accent1" w:themeFillTint="99"/>
          </w:tcPr>
          <w:p w14:paraId="16D9A224" w14:textId="77777777" w:rsidR="008C63E0" w:rsidRPr="00A56D0C" w:rsidRDefault="008C63E0" w:rsidP="00414891">
            <w:pPr>
              <w:pStyle w:val="ECCFiguregraphcentered"/>
              <w:spacing w:before="120" w:after="120"/>
              <w:rPr>
                <w:rStyle w:val="ECCHLbold"/>
                <w:noProof w:val="0"/>
                <w:lang w:val="en-GB"/>
              </w:rPr>
            </w:pPr>
            <w:proofErr w:type="spellStart"/>
            <w:r w:rsidRPr="00A56D0C">
              <w:rPr>
                <w:rStyle w:val="ECCHLbold"/>
                <w:noProof w:val="0"/>
                <w:lang w:val="en-GB"/>
              </w:rPr>
              <w:t>Egyszerűsített</w:t>
            </w:r>
            <w:proofErr w:type="spellEnd"/>
            <w:r w:rsidRPr="00A56D0C">
              <w:rPr>
                <w:rStyle w:val="ECCHLbold"/>
                <w:noProof w:val="0"/>
                <w:lang w:val="en-GB"/>
              </w:rPr>
              <w:t xml:space="preserve"> </w:t>
            </w:r>
            <w:proofErr w:type="spellStart"/>
            <w:r w:rsidRPr="00A56D0C">
              <w:rPr>
                <w:rStyle w:val="ECCHLbold"/>
                <w:noProof w:val="0"/>
                <w:lang w:val="en-GB"/>
              </w:rPr>
              <w:t>engedélyezés</w:t>
            </w:r>
            <w:proofErr w:type="spellEnd"/>
          </w:p>
        </w:tc>
        <w:tc>
          <w:tcPr>
            <w:tcW w:w="2340" w:type="dxa"/>
            <w:shd w:val="clear" w:color="auto" w:fill="95B3D7" w:themeFill="accent1" w:themeFillTint="99"/>
          </w:tcPr>
          <w:p w14:paraId="362E0463" w14:textId="77777777" w:rsidR="008C63E0" w:rsidRPr="00A56D0C" w:rsidRDefault="008C63E0" w:rsidP="00414891">
            <w:pPr>
              <w:pStyle w:val="ECCFiguregraphcentered"/>
              <w:spacing w:before="120" w:after="120"/>
              <w:rPr>
                <w:rStyle w:val="ECCHLbold"/>
                <w:noProof w:val="0"/>
                <w:lang w:val="en-GB"/>
              </w:rPr>
            </w:pPr>
            <w:proofErr w:type="spellStart"/>
            <w:r w:rsidRPr="00A56D0C">
              <w:rPr>
                <w:rStyle w:val="ECCHLbold"/>
                <w:noProof w:val="0"/>
                <w:lang w:val="en-GB"/>
              </w:rPr>
              <w:t>Engedélymentes</w:t>
            </w:r>
            <w:proofErr w:type="spellEnd"/>
          </w:p>
        </w:tc>
      </w:tr>
      <w:tr w:rsidR="008C63E0" w:rsidRPr="00742FDE" w14:paraId="1CBE9CCC" w14:textId="77777777" w:rsidTr="00A56D0C">
        <w:trPr>
          <w:trHeight w:val="1624"/>
          <w:jc w:val="center"/>
        </w:trPr>
        <w:tc>
          <w:tcPr>
            <w:tcW w:w="2344" w:type="dxa"/>
          </w:tcPr>
          <w:p w14:paraId="0F634659" w14:textId="77777777" w:rsidR="008C63E0" w:rsidRPr="00AA4778" w:rsidRDefault="008C63E0" w:rsidP="00414891">
            <w:pPr>
              <w:pStyle w:val="ECCTabletext"/>
              <w:jc w:val="left"/>
              <w:rPr>
                <w:lang w:val="hu-HU"/>
              </w:rPr>
            </w:pPr>
            <w:r w:rsidRPr="00AA4778">
              <w:rPr>
                <w:lang w:val="hu-HU"/>
              </w:rPr>
              <w:t>Egyedi frekvenciatervezés / koordináció</w:t>
            </w:r>
          </w:p>
          <w:p w14:paraId="6E8E78A1" w14:textId="77777777" w:rsidR="008C63E0" w:rsidRPr="00AA4778" w:rsidRDefault="008C63E0" w:rsidP="00414891">
            <w:pPr>
              <w:pStyle w:val="ECCTabletext"/>
              <w:jc w:val="left"/>
              <w:rPr>
                <w:lang w:val="hu-HU"/>
              </w:rPr>
            </w:pPr>
            <w:r w:rsidRPr="00AA4778">
              <w:rPr>
                <w:lang w:val="hu-HU"/>
              </w:rPr>
              <w:t>“Hagyományos engedélyezési eljárás”</w:t>
            </w:r>
          </w:p>
        </w:tc>
        <w:tc>
          <w:tcPr>
            <w:tcW w:w="2331" w:type="dxa"/>
          </w:tcPr>
          <w:p w14:paraId="6AB6B072" w14:textId="77777777" w:rsidR="008C63E0" w:rsidRPr="009E7932" w:rsidRDefault="008C63E0" w:rsidP="00414891">
            <w:pPr>
              <w:pStyle w:val="ECCTabletext"/>
              <w:jc w:val="left"/>
              <w:rPr>
                <w:lang w:val="hu-HU"/>
              </w:rPr>
            </w:pPr>
            <w:r w:rsidRPr="009E7932">
              <w:rPr>
                <w:lang w:val="hu-HU"/>
              </w:rPr>
              <w:t xml:space="preserve">Egyedi frekvenciatervezés / koordináció </w:t>
            </w:r>
          </w:p>
          <w:p w14:paraId="7D9BFE45" w14:textId="77777777" w:rsidR="008C63E0" w:rsidRPr="009E7932" w:rsidRDefault="008C63E0" w:rsidP="00414891">
            <w:pPr>
              <w:pStyle w:val="ECCTabletext"/>
              <w:jc w:val="left"/>
              <w:rPr>
                <w:lang w:val="hu-HU"/>
              </w:rPr>
            </w:pPr>
            <w:r w:rsidRPr="009E7932">
              <w:rPr>
                <w:lang w:val="hu-HU"/>
              </w:rPr>
              <w:t>Egyszerűsített engedélyezési eljárás</w:t>
            </w:r>
          </w:p>
          <w:p w14:paraId="64769CBE" w14:textId="77777777" w:rsidR="008C63E0" w:rsidRPr="009E7932" w:rsidRDefault="008C63E0" w:rsidP="00414891">
            <w:pPr>
              <w:pStyle w:val="ECCTabletext"/>
              <w:jc w:val="left"/>
              <w:rPr>
                <w:lang w:val="hu-HU"/>
              </w:rPr>
            </w:pPr>
            <w:r w:rsidRPr="009E7932">
              <w:rPr>
                <w:lang w:val="hu-HU"/>
              </w:rPr>
              <w:t>Frekvencia felhasználók számának korlátozása</w:t>
            </w:r>
          </w:p>
        </w:tc>
        <w:tc>
          <w:tcPr>
            <w:tcW w:w="2331" w:type="dxa"/>
          </w:tcPr>
          <w:p w14:paraId="356812A5" w14:textId="77777777" w:rsidR="008C63E0" w:rsidRPr="009E7932" w:rsidRDefault="008C63E0" w:rsidP="00414891">
            <w:pPr>
              <w:pStyle w:val="ECCTabletext"/>
              <w:jc w:val="left"/>
              <w:rPr>
                <w:lang w:val="hu-HU"/>
              </w:rPr>
            </w:pPr>
            <w:r w:rsidRPr="009E7932">
              <w:rPr>
                <w:lang w:val="hu-HU"/>
              </w:rPr>
              <w:t>Nincs egyedi frekvenciatervezés / koordináció</w:t>
            </w:r>
          </w:p>
          <w:p w14:paraId="74A013D0" w14:textId="77777777" w:rsidR="008C63E0" w:rsidRPr="009E7932" w:rsidRDefault="008C63E0" w:rsidP="00414891">
            <w:pPr>
              <w:pStyle w:val="ECCTabletext"/>
              <w:jc w:val="left"/>
              <w:rPr>
                <w:lang w:val="hu-HU"/>
              </w:rPr>
            </w:pPr>
            <w:r w:rsidRPr="009E7932">
              <w:rPr>
                <w:lang w:val="hu-HU"/>
              </w:rPr>
              <w:t>Állomások bejelentése, regisztrálása</w:t>
            </w:r>
          </w:p>
          <w:p w14:paraId="3C250487" w14:textId="77777777" w:rsidR="008C63E0" w:rsidRPr="009E7932" w:rsidRDefault="008C63E0" w:rsidP="00414891">
            <w:pPr>
              <w:pStyle w:val="ECCTabletext"/>
              <w:jc w:val="left"/>
              <w:rPr>
                <w:lang w:val="hu-HU"/>
              </w:rPr>
            </w:pPr>
            <w:r w:rsidRPr="009E7932">
              <w:rPr>
                <w:lang w:val="hu-HU"/>
              </w:rPr>
              <w:t>Nincs korlátozva a felhasználók száma, nincs szükség koordinációra</w:t>
            </w:r>
          </w:p>
        </w:tc>
        <w:tc>
          <w:tcPr>
            <w:tcW w:w="2340" w:type="dxa"/>
          </w:tcPr>
          <w:p w14:paraId="732B9385" w14:textId="77777777" w:rsidR="008C63E0" w:rsidRPr="009E7932" w:rsidRDefault="008C63E0" w:rsidP="00414891">
            <w:pPr>
              <w:pStyle w:val="ECCTabletext"/>
              <w:jc w:val="left"/>
              <w:rPr>
                <w:lang w:val="hu-HU"/>
              </w:rPr>
            </w:pPr>
            <w:r w:rsidRPr="009E7932">
              <w:rPr>
                <w:lang w:val="hu-HU"/>
              </w:rPr>
              <w:t>Nincs egyedi frekvenciatervezés / koordináció</w:t>
            </w:r>
          </w:p>
          <w:p w14:paraId="69C74568" w14:textId="77777777" w:rsidR="008C63E0" w:rsidRPr="009E7932" w:rsidRDefault="008C63E0" w:rsidP="00414891">
            <w:pPr>
              <w:pStyle w:val="ECCTabletext"/>
              <w:keepNext/>
              <w:jc w:val="left"/>
              <w:rPr>
                <w:lang w:val="hu-HU"/>
              </w:rPr>
            </w:pPr>
            <w:r w:rsidRPr="009E7932">
              <w:rPr>
                <w:lang w:val="hu-HU"/>
              </w:rPr>
              <w:t>Nincs állomás bejelentés, regisztrálás</w:t>
            </w:r>
          </w:p>
        </w:tc>
      </w:tr>
    </w:tbl>
    <w:p w14:paraId="5791F4CE" w14:textId="625AA807" w:rsidR="008C63E0" w:rsidRDefault="00AA3C2D" w:rsidP="008C63E0">
      <w:pPr>
        <w:pStyle w:val="Kpalrs"/>
        <w:jc w:val="center"/>
      </w:pPr>
      <w:r>
        <w:fldChar w:fldCharType="begin"/>
      </w:r>
      <w:r>
        <w:instrText xml:space="preserve"> SEQ Táblázat \* ARABIC </w:instrText>
      </w:r>
      <w:r>
        <w:fldChar w:fldCharType="separate"/>
      </w:r>
      <w:r w:rsidR="008C63E0">
        <w:rPr>
          <w:noProof/>
        </w:rPr>
        <w:t>1</w:t>
      </w:r>
      <w:r>
        <w:rPr>
          <w:noProof/>
        </w:rPr>
        <w:fldChar w:fldCharType="end"/>
      </w:r>
      <w:r w:rsidR="008C63E0">
        <w:t xml:space="preserve">. Táblázat Engedélyezési módszerek </w:t>
      </w:r>
      <w:r w:rsidR="00F431E2">
        <w:t xml:space="preserve">(forrás: </w:t>
      </w:r>
      <w:r w:rsidR="008C63E0">
        <w:t>ECC 132</w:t>
      </w:r>
      <w:r w:rsidR="00F431E2">
        <w:t>. Jelentés</w:t>
      </w:r>
      <w:r w:rsidR="008C63E0">
        <w:t xml:space="preserve"> </w:t>
      </w:r>
      <w:r w:rsidR="008C63E0">
        <w:rPr>
          <w:rStyle w:val="Lbjegyzet-hivatkozs"/>
        </w:rPr>
        <w:footnoteReference w:id="36"/>
      </w:r>
      <w:r w:rsidR="00F431E2">
        <w:t>)</w:t>
      </w:r>
    </w:p>
    <w:p w14:paraId="0984C2F3" w14:textId="2350B68B" w:rsidR="008C63E0" w:rsidRPr="00CB59D1" w:rsidRDefault="00EB3D55" w:rsidP="008C63E0">
      <w:pPr>
        <w:pStyle w:val="Behzottbekezdsnmhh"/>
        <w:tabs>
          <w:tab w:val="left" w:pos="977"/>
        </w:tabs>
      </w:pPr>
      <w:proofErr w:type="gramStart"/>
      <w:r>
        <w:t>A</w:t>
      </w:r>
      <w:proofErr w:type="gramEnd"/>
      <w:r w:rsidR="008C63E0">
        <w:t xml:space="preserve"> </w:t>
      </w:r>
      <w:r w:rsidR="008C63E0" w:rsidRPr="00CB59D1">
        <w:t xml:space="preserve">ECC </w:t>
      </w:r>
      <w:r w:rsidR="008C63E0">
        <w:t xml:space="preserve">317. </w:t>
      </w:r>
      <w:r w:rsidR="00F431E2">
        <w:t>J</w:t>
      </w:r>
      <w:r w:rsidR="008C63E0" w:rsidRPr="00CB59D1">
        <w:t>elentés</w:t>
      </w:r>
      <w:r w:rsidR="008C63E0">
        <w:t xml:space="preserve"> </w:t>
      </w:r>
      <w:r w:rsidR="00763B3C">
        <w:t xml:space="preserve">szerint a 26 </w:t>
      </w:r>
      <w:proofErr w:type="spellStart"/>
      <w:r w:rsidR="00763B3C">
        <w:t>GHz</w:t>
      </w:r>
      <w:proofErr w:type="spellEnd"/>
      <w:r w:rsidR="00763B3C">
        <w:t xml:space="preserve">-es sávban </w:t>
      </w:r>
      <w:r w:rsidR="00721C70">
        <w:t xml:space="preserve">több </w:t>
      </w:r>
      <w:r w:rsidR="008C63E0">
        <w:t xml:space="preserve">engedélyezési </w:t>
      </w:r>
      <w:r w:rsidR="00721C70">
        <w:t>rezsim</w:t>
      </w:r>
      <w:r w:rsidR="008C63E0">
        <w:t xml:space="preserve"> </w:t>
      </w:r>
      <w:r w:rsidR="00721C70">
        <w:t>is alkalmazható</w:t>
      </w:r>
      <w:r w:rsidR="008B0660">
        <w:t>.</w:t>
      </w:r>
      <w:r w:rsidR="008C63E0">
        <w:t xml:space="preserve"> </w:t>
      </w:r>
      <w:r w:rsidR="008B0660">
        <w:t xml:space="preserve">A </w:t>
      </w:r>
      <w:r w:rsidR="008C63E0">
        <w:t>„hagyományos”, egyedi engedélyezési módszer</w:t>
      </w:r>
      <w:r w:rsidR="00A42101">
        <w:t>rel</w:t>
      </w:r>
      <w:r w:rsidR="008C63E0">
        <w:t xml:space="preserve"> országos</w:t>
      </w:r>
      <w:r w:rsidR="00A42101">
        <w:t xml:space="preserve"> rádióspektrum-használati</w:t>
      </w:r>
      <w:r w:rsidR="008C63E0">
        <w:t xml:space="preserve"> jog</w:t>
      </w:r>
      <w:r w:rsidR="00A42101">
        <w:t>o</w:t>
      </w:r>
      <w:r w:rsidR="008C63E0">
        <w:t xml:space="preserve">kat, és helyi </w:t>
      </w:r>
      <w:r w:rsidR="00A42101" w:rsidRPr="00A42101">
        <w:t xml:space="preserve">rádióspektrum-használati </w:t>
      </w:r>
      <w:r w:rsidR="008C63E0">
        <w:t xml:space="preserve">jogokat is </w:t>
      </w:r>
      <w:r w:rsidR="00A42101">
        <w:t xml:space="preserve">el </w:t>
      </w:r>
      <w:r w:rsidR="008C63E0">
        <w:t xml:space="preserve">lehet </w:t>
      </w:r>
      <w:r w:rsidR="00A42101">
        <w:t>osztani</w:t>
      </w:r>
      <w:r w:rsidR="008C63E0">
        <w:t xml:space="preserve">. Ez utóbbi esetben kisebb területre korlátozódik a </w:t>
      </w:r>
      <w:r w:rsidR="001C0301">
        <w:t>rádió</w:t>
      </w:r>
      <w:r w:rsidR="008C63E0">
        <w:t>spektrum</w:t>
      </w:r>
      <w:r w:rsidR="00D15B5A">
        <w:t>-</w:t>
      </w:r>
      <w:r w:rsidR="008C63E0">
        <w:t>használó jogosultsága. Egyszerűsített engedélyezés esetén lehetőség van egyedi engedélyek kiadására és általános engedélyek kiadására. Az előbbi esetben az engedélyesek s</w:t>
      </w:r>
      <w:r w:rsidR="001C0301">
        <w:t>záma korlátozott, és frekvencia</w:t>
      </w:r>
      <w:r w:rsidR="008C63E0">
        <w:t xml:space="preserve">tervezés szükséges, míg az utóbbi esetben ezek nem relevánsak, de az állomásokat nyilván kell tartani, ami a telepítések fölött egyfajta </w:t>
      </w:r>
      <w:r w:rsidR="00D15B5A">
        <w:t xml:space="preserve">ellenőrzést </w:t>
      </w:r>
      <w:r w:rsidR="008C63E0">
        <w:t xml:space="preserve">biztosít. Engedélymentes esetben </w:t>
      </w:r>
      <w:r w:rsidR="00D63975">
        <w:t xml:space="preserve">az </w:t>
      </w:r>
      <w:r w:rsidR="00D14AC5">
        <w:t xml:space="preserve">előírt </w:t>
      </w:r>
      <w:r w:rsidR="00D63975">
        <w:t>szabály</w:t>
      </w:r>
      <w:r w:rsidR="00D14AC5">
        <w:t>ok</w:t>
      </w:r>
      <w:r w:rsidR="00D63975">
        <w:t xml:space="preserve"> szerint üzemeltetett állomások</w:t>
      </w:r>
      <w:r w:rsidR="00D14AC5">
        <w:t xml:space="preserve"> </w:t>
      </w:r>
      <w:r w:rsidR="008C63E0">
        <w:t xml:space="preserve">nem okozhatnak zavarást más alkalmazásoknak és védelmet sem igényelhetnek. </w:t>
      </w:r>
      <w:r w:rsidR="00755618">
        <w:t>A</w:t>
      </w:r>
      <w:r w:rsidR="008C63E0">
        <w:t xml:space="preserve">z egyes </w:t>
      </w:r>
      <w:r w:rsidR="00755618">
        <w:t xml:space="preserve">engedélyezési </w:t>
      </w:r>
      <w:r w:rsidR="008C63E0">
        <w:t xml:space="preserve">módszerek ötvözhetők is </w:t>
      </w:r>
      <w:r w:rsidR="00755618">
        <w:t>egymással egy sávon belül, akár frekvenciában, akár térben is, de megosztott használat esetén használati módonként</w:t>
      </w:r>
      <w:r w:rsidR="008C63E0">
        <w:t xml:space="preserve">. </w:t>
      </w:r>
    </w:p>
    <w:p w14:paraId="45379C40" w14:textId="77777777" w:rsidR="008C63E0" w:rsidRDefault="008C63E0" w:rsidP="008C63E0">
      <w:pPr>
        <w:pStyle w:val="Behzottbekezdsnmhh"/>
        <w:tabs>
          <w:tab w:val="left" w:pos="977"/>
        </w:tabs>
      </w:pPr>
    </w:p>
    <w:p w14:paraId="01721108" w14:textId="77777777" w:rsidR="008C63E0" w:rsidRDefault="008C63E0" w:rsidP="008C63E0">
      <w:pPr>
        <w:pStyle w:val="Cmsor3szmozottnmhh"/>
        <w:keepNext/>
        <w:ind w:left="1996"/>
      </w:pPr>
      <w:bookmarkStart w:id="27" w:name="_Toc26254668"/>
      <w:bookmarkStart w:id="28" w:name="_Toc92461621"/>
      <w:bookmarkStart w:id="29" w:name="_Toc96075604"/>
      <w:r>
        <w:lastRenderedPageBreak/>
        <w:t>EU</w:t>
      </w:r>
      <w:bookmarkEnd w:id="21"/>
      <w:bookmarkEnd w:id="27"/>
      <w:bookmarkEnd w:id="28"/>
      <w:bookmarkEnd w:id="29"/>
    </w:p>
    <w:p w14:paraId="100401DA" w14:textId="2B6A9E0A" w:rsidR="008C63E0" w:rsidRPr="002D6853" w:rsidRDefault="008C63E0" w:rsidP="008C63E0">
      <w:pPr>
        <w:pStyle w:val="Behzottbekezdsnmhh"/>
      </w:pPr>
      <w:r>
        <w:t xml:space="preserve">A jövőbeli 5G rendszerek szabályozásával kapcsolatban elsőként megjelent </w:t>
      </w:r>
      <w:r w:rsidR="00F54E17">
        <w:t xml:space="preserve">Európai Bizottsági </w:t>
      </w:r>
      <w:r>
        <w:t xml:space="preserve">dokumentum, az </w:t>
      </w:r>
      <w:r w:rsidRPr="00644B8E">
        <w:t xml:space="preserve">RSPG 5G spektrum kérdései tárgykörben kiadott </w:t>
      </w:r>
      <w:r w:rsidRPr="00C81B53">
        <w:t>szakvélemény</w:t>
      </w:r>
      <w:r>
        <w:t>é</w:t>
      </w:r>
      <w:r w:rsidRPr="00C81B53">
        <w:t>re</w:t>
      </w:r>
      <w:r>
        <w:rPr>
          <w:rStyle w:val="Lbjegyzet-hivatkozs"/>
        </w:rPr>
        <w:footnoteReference w:id="37"/>
      </w:r>
      <w:r w:rsidRPr="00C81B53">
        <w:t xml:space="preserve"> </w:t>
      </w:r>
      <w:r>
        <w:t xml:space="preserve">alapozott </w:t>
      </w:r>
      <w:r w:rsidR="00BA47A0">
        <w:t>CEPT</w:t>
      </w:r>
      <w:r>
        <w:t xml:space="preserve"> mandátum, amelyben a </w:t>
      </w:r>
      <w:r w:rsidR="00F54E17">
        <w:t xml:space="preserve">Bizottság </w:t>
      </w:r>
      <w:r>
        <w:t xml:space="preserve">felkérte a CEPT-et a potenciális 5G </w:t>
      </w:r>
      <w:r w:rsidR="00414891" w:rsidRPr="00426D01">
        <w:t>frekvencia</w:t>
      </w:r>
      <w:r>
        <w:t>sávok vizsgálatára.</w:t>
      </w:r>
    </w:p>
    <w:p w14:paraId="04C7C68A" w14:textId="30E45326" w:rsidR="008C63E0" w:rsidRDefault="008C63E0" w:rsidP="008C63E0">
      <w:pPr>
        <w:pStyle w:val="Behzottbekezdsnmhh"/>
      </w:pPr>
      <w:r>
        <w:t>Ez a dokumentum a következő főbb feladatokat és határidőket határozta meg a CEPT számára</w:t>
      </w:r>
      <w:r w:rsidR="00BA47A0">
        <w:t>:</w:t>
      </w:r>
    </w:p>
    <w:p w14:paraId="7F185FE7" w14:textId="77777777" w:rsidR="008C63E0" w:rsidRPr="00D404A7" w:rsidRDefault="008C63E0" w:rsidP="008C63E0">
      <w:pPr>
        <w:pStyle w:val="Behzottbekezdsnmhh"/>
        <w:numPr>
          <w:ilvl w:val="0"/>
          <w:numId w:val="78"/>
        </w:numPr>
        <w:rPr>
          <w:i/>
        </w:rPr>
      </w:pPr>
      <w:r>
        <w:t xml:space="preserve">3,4-3,8 </w:t>
      </w:r>
      <w:proofErr w:type="spellStart"/>
      <w:r>
        <w:t>GHz</w:t>
      </w:r>
      <w:proofErr w:type="spellEnd"/>
      <w:r>
        <w:t xml:space="preserve"> frekvenciasávra (5G úttörő sáv) vonatkozó műszaki feltételek felülvizsgálata 5G földfelszíni vezetéknélküli rendszerek alkalmazhatósága szempontjából</w:t>
      </w:r>
    </w:p>
    <w:p w14:paraId="65241937" w14:textId="77777777" w:rsidR="008C63E0" w:rsidRPr="00D404A7" w:rsidRDefault="008C63E0" w:rsidP="008C63E0">
      <w:pPr>
        <w:pStyle w:val="Behzottbekezdsnmhh"/>
        <w:numPr>
          <w:ilvl w:val="0"/>
          <w:numId w:val="78"/>
        </w:numPr>
        <w:rPr>
          <w:i/>
        </w:rPr>
      </w:pPr>
      <w:r>
        <w:t xml:space="preserve">26 </w:t>
      </w:r>
      <w:proofErr w:type="spellStart"/>
      <w:r>
        <w:t>GHz</w:t>
      </w:r>
      <w:proofErr w:type="spellEnd"/>
      <w:r>
        <w:t xml:space="preserve"> (24,25-27,5 </w:t>
      </w:r>
      <w:proofErr w:type="spellStart"/>
      <w:r>
        <w:t>GHz</w:t>
      </w:r>
      <w:proofErr w:type="spellEnd"/>
      <w:r>
        <w:t>) frekvenciasáv (5G úttörő sáv) tanulmányozása 5G rendszerek és jelenleg használt rendszerek összeférhetőségének szempontjából</w:t>
      </w:r>
    </w:p>
    <w:p w14:paraId="34E8319E" w14:textId="29A81ECA" w:rsidR="008C63E0" w:rsidRPr="00D404A7" w:rsidRDefault="008C63E0" w:rsidP="008C63E0">
      <w:pPr>
        <w:pStyle w:val="Behzottbekezdsnmhh"/>
        <w:numPr>
          <w:ilvl w:val="0"/>
          <w:numId w:val="78"/>
        </w:numPr>
        <w:rPr>
          <w:i/>
        </w:rPr>
      </w:pPr>
      <w:r>
        <w:t xml:space="preserve">Új csatornaelrendezés és sávhasználati feltételek kidolgozása a 26 </w:t>
      </w:r>
      <w:proofErr w:type="spellStart"/>
      <w:r>
        <w:t>GHz</w:t>
      </w:r>
      <w:proofErr w:type="spellEnd"/>
      <w:r>
        <w:t xml:space="preserve"> </w:t>
      </w:r>
      <w:r w:rsidR="00414891" w:rsidRPr="00426D01">
        <w:t>frekvencia</w:t>
      </w:r>
      <w:r>
        <w:t>sávra 5G rendszerekre vonatkozóan (jelenleg üzemelő rendszerek védelmének figyelembevételével)</w:t>
      </w:r>
    </w:p>
    <w:p w14:paraId="4AC43DAF" w14:textId="77777777" w:rsidR="008C63E0" w:rsidRPr="00D404A7" w:rsidRDefault="008C63E0" w:rsidP="008C63E0">
      <w:pPr>
        <w:pStyle w:val="Behzottbekezdsnmhh"/>
        <w:numPr>
          <w:ilvl w:val="0"/>
          <w:numId w:val="78"/>
        </w:numPr>
        <w:rPr>
          <w:i/>
        </w:rPr>
      </w:pPr>
      <w:r>
        <w:t>Határmenti koordinációra vonatkozó sávhasználati feltételek kidolgozása</w:t>
      </w:r>
    </w:p>
    <w:p w14:paraId="657F40C2" w14:textId="7852BBE2" w:rsidR="008C63E0" w:rsidRDefault="008C63E0" w:rsidP="008C63E0">
      <w:pPr>
        <w:pStyle w:val="Behzottbekezdsnmhh"/>
      </w:pPr>
      <w:r>
        <w:t xml:space="preserve">A 26 </w:t>
      </w:r>
      <w:proofErr w:type="spellStart"/>
      <w:r>
        <w:t>GHz</w:t>
      </w:r>
      <w:proofErr w:type="spellEnd"/>
      <w:r>
        <w:t xml:space="preserve">-es </w:t>
      </w:r>
      <w:r w:rsidR="00414891" w:rsidRPr="00426D01">
        <w:t>frekvencia</w:t>
      </w:r>
      <w:r>
        <w:t xml:space="preserve">sávra vonatkozó mandátumra adott válaszként 2018. július 6-án került elfogadásra a vizsgálat eredményeit tartalmazó CEPT 68. </w:t>
      </w:r>
      <w:r w:rsidR="00F53429">
        <w:t>J</w:t>
      </w:r>
      <w:r>
        <w:t>elentés</w:t>
      </w:r>
      <w:r>
        <w:rPr>
          <w:rStyle w:val="Lbjegyzet-hivatkozs"/>
        </w:rPr>
        <w:footnoteReference w:id="38"/>
      </w:r>
      <w:r>
        <w:t xml:space="preserve">. </w:t>
      </w:r>
    </w:p>
    <w:p w14:paraId="5DE438AD" w14:textId="6CBFF3E9" w:rsidR="008C63E0" w:rsidRDefault="008C63E0" w:rsidP="008C63E0">
      <w:pPr>
        <w:pStyle w:val="Behzottbekezdsnmhh"/>
      </w:pPr>
      <w:r>
        <w:t xml:space="preserve">A CEPT 68. </w:t>
      </w:r>
      <w:r w:rsidR="00F53429">
        <w:t>J</w:t>
      </w:r>
      <w:r>
        <w:t>elentés adta az alapját a (EU)</w:t>
      </w:r>
      <w:r w:rsidR="00F53429">
        <w:t xml:space="preserve"> </w:t>
      </w:r>
      <w:r>
        <w:t>2019/784</w:t>
      </w:r>
      <w:r w:rsidRPr="00E40652">
        <w:t xml:space="preserve"> </w:t>
      </w:r>
      <w:r>
        <w:t>határozatnak</w:t>
      </w:r>
      <w:r>
        <w:rPr>
          <w:rStyle w:val="Lbjegyzet-hivatkozs"/>
        </w:rPr>
        <w:t xml:space="preserve"> </w:t>
      </w:r>
      <w:r>
        <w:rPr>
          <w:rStyle w:val="Lbjegyzet-hivatkozs"/>
        </w:rPr>
        <w:footnoteReference w:id="39"/>
      </w:r>
      <w:r>
        <w:t>.</w:t>
      </w:r>
    </w:p>
    <w:p w14:paraId="175F3BC3" w14:textId="7765192C" w:rsidR="008C63E0" w:rsidRDefault="008C63E0" w:rsidP="008C63E0">
      <w:pPr>
        <w:pStyle w:val="Behzottbekezdsnmhh"/>
        <w:rPr>
          <w:u w:val="single"/>
        </w:rPr>
      </w:pPr>
      <w:r>
        <w:rPr>
          <w:u w:val="single"/>
        </w:rPr>
        <w:t>(EU)</w:t>
      </w:r>
      <w:r w:rsidR="00F53429">
        <w:rPr>
          <w:u w:val="single"/>
        </w:rPr>
        <w:t> </w:t>
      </w:r>
      <w:r w:rsidRPr="001C6A13">
        <w:rPr>
          <w:u w:val="single"/>
        </w:rPr>
        <w:t>2019/784 határozat főbb pontjai</w:t>
      </w:r>
      <w:r>
        <w:rPr>
          <w:u w:val="single"/>
        </w:rPr>
        <w:t xml:space="preserve"> az ezt módosító (EU)</w:t>
      </w:r>
      <w:r w:rsidR="00F53429">
        <w:rPr>
          <w:u w:val="single"/>
        </w:rPr>
        <w:t> </w:t>
      </w:r>
      <w:r>
        <w:rPr>
          <w:u w:val="single"/>
        </w:rPr>
        <w:t>2020/590 határozatot is figyelembe véve</w:t>
      </w:r>
      <w:r w:rsidRPr="001C6A13">
        <w:rPr>
          <w:u w:val="single"/>
        </w:rPr>
        <w:t>:</w:t>
      </w:r>
    </w:p>
    <w:p w14:paraId="3B84656E" w14:textId="77777777" w:rsidR="008C63E0" w:rsidRPr="00B62239" w:rsidRDefault="008C63E0" w:rsidP="008C63E0">
      <w:pPr>
        <w:pStyle w:val="Behzottbekezdsnmhh"/>
        <w:numPr>
          <w:ilvl w:val="0"/>
          <w:numId w:val="60"/>
        </w:numPr>
        <w:rPr>
          <w:color w:val="000000"/>
          <w:shd w:val="clear" w:color="auto" w:fill="FFFFFF"/>
        </w:rPr>
      </w:pPr>
      <w:r>
        <w:rPr>
          <w:i/>
          <w:color w:val="000000"/>
          <w:shd w:val="clear" w:color="auto" w:fill="FFFFFF"/>
        </w:rPr>
        <w:t>1. c</w:t>
      </w:r>
      <w:r w:rsidRPr="00FF3F72">
        <w:rPr>
          <w:i/>
          <w:color w:val="000000"/>
          <w:shd w:val="clear" w:color="auto" w:fill="FFFFFF"/>
        </w:rPr>
        <w:t>ikk:</w:t>
      </w:r>
      <w:r>
        <w:rPr>
          <w:color w:val="000000"/>
          <w:shd w:val="clear" w:color="auto" w:fill="FFFFFF"/>
        </w:rPr>
        <w:t xml:space="preserve"> A határozat 24,25–27,5 </w:t>
      </w:r>
      <w:proofErr w:type="spellStart"/>
      <w:r>
        <w:rPr>
          <w:color w:val="000000"/>
          <w:shd w:val="clear" w:color="auto" w:fill="FFFFFF"/>
        </w:rPr>
        <w:t>GHz</w:t>
      </w:r>
      <w:proofErr w:type="spellEnd"/>
      <w:r>
        <w:rPr>
          <w:color w:val="000000"/>
          <w:shd w:val="clear" w:color="auto" w:fill="FFFFFF"/>
        </w:rPr>
        <w:t xml:space="preserve"> frekvenciasávnak az Unión belüli, a vezeték nélküli széles sávú elektronikus hírközlési szolgáltatások nyújtására alkalmas földfelszíni rendszerek általi elérhetőségére és hatékony használatára vonatkozó alapvető műszaki feltételeket harmonizálja.</w:t>
      </w:r>
    </w:p>
    <w:p w14:paraId="613412A3" w14:textId="77777777" w:rsidR="008C63E0" w:rsidRPr="001C6A13" w:rsidRDefault="008C63E0" w:rsidP="008C63E0">
      <w:pPr>
        <w:pStyle w:val="Behzottbekezdsnmhh"/>
        <w:numPr>
          <w:ilvl w:val="0"/>
          <w:numId w:val="60"/>
        </w:numPr>
        <w:rPr>
          <w:u w:val="single"/>
        </w:rPr>
      </w:pPr>
      <w:r>
        <w:rPr>
          <w:i/>
          <w:color w:val="000000"/>
          <w:shd w:val="clear" w:color="auto" w:fill="FFFFFF"/>
        </w:rPr>
        <w:t>2. c</w:t>
      </w:r>
      <w:r w:rsidRPr="00FF3F72">
        <w:rPr>
          <w:i/>
          <w:color w:val="000000"/>
          <w:shd w:val="clear" w:color="auto" w:fill="FFFFFF"/>
        </w:rPr>
        <w:t>ikk</w:t>
      </w:r>
      <w:r>
        <w:rPr>
          <w:color w:val="000000"/>
          <w:shd w:val="clear" w:color="auto" w:fill="FFFFFF"/>
        </w:rPr>
        <w:t xml:space="preserve">: </w:t>
      </w:r>
      <w:r w:rsidRPr="00B62239">
        <w:rPr>
          <w:color w:val="000000"/>
          <w:shd w:val="clear" w:color="auto" w:fill="FFFFFF"/>
        </w:rPr>
        <w:t xml:space="preserve">A tagállamok a mellékletben megállapított alapvető műszaki feltételeknek megfelelően 2020. június 30-ig a vezeték nélküli széles sávú elektronikus hírközlési szolgáltatások nyújtására alkalmas földfelszíni rendszerek számára – nem kizárólagos jelleggel – kijelölik és rendelkezésre bocsátják a 24,25–27,5 </w:t>
      </w:r>
      <w:proofErr w:type="spellStart"/>
      <w:r w:rsidRPr="00B62239">
        <w:rPr>
          <w:color w:val="000000"/>
          <w:shd w:val="clear" w:color="auto" w:fill="FFFFFF"/>
        </w:rPr>
        <w:t>GHz</w:t>
      </w:r>
      <w:proofErr w:type="spellEnd"/>
      <w:r w:rsidRPr="00B62239">
        <w:rPr>
          <w:color w:val="000000"/>
          <w:shd w:val="clear" w:color="auto" w:fill="FFFFFF"/>
        </w:rPr>
        <w:t>-es frekvenciasávot</w:t>
      </w:r>
      <w:r>
        <w:rPr>
          <w:sz w:val="19"/>
          <w:szCs w:val="19"/>
        </w:rPr>
        <w:t xml:space="preserve"> </w:t>
      </w:r>
    </w:p>
    <w:p w14:paraId="25BBE3B7" w14:textId="77777777" w:rsidR="008C63E0" w:rsidRPr="001C6A13" w:rsidRDefault="008C63E0" w:rsidP="008C63E0">
      <w:pPr>
        <w:pStyle w:val="Behzottbekezdsnmhh"/>
        <w:ind w:left="1077" w:firstLine="0"/>
        <w:rPr>
          <w:u w:val="single"/>
        </w:rPr>
      </w:pPr>
      <w:r>
        <w:rPr>
          <w:color w:val="000000"/>
          <w:shd w:val="clear" w:color="auto" w:fill="FFFFFF"/>
        </w:rPr>
        <w:t>Az e sávban alkalmazott engedélyezési rendszertől függően a tagállamok felmérik, hogy szükség van-e további műszaki feltételek előírására a vezeték nélküli széles sávú elektronikus hírközlési szolgáltatások nyújtására alkalmas földfelszíni rendszerek és a sávban működő más szolgálatok megfelelő együttes működésének biztosítása érdekében.</w:t>
      </w:r>
    </w:p>
    <w:p w14:paraId="341B978F" w14:textId="77777777" w:rsidR="008C63E0" w:rsidRDefault="008C63E0" w:rsidP="008C63E0">
      <w:pPr>
        <w:pStyle w:val="Listaszerbekezds"/>
        <w:numPr>
          <w:ilvl w:val="0"/>
          <w:numId w:val="60"/>
        </w:numPr>
        <w:shd w:val="clear" w:color="auto" w:fill="FFFFFF"/>
        <w:spacing w:before="120" w:after="0" w:line="240" w:lineRule="auto"/>
        <w:rPr>
          <w:color w:val="000000"/>
          <w:sz w:val="20"/>
          <w:szCs w:val="20"/>
          <w:shd w:val="clear" w:color="auto" w:fill="FFFFFF"/>
        </w:rPr>
      </w:pPr>
      <w:r>
        <w:rPr>
          <w:i/>
          <w:color w:val="000000"/>
          <w:sz w:val="20"/>
          <w:szCs w:val="20"/>
          <w:shd w:val="clear" w:color="auto" w:fill="FFFFFF"/>
        </w:rPr>
        <w:t>3. c</w:t>
      </w:r>
      <w:r w:rsidRPr="00FF3F72">
        <w:rPr>
          <w:i/>
          <w:color w:val="000000"/>
          <w:sz w:val="20"/>
          <w:szCs w:val="20"/>
          <w:shd w:val="clear" w:color="auto" w:fill="FFFFFF"/>
        </w:rPr>
        <w:t>ikk</w:t>
      </w:r>
      <w:r>
        <w:rPr>
          <w:color w:val="000000"/>
          <w:sz w:val="20"/>
          <w:szCs w:val="20"/>
          <w:shd w:val="clear" w:color="auto" w:fill="FFFFFF"/>
        </w:rPr>
        <w:t xml:space="preserve">: </w:t>
      </w:r>
      <w:r w:rsidRPr="001C6A13">
        <w:rPr>
          <w:color w:val="000000"/>
          <w:sz w:val="20"/>
          <w:szCs w:val="20"/>
          <w:shd w:val="clear" w:color="auto" w:fill="FFFFFF"/>
        </w:rPr>
        <w:t>A tagállamok a mellékletben foglalt releváns műszaki feltételekkel összhangban gondoskodnak arról, hogy az 1. cikkben említett földfelszíni rendszerek megfelelő védelemben részesítsék a következőket:</w:t>
      </w:r>
    </w:p>
    <w:p w14:paraId="219205A5" w14:textId="77777777" w:rsidR="008C63E0" w:rsidRDefault="008C63E0" w:rsidP="008C63E0">
      <w:pPr>
        <w:pStyle w:val="Listaszerbekezds"/>
        <w:numPr>
          <w:ilvl w:val="1"/>
          <w:numId w:val="60"/>
        </w:numPr>
        <w:shd w:val="clear" w:color="auto" w:fill="FFFFFF"/>
        <w:spacing w:before="120" w:after="0" w:line="240" w:lineRule="auto"/>
        <w:rPr>
          <w:color w:val="000000"/>
          <w:sz w:val="20"/>
          <w:szCs w:val="20"/>
          <w:shd w:val="clear" w:color="auto" w:fill="FFFFFF"/>
        </w:rPr>
      </w:pPr>
      <w:r w:rsidRPr="001C6A13">
        <w:rPr>
          <w:color w:val="000000"/>
          <w:sz w:val="20"/>
          <w:szCs w:val="20"/>
          <w:shd w:val="clear" w:color="auto" w:fill="FFFFFF"/>
        </w:rPr>
        <w:t xml:space="preserve">a szomszédos sávokban, különösen a 23,6–24,0 </w:t>
      </w:r>
      <w:proofErr w:type="spellStart"/>
      <w:r w:rsidRPr="001C6A13">
        <w:rPr>
          <w:color w:val="000000"/>
          <w:sz w:val="20"/>
          <w:szCs w:val="20"/>
          <w:shd w:val="clear" w:color="auto" w:fill="FFFFFF"/>
        </w:rPr>
        <w:t>GHz</w:t>
      </w:r>
      <w:proofErr w:type="spellEnd"/>
      <w:r w:rsidRPr="001C6A13">
        <w:rPr>
          <w:color w:val="000000"/>
          <w:sz w:val="20"/>
          <w:szCs w:val="20"/>
          <w:shd w:val="clear" w:color="auto" w:fill="FFFFFF"/>
        </w:rPr>
        <w:t xml:space="preserve"> frekvenciasávban a műholdas Föld-kutató szolgálat (passzív) és a rádiócsillagászati szolgálat keretében működő rendszerek;</w:t>
      </w:r>
    </w:p>
    <w:p w14:paraId="79EF435C" w14:textId="77777777" w:rsidR="008C63E0" w:rsidRPr="001C6A13" w:rsidRDefault="008C63E0" w:rsidP="008C63E0">
      <w:pPr>
        <w:pStyle w:val="Listaszerbekezds"/>
        <w:numPr>
          <w:ilvl w:val="1"/>
          <w:numId w:val="60"/>
        </w:numPr>
        <w:shd w:val="clear" w:color="auto" w:fill="FFFFFF"/>
        <w:spacing w:before="120" w:after="0" w:line="240" w:lineRule="auto"/>
        <w:rPr>
          <w:color w:val="000000"/>
          <w:sz w:val="20"/>
          <w:szCs w:val="20"/>
          <w:shd w:val="clear" w:color="auto" w:fill="FFFFFF"/>
        </w:rPr>
      </w:pPr>
      <w:r w:rsidRPr="001C6A13">
        <w:rPr>
          <w:color w:val="000000"/>
          <w:sz w:val="20"/>
          <w:szCs w:val="20"/>
          <w:shd w:val="clear" w:color="auto" w:fill="FFFFFF"/>
        </w:rPr>
        <w:lastRenderedPageBreak/>
        <w:t xml:space="preserve">a 25,5–27,0 </w:t>
      </w:r>
      <w:proofErr w:type="spellStart"/>
      <w:r w:rsidRPr="001C6A13">
        <w:rPr>
          <w:color w:val="000000"/>
          <w:sz w:val="20"/>
          <w:szCs w:val="20"/>
          <w:shd w:val="clear" w:color="auto" w:fill="FFFFFF"/>
        </w:rPr>
        <w:t>GHz</w:t>
      </w:r>
      <w:proofErr w:type="spellEnd"/>
      <w:r w:rsidRPr="001C6A13">
        <w:rPr>
          <w:color w:val="000000"/>
          <w:sz w:val="20"/>
          <w:szCs w:val="20"/>
          <w:shd w:val="clear" w:color="auto" w:fill="FFFFFF"/>
        </w:rPr>
        <w:t xml:space="preserve"> frekvenciasávban működő, a műholdas Föld-kutató szolgálat és az űrkutatási szolgálat keretében űr–Föld irányú összeköttetést biztosító földi állomások;</w:t>
      </w:r>
    </w:p>
    <w:p w14:paraId="6AF81801" w14:textId="77777777" w:rsidR="008C63E0" w:rsidRDefault="008C63E0" w:rsidP="008C63E0">
      <w:pPr>
        <w:pStyle w:val="Listaszerbekezds"/>
        <w:numPr>
          <w:ilvl w:val="1"/>
          <w:numId w:val="60"/>
        </w:numPr>
        <w:shd w:val="clear" w:color="auto" w:fill="FFFFFF"/>
        <w:spacing w:before="120" w:after="0" w:line="240" w:lineRule="auto"/>
        <w:rPr>
          <w:color w:val="000000"/>
          <w:sz w:val="20"/>
          <w:szCs w:val="20"/>
          <w:shd w:val="clear" w:color="auto" w:fill="FFFFFF"/>
        </w:rPr>
      </w:pPr>
      <w:r w:rsidRPr="001C6A13">
        <w:rPr>
          <w:color w:val="000000"/>
          <w:sz w:val="20"/>
          <w:szCs w:val="20"/>
          <w:shd w:val="clear" w:color="auto" w:fill="FFFFFF"/>
        </w:rPr>
        <w:t xml:space="preserve">a 24,65–25,25 </w:t>
      </w:r>
      <w:proofErr w:type="spellStart"/>
      <w:r w:rsidRPr="001C6A13">
        <w:rPr>
          <w:color w:val="000000"/>
          <w:sz w:val="20"/>
          <w:szCs w:val="20"/>
          <w:shd w:val="clear" w:color="auto" w:fill="FFFFFF"/>
        </w:rPr>
        <w:t>GHz</w:t>
      </w:r>
      <w:proofErr w:type="spellEnd"/>
      <w:r w:rsidRPr="001C6A13">
        <w:rPr>
          <w:color w:val="000000"/>
          <w:sz w:val="20"/>
          <w:szCs w:val="20"/>
          <w:shd w:val="clear" w:color="auto" w:fill="FFFFFF"/>
        </w:rPr>
        <w:t xml:space="preserve"> frekvenciasávban működő, a műholdas állandóhelyű szolgálat keretében Föld–űr irányú összeköttetést biztosító műholdas rendszerek;</w:t>
      </w:r>
    </w:p>
    <w:p w14:paraId="4ABDDAAB" w14:textId="77777777" w:rsidR="008C63E0" w:rsidRPr="001C6A13" w:rsidRDefault="008C63E0" w:rsidP="008C63E0">
      <w:pPr>
        <w:pStyle w:val="Listaszerbekezds"/>
        <w:numPr>
          <w:ilvl w:val="1"/>
          <w:numId w:val="60"/>
        </w:numPr>
        <w:shd w:val="clear" w:color="auto" w:fill="FFFFFF"/>
        <w:spacing w:before="120" w:after="0" w:line="240" w:lineRule="auto"/>
        <w:rPr>
          <w:color w:val="000000"/>
          <w:sz w:val="20"/>
          <w:szCs w:val="20"/>
          <w:shd w:val="clear" w:color="auto" w:fill="FFFFFF"/>
        </w:rPr>
      </w:pPr>
      <w:r w:rsidRPr="001C6A13">
        <w:rPr>
          <w:color w:val="000000"/>
          <w:sz w:val="20"/>
          <w:szCs w:val="20"/>
          <w:shd w:val="clear" w:color="auto" w:fill="FFFFFF"/>
        </w:rPr>
        <w:t xml:space="preserve">a 24,45–24,75 </w:t>
      </w:r>
      <w:proofErr w:type="spellStart"/>
      <w:r w:rsidRPr="001C6A13">
        <w:rPr>
          <w:color w:val="000000"/>
          <w:sz w:val="20"/>
          <w:szCs w:val="20"/>
          <w:shd w:val="clear" w:color="auto" w:fill="FFFFFF"/>
        </w:rPr>
        <w:t>GHz</w:t>
      </w:r>
      <w:proofErr w:type="spellEnd"/>
      <w:r w:rsidRPr="001C6A13">
        <w:rPr>
          <w:color w:val="000000"/>
          <w:sz w:val="20"/>
          <w:szCs w:val="20"/>
          <w:shd w:val="clear" w:color="auto" w:fill="FFFFFF"/>
        </w:rPr>
        <w:t xml:space="preserve"> és a 25,25–27,5 </w:t>
      </w:r>
      <w:proofErr w:type="spellStart"/>
      <w:r w:rsidRPr="001C6A13">
        <w:rPr>
          <w:color w:val="000000"/>
          <w:sz w:val="20"/>
          <w:szCs w:val="20"/>
          <w:shd w:val="clear" w:color="auto" w:fill="FFFFFF"/>
        </w:rPr>
        <w:t>GHz</w:t>
      </w:r>
      <w:proofErr w:type="spellEnd"/>
      <w:r w:rsidRPr="001C6A13">
        <w:rPr>
          <w:color w:val="000000"/>
          <w:sz w:val="20"/>
          <w:szCs w:val="20"/>
          <w:shd w:val="clear" w:color="auto" w:fill="FFFFFF"/>
        </w:rPr>
        <w:t xml:space="preserve"> frekvenciasávban működő, műholdak közötti összeköttetést biztosító műholdas rendszerek.</w:t>
      </w:r>
    </w:p>
    <w:p w14:paraId="707AB925" w14:textId="77777777" w:rsidR="008C63E0" w:rsidRPr="002C4E23" w:rsidRDefault="008C63E0" w:rsidP="008C63E0">
      <w:pPr>
        <w:pStyle w:val="Norml1"/>
        <w:numPr>
          <w:ilvl w:val="0"/>
          <w:numId w:val="60"/>
        </w:numPr>
        <w:shd w:val="clear" w:color="auto" w:fill="FFFFFF"/>
        <w:spacing w:before="120" w:beforeAutospacing="0" w:after="0" w:afterAutospacing="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i/>
          <w:color w:val="000000"/>
          <w:sz w:val="20"/>
          <w:szCs w:val="20"/>
          <w:shd w:val="clear" w:color="auto" w:fill="FFFFFF"/>
          <w:lang w:eastAsia="en-US"/>
        </w:rPr>
        <w:t>4. c</w:t>
      </w:r>
      <w:r w:rsidRPr="00FF3F72">
        <w:rPr>
          <w:rFonts w:asciiTheme="minorHAnsi" w:eastAsiaTheme="minorHAnsi" w:hAnsiTheme="minorHAnsi" w:cstheme="minorHAnsi"/>
          <w:i/>
          <w:color w:val="000000"/>
          <w:sz w:val="20"/>
          <w:szCs w:val="20"/>
          <w:shd w:val="clear" w:color="auto" w:fill="FFFFFF"/>
          <w:lang w:eastAsia="en-US"/>
        </w:rPr>
        <w:t>ikk</w:t>
      </w:r>
      <w:r>
        <w:rPr>
          <w:rFonts w:asciiTheme="minorHAnsi" w:eastAsiaTheme="minorHAnsi" w:hAnsiTheme="minorHAnsi" w:cstheme="minorHAnsi"/>
          <w:color w:val="000000"/>
          <w:sz w:val="20"/>
          <w:szCs w:val="20"/>
          <w:shd w:val="clear" w:color="auto" w:fill="FFFFFF"/>
          <w:lang w:eastAsia="en-US"/>
        </w:rPr>
        <w:t xml:space="preserve">: </w:t>
      </w:r>
      <w:r w:rsidRPr="002C4E23">
        <w:rPr>
          <w:rFonts w:asciiTheme="minorHAnsi" w:eastAsiaTheme="minorHAnsi" w:hAnsiTheme="minorHAnsi" w:cstheme="minorHAnsi"/>
          <w:color w:val="000000"/>
          <w:sz w:val="20"/>
          <w:szCs w:val="20"/>
          <w:shd w:val="clear" w:color="auto" w:fill="FFFFFF"/>
          <w:lang w:eastAsia="en-US"/>
        </w:rPr>
        <w:t xml:space="preserve">A tagállamok engedélyezhetik az állandóhelyű összeköttetések 24,25–27,5 </w:t>
      </w:r>
      <w:proofErr w:type="spellStart"/>
      <w:r w:rsidRPr="002C4E23">
        <w:rPr>
          <w:rFonts w:asciiTheme="minorHAnsi" w:eastAsiaTheme="minorHAnsi" w:hAnsiTheme="minorHAnsi" w:cstheme="minorHAnsi"/>
          <w:color w:val="000000"/>
          <w:sz w:val="20"/>
          <w:szCs w:val="20"/>
          <w:shd w:val="clear" w:color="auto" w:fill="FFFFFF"/>
          <w:lang w:eastAsia="en-US"/>
        </w:rPr>
        <w:t>GHz</w:t>
      </w:r>
      <w:proofErr w:type="spellEnd"/>
      <w:r w:rsidRPr="002C4E23">
        <w:rPr>
          <w:rFonts w:asciiTheme="minorHAnsi" w:eastAsiaTheme="minorHAnsi" w:hAnsiTheme="minorHAnsi" w:cstheme="minorHAnsi"/>
          <w:color w:val="000000"/>
          <w:sz w:val="20"/>
          <w:szCs w:val="20"/>
          <w:shd w:val="clear" w:color="auto" w:fill="FFFFFF"/>
          <w:lang w:eastAsia="en-US"/>
        </w:rPr>
        <w:t xml:space="preserve"> frekvenciasávon belüli további működését, ha az 1. cikkben említett földfelszíni rendszerek megfelelően összehangolt spektrumhasználat mellett tudnak együttesen működni az ilyen állandóhelyű összeköttetésekkel.</w:t>
      </w:r>
    </w:p>
    <w:p w14:paraId="2F1DB747" w14:textId="77777777" w:rsidR="008C63E0" w:rsidRPr="002C4E23" w:rsidRDefault="008C63E0" w:rsidP="008C63E0">
      <w:pPr>
        <w:pStyle w:val="Norml1"/>
        <w:shd w:val="clear" w:color="auto" w:fill="FFFFFF"/>
        <w:spacing w:before="120" w:beforeAutospacing="0" w:after="0" w:afterAutospacing="0"/>
        <w:ind w:left="1077"/>
        <w:jc w:val="both"/>
        <w:rPr>
          <w:rFonts w:asciiTheme="minorHAnsi" w:eastAsiaTheme="minorHAnsi" w:hAnsiTheme="minorHAnsi" w:cstheme="minorHAnsi"/>
          <w:color w:val="000000"/>
          <w:sz w:val="20"/>
          <w:szCs w:val="20"/>
          <w:shd w:val="clear" w:color="auto" w:fill="FFFFFF"/>
          <w:lang w:eastAsia="en-US"/>
        </w:rPr>
      </w:pPr>
      <w:r w:rsidRPr="002C4E23">
        <w:rPr>
          <w:rFonts w:asciiTheme="minorHAnsi" w:eastAsiaTheme="minorHAnsi" w:hAnsiTheme="minorHAnsi" w:cstheme="minorHAnsi"/>
          <w:color w:val="000000"/>
          <w:sz w:val="20"/>
          <w:szCs w:val="20"/>
          <w:shd w:val="clear" w:color="auto" w:fill="FFFFFF"/>
          <w:lang w:eastAsia="en-US"/>
        </w:rPr>
        <w:t>A tagállamok rendszeresen nyomon követik az e cikk első bekezdésében említett állandóhelyű összeköttetések további működtetésének szükségességét.</w:t>
      </w:r>
    </w:p>
    <w:p w14:paraId="220CFBEE" w14:textId="77777777" w:rsidR="008C63E0" w:rsidRPr="002C4E23" w:rsidRDefault="008C63E0" w:rsidP="008C63E0">
      <w:pPr>
        <w:pStyle w:val="Listaszerbekezds"/>
        <w:numPr>
          <w:ilvl w:val="0"/>
          <w:numId w:val="60"/>
        </w:numPr>
        <w:shd w:val="clear" w:color="auto" w:fill="FFFFFF"/>
        <w:spacing w:before="120" w:after="0" w:line="240" w:lineRule="auto"/>
        <w:rPr>
          <w:color w:val="000000"/>
          <w:sz w:val="20"/>
          <w:szCs w:val="20"/>
          <w:shd w:val="clear" w:color="auto" w:fill="FFFFFF"/>
        </w:rPr>
      </w:pPr>
      <w:r>
        <w:rPr>
          <w:i/>
          <w:color w:val="000000"/>
          <w:sz w:val="20"/>
          <w:szCs w:val="20"/>
          <w:shd w:val="clear" w:color="auto" w:fill="FFFFFF"/>
        </w:rPr>
        <w:t>5. c</w:t>
      </w:r>
      <w:r w:rsidRPr="00FF3F72">
        <w:rPr>
          <w:i/>
          <w:color w:val="000000"/>
          <w:sz w:val="20"/>
          <w:szCs w:val="20"/>
          <w:shd w:val="clear" w:color="auto" w:fill="FFFFFF"/>
        </w:rPr>
        <w:t>ikk</w:t>
      </w:r>
      <w:r>
        <w:rPr>
          <w:color w:val="000000"/>
          <w:sz w:val="20"/>
          <w:szCs w:val="20"/>
          <w:shd w:val="clear" w:color="auto" w:fill="FFFFFF"/>
        </w:rPr>
        <w:t xml:space="preserve">: </w:t>
      </w:r>
      <w:r w:rsidRPr="002C4E23">
        <w:rPr>
          <w:color w:val="000000"/>
          <w:sz w:val="20"/>
          <w:szCs w:val="20"/>
          <w:shd w:val="clear" w:color="auto" w:fill="FFFFFF"/>
        </w:rPr>
        <w:t>Amennyiben az új földi állomások számát és helyét úgy határozzák meg, hogy azok ne akadályozzák aránytalan mértékben az 1. cikkben említett rendszerek működését, a tagállamoknak biztosítaniuk kell, hogy a piaci kereslet függvényében lehetőség legyen további földi állomások telepítésére:</w:t>
      </w:r>
    </w:p>
    <w:p w14:paraId="6729AAD5" w14:textId="77777777" w:rsidR="008C63E0" w:rsidRDefault="008C63E0" w:rsidP="008C63E0">
      <w:pPr>
        <w:pStyle w:val="Listaszerbekezds"/>
        <w:numPr>
          <w:ilvl w:val="1"/>
          <w:numId w:val="60"/>
        </w:numPr>
        <w:shd w:val="clear" w:color="auto" w:fill="FFFFFF"/>
        <w:spacing w:before="120" w:after="0" w:line="240" w:lineRule="auto"/>
        <w:rPr>
          <w:color w:val="000000"/>
          <w:sz w:val="20"/>
          <w:szCs w:val="20"/>
          <w:shd w:val="clear" w:color="auto" w:fill="FFFFFF"/>
        </w:rPr>
      </w:pPr>
      <w:r w:rsidRPr="002C4E23">
        <w:rPr>
          <w:color w:val="000000"/>
          <w:sz w:val="20"/>
          <w:szCs w:val="20"/>
          <w:shd w:val="clear" w:color="auto" w:fill="FFFFFF"/>
        </w:rPr>
        <w:t xml:space="preserve">a műholdas Föld-kutató szolgálat (űr–Föld irány) vagy az űrkutatási szolgálat (űr–Föld irány) keretében a 25,5–27,0 </w:t>
      </w:r>
      <w:proofErr w:type="spellStart"/>
      <w:r w:rsidRPr="002C4E23">
        <w:rPr>
          <w:color w:val="000000"/>
          <w:sz w:val="20"/>
          <w:szCs w:val="20"/>
          <w:shd w:val="clear" w:color="auto" w:fill="FFFFFF"/>
        </w:rPr>
        <w:t>GHz</w:t>
      </w:r>
      <w:proofErr w:type="spellEnd"/>
      <w:r w:rsidRPr="002C4E23">
        <w:rPr>
          <w:color w:val="000000"/>
          <w:sz w:val="20"/>
          <w:szCs w:val="20"/>
          <w:shd w:val="clear" w:color="auto" w:fill="FFFFFF"/>
        </w:rPr>
        <w:t xml:space="preserve"> frekvenciasávban,</w:t>
      </w:r>
    </w:p>
    <w:p w14:paraId="448B9142" w14:textId="77777777" w:rsidR="008C63E0" w:rsidRPr="002C4E23" w:rsidRDefault="008C63E0" w:rsidP="008C63E0">
      <w:pPr>
        <w:pStyle w:val="Listaszerbekezds"/>
        <w:numPr>
          <w:ilvl w:val="1"/>
          <w:numId w:val="60"/>
        </w:numPr>
        <w:shd w:val="clear" w:color="auto" w:fill="FFFFFF"/>
        <w:spacing w:before="120" w:after="0" w:line="240" w:lineRule="auto"/>
        <w:rPr>
          <w:color w:val="000000"/>
          <w:sz w:val="20"/>
          <w:szCs w:val="20"/>
          <w:shd w:val="clear" w:color="auto" w:fill="FFFFFF"/>
        </w:rPr>
      </w:pPr>
      <w:r w:rsidRPr="002C4E23">
        <w:rPr>
          <w:color w:val="000000"/>
          <w:sz w:val="20"/>
          <w:szCs w:val="20"/>
          <w:shd w:val="clear" w:color="auto" w:fill="FFFFFF"/>
        </w:rPr>
        <w:t xml:space="preserve">a műholdas állandóhelyű szolgálat (Föld–űr irány) keretében a 24,65–25,25 </w:t>
      </w:r>
      <w:proofErr w:type="spellStart"/>
      <w:r w:rsidRPr="002C4E23">
        <w:rPr>
          <w:color w:val="000000"/>
          <w:sz w:val="20"/>
          <w:szCs w:val="20"/>
          <w:shd w:val="clear" w:color="auto" w:fill="FFFFFF"/>
        </w:rPr>
        <w:t>GHz</w:t>
      </w:r>
      <w:proofErr w:type="spellEnd"/>
      <w:r w:rsidRPr="002C4E23">
        <w:rPr>
          <w:color w:val="000000"/>
          <w:sz w:val="20"/>
          <w:szCs w:val="20"/>
          <w:shd w:val="clear" w:color="auto" w:fill="FFFFFF"/>
        </w:rPr>
        <w:t xml:space="preserve"> frekvenciasávban.</w:t>
      </w:r>
    </w:p>
    <w:p w14:paraId="39506FB0" w14:textId="77777777" w:rsidR="008C63E0" w:rsidRPr="002C4E23" w:rsidRDefault="008C63E0" w:rsidP="008C63E0">
      <w:pPr>
        <w:pStyle w:val="Norml1"/>
        <w:numPr>
          <w:ilvl w:val="0"/>
          <w:numId w:val="60"/>
        </w:numPr>
        <w:shd w:val="clear" w:color="auto" w:fill="FFFFFF"/>
        <w:spacing w:before="120" w:beforeAutospacing="0" w:after="0" w:afterAutospacing="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i/>
          <w:color w:val="000000"/>
          <w:sz w:val="20"/>
          <w:szCs w:val="20"/>
          <w:shd w:val="clear" w:color="auto" w:fill="FFFFFF"/>
          <w:lang w:eastAsia="en-US"/>
        </w:rPr>
        <w:t>6. c</w:t>
      </w:r>
      <w:r w:rsidRPr="00FF3F72">
        <w:rPr>
          <w:rFonts w:asciiTheme="minorHAnsi" w:eastAsiaTheme="minorHAnsi" w:hAnsiTheme="minorHAnsi" w:cstheme="minorHAnsi"/>
          <w:i/>
          <w:color w:val="000000"/>
          <w:sz w:val="20"/>
          <w:szCs w:val="20"/>
          <w:shd w:val="clear" w:color="auto" w:fill="FFFFFF"/>
          <w:lang w:eastAsia="en-US"/>
        </w:rPr>
        <w:t>ikk</w:t>
      </w:r>
      <w:r>
        <w:rPr>
          <w:rFonts w:asciiTheme="minorHAnsi" w:eastAsiaTheme="minorHAnsi" w:hAnsiTheme="minorHAnsi" w:cstheme="minorHAnsi"/>
          <w:color w:val="000000"/>
          <w:sz w:val="20"/>
          <w:szCs w:val="20"/>
          <w:shd w:val="clear" w:color="auto" w:fill="FFFFFF"/>
          <w:lang w:eastAsia="en-US"/>
        </w:rPr>
        <w:t xml:space="preserve">: </w:t>
      </w:r>
      <w:r w:rsidRPr="002C4E23">
        <w:rPr>
          <w:rFonts w:asciiTheme="minorHAnsi" w:eastAsiaTheme="minorHAnsi" w:hAnsiTheme="minorHAnsi" w:cstheme="minorHAnsi"/>
          <w:color w:val="000000"/>
          <w:sz w:val="20"/>
          <w:szCs w:val="20"/>
          <w:shd w:val="clear" w:color="auto" w:fill="FFFFFF"/>
          <w:lang w:eastAsia="en-US"/>
        </w:rPr>
        <w:t xml:space="preserve">A tagállamok </w:t>
      </w:r>
      <w:r w:rsidRPr="00FF3F72">
        <w:rPr>
          <w:rFonts w:asciiTheme="minorHAnsi" w:eastAsiaTheme="minorHAnsi" w:hAnsiTheme="minorHAnsi" w:cstheme="minorHAnsi"/>
          <w:color w:val="000000"/>
          <w:sz w:val="20"/>
          <w:szCs w:val="20"/>
          <w:shd w:val="clear" w:color="auto" w:fill="FFFFFF"/>
          <w:lang w:eastAsia="en-US"/>
        </w:rPr>
        <w:t>az 1. cikkben említett földfelszíni rendszerek</w:t>
      </w:r>
      <w:r w:rsidRPr="002C4E23">
        <w:rPr>
          <w:rFonts w:asciiTheme="minorHAnsi" w:eastAsiaTheme="minorHAnsi" w:hAnsiTheme="minorHAnsi" w:cstheme="minorHAnsi"/>
          <w:color w:val="000000"/>
          <w:sz w:val="20"/>
          <w:szCs w:val="20"/>
          <w:shd w:val="clear" w:color="auto" w:fill="FFFFFF"/>
          <w:lang w:eastAsia="en-US"/>
        </w:rPr>
        <w:t xml:space="preserve"> működésének lehetővé tétele érdekében előmozdítják a határövezeti koordinációs megállapodások létrejöttét, figyelmet fordítva a meglévő szabályozási eljárásokra és jogokra, valamint a vonatkozó nemzetközi megállapodásokra.</w:t>
      </w:r>
    </w:p>
    <w:p w14:paraId="5DD97D31" w14:textId="77777777" w:rsidR="008C63E0" w:rsidRPr="00FF3F72" w:rsidRDefault="008C63E0" w:rsidP="008C63E0">
      <w:pPr>
        <w:pStyle w:val="Norml1"/>
        <w:numPr>
          <w:ilvl w:val="0"/>
          <w:numId w:val="60"/>
        </w:numPr>
        <w:shd w:val="clear" w:color="auto" w:fill="FFFFFF"/>
        <w:spacing w:before="120" w:beforeAutospacing="0" w:after="0" w:afterAutospacing="0"/>
        <w:jc w:val="both"/>
        <w:rPr>
          <w:rFonts w:asciiTheme="minorHAnsi" w:eastAsiaTheme="minorHAnsi" w:hAnsiTheme="minorHAnsi" w:cstheme="minorHAnsi"/>
          <w:color w:val="000000"/>
          <w:sz w:val="20"/>
          <w:szCs w:val="20"/>
          <w:shd w:val="clear" w:color="auto" w:fill="FFFFFF"/>
          <w:lang w:eastAsia="en-US"/>
        </w:rPr>
      </w:pPr>
      <w:r w:rsidRPr="00FF3F72">
        <w:rPr>
          <w:rFonts w:asciiTheme="minorHAnsi" w:eastAsiaTheme="minorHAnsi" w:hAnsiTheme="minorHAnsi" w:cstheme="minorHAnsi"/>
          <w:i/>
          <w:color w:val="000000"/>
          <w:sz w:val="20"/>
          <w:szCs w:val="20"/>
          <w:shd w:val="clear" w:color="auto" w:fill="FFFFFF"/>
          <w:lang w:eastAsia="en-US"/>
        </w:rPr>
        <w:t>7. cikk</w:t>
      </w:r>
      <w:r>
        <w:rPr>
          <w:rFonts w:asciiTheme="minorHAnsi" w:eastAsiaTheme="minorHAnsi" w:hAnsiTheme="minorHAnsi" w:cstheme="minorHAnsi"/>
          <w:color w:val="000000"/>
          <w:sz w:val="20"/>
          <w:szCs w:val="20"/>
          <w:shd w:val="clear" w:color="auto" w:fill="FFFFFF"/>
          <w:lang w:eastAsia="en-US"/>
        </w:rPr>
        <w:t xml:space="preserve">: </w:t>
      </w:r>
      <w:r w:rsidRPr="00FF3F72">
        <w:rPr>
          <w:rFonts w:asciiTheme="minorHAnsi" w:eastAsiaTheme="minorHAnsi" w:hAnsiTheme="minorHAnsi" w:cstheme="minorHAnsi"/>
          <w:color w:val="000000"/>
          <w:sz w:val="20"/>
          <w:szCs w:val="20"/>
          <w:shd w:val="clear" w:color="auto" w:fill="FFFFFF"/>
          <w:lang w:eastAsia="en-US"/>
        </w:rPr>
        <w:t>A tagállamok 2020. </w:t>
      </w:r>
      <w:r>
        <w:rPr>
          <w:rFonts w:asciiTheme="minorHAnsi" w:eastAsiaTheme="minorHAnsi" w:hAnsiTheme="minorHAnsi" w:cstheme="minorHAnsi"/>
          <w:color w:val="000000"/>
          <w:sz w:val="20"/>
          <w:szCs w:val="20"/>
          <w:shd w:val="clear" w:color="auto" w:fill="FFFFFF"/>
          <w:lang w:eastAsia="en-US"/>
        </w:rPr>
        <w:t>szeptember</w:t>
      </w:r>
      <w:r w:rsidRPr="00FF3F72">
        <w:rPr>
          <w:rFonts w:asciiTheme="minorHAnsi" w:eastAsiaTheme="minorHAnsi" w:hAnsiTheme="minorHAnsi" w:cstheme="minorHAnsi"/>
          <w:color w:val="000000"/>
          <w:sz w:val="20"/>
          <w:szCs w:val="20"/>
          <w:shd w:val="clear" w:color="auto" w:fill="FFFFFF"/>
          <w:lang w:eastAsia="en-US"/>
        </w:rPr>
        <w:t> 30-ig jelentést tesznek a Bizottságnak e határozat végrehajtásáról.</w:t>
      </w:r>
    </w:p>
    <w:p w14:paraId="7BA49ADC" w14:textId="77777777" w:rsidR="008C63E0" w:rsidRPr="00FF3F72" w:rsidRDefault="008C63E0" w:rsidP="008C63E0">
      <w:pPr>
        <w:pStyle w:val="Norml1"/>
        <w:numPr>
          <w:ilvl w:val="0"/>
          <w:numId w:val="60"/>
        </w:numPr>
        <w:shd w:val="clear" w:color="auto" w:fill="FFFFFF"/>
        <w:spacing w:before="120" w:beforeAutospacing="0" w:after="0" w:afterAutospacing="0"/>
        <w:jc w:val="both"/>
        <w:rPr>
          <w:rFonts w:asciiTheme="minorHAnsi" w:eastAsiaTheme="minorHAnsi" w:hAnsiTheme="minorHAnsi" w:cstheme="minorHAnsi"/>
          <w:color w:val="000000"/>
          <w:sz w:val="20"/>
          <w:szCs w:val="20"/>
          <w:shd w:val="clear" w:color="auto" w:fill="FFFFFF"/>
          <w:lang w:eastAsia="en-US"/>
        </w:rPr>
      </w:pPr>
      <w:r w:rsidRPr="00FF3F72">
        <w:rPr>
          <w:rFonts w:asciiTheme="minorHAnsi" w:eastAsiaTheme="minorHAnsi" w:hAnsiTheme="minorHAnsi" w:cstheme="minorHAnsi"/>
          <w:i/>
          <w:color w:val="000000"/>
          <w:sz w:val="20"/>
          <w:szCs w:val="20"/>
          <w:shd w:val="clear" w:color="auto" w:fill="FFFFFF"/>
          <w:lang w:eastAsia="en-US"/>
        </w:rPr>
        <w:t>8. cikk</w:t>
      </w:r>
      <w:r>
        <w:rPr>
          <w:rFonts w:asciiTheme="minorHAnsi" w:eastAsiaTheme="minorHAnsi" w:hAnsiTheme="minorHAnsi" w:cstheme="minorHAnsi"/>
          <w:color w:val="000000"/>
          <w:sz w:val="20"/>
          <w:szCs w:val="20"/>
          <w:shd w:val="clear" w:color="auto" w:fill="FFFFFF"/>
          <w:lang w:eastAsia="en-US"/>
        </w:rPr>
        <w:t xml:space="preserve">: </w:t>
      </w:r>
      <w:r w:rsidRPr="00FF3F72">
        <w:rPr>
          <w:rFonts w:asciiTheme="minorHAnsi" w:eastAsiaTheme="minorHAnsi" w:hAnsiTheme="minorHAnsi" w:cstheme="minorHAnsi"/>
          <w:color w:val="000000"/>
          <w:sz w:val="20"/>
          <w:szCs w:val="20"/>
          <w:shd w:val="clear" w:color="auto" w:fill="FFFFFF"/>
          <w:lang w:eastAsia="en-US"/>
        </w:rPr>
        <w:t xml:space="preserve">A tagállamok figyelemmel kísérik a 24,25–27,5 </w:t>
      </w:r>
      <w:proofErr w:type="spellStart"/>
      <w:r w:rsidRPr="00FF3F72">
        <w:rPr>
          <w:rFonts w:asciiTheme="minorHAnsi" w:eastAsiaTheme="minorHAnsi" w:hAnsiTheme="minorHAnsi" w:cstheme="minorHAnsi"/>
          <w:color w:val="000000"/>
          <w:sz w:val="20"/>
          <w:szCs w:val="20"/>
          <w:shd w:val="clear" w:color="auto" w:fill="FFFFFF"/>
          <w:lang w:eastAsia="en-US"/>
        </w:rPr>
        <w:t>GHz</w:t>
      </w:r>
      <w:proofErr w:type="spellEnd"/>
      <w:r w:rsidRPr="00FF3F72">
        <w:rPr>
          <w:rFonts w:asciiTheme="minorHAnsi" w:eastAsiaTheme="minorHAnsi" w:hAnsiTheme="minorHAnsi" w:cstheme="minorHAnsi"/>
          <w:color w:val="000000"/>
          <w:sz w:val="20"/>
          <w:szCs w:val="20"/>
          <w:shd w:val="clear" w:color="auto" w:fill="FFFFFF"/>
          <w:lang w:eastAsia="en-US"/>
        </w:rPr>
        <w:t xml:space="preserve"> frekvenciasáv használatát, többek között az 1. cikkben említett földfelszíni rendszerek és a sávot használó egyéb rendszerek együttes működésének alakulását, és külön kérésére vagy saját kezdeményezésükre jelentést tesznek a Bizottságnak megállapításaikról, hogy lehetőség nyíljon e határozat időszerű felülvizsgálatára.</w:t>
      </w:r>
    </w:p>
    <w:p w14:paraId="74D5F6DC" w14:textId="320E429C" w:rsidR="008C63E0" w:rsidRDefault="00F54E17" w:rsidP="004824D5">
      <w:pPr>
        <w:pStyle w:val="Behzottbekezdsnmhh"/>
        <w:spacing w:before="120"/>
      </w:pPr>
      <w:r>
        <w:t>A Kódex</w:t>
      </w:r>
      <w:r>
        <w:rPr>
          <w:rStyle w:val="Lbjegyzet-hivatkozs"/>
        </w:rPr>
        <w:footnoteReference w:id="40"/>
      </w:r>
      <w:r>
        <w:t xml:space="preserve"> 54. cikke rendelkezik a </w:t>
      </w:r>
      <w:r w:rsidRPr="00F54E17">
        <w:t xml:space="preserve">frekvenciaelosztás időbeli összehangolása </w:t>
      </w:r>
      <w:r>
        <w:t xml:space="preserve">érdekében szükséges </w:t>
      </w:r>
      <w:r w:rsidRPr="00F54E17">
        <w:t>ko</w:t>
      </w:r>
      <w:r>
        <w:t xml:space="preserve">nkrét 5G frekvenciasávokra vonatkozó szabályokról. </w:t>
      </w:r>
      <w:r w:rsidR="000C35B6">
        <w:t xml:space="preserve">A Kódex rendelkezései alapján a tagállamok a vezetéknélküli szélessávú szolgáltatások nyújtására </w:t>
      </w:r>
      <w:r w:rsidR="00F53429">
        <w:t xml:space="preserve">alkalmas </w:t>
      </w:r>
      <w:r w:rsidR="000C35B6">
        <w:t>föld</w:t>
      </w:r>
      <w:r w:rsidR="004824D5">
        <w:t>felszín</w:t>
      </w:r>
      <w:r w:rsidR="000C35B6">
        <w:t xml:space="preserve">i rendszerek tekintetében, ha az az 5G kiépítésének elősegítéséhez szükséges, 2020. december 31-ig minden megfelelő intézkedést meghoznak azért, hogy lehetővé tegyék a 24,25 és 27,5 </w:t>
      </w:r>
      <w:proofErr w:type="spellStart"/>
      <w:r w:rsidR="000C35B6">
        <w:t>GHz</w:t>
      </w:r>
      <w:proofErr w:type="spellEnd"/>
      <w:r w:rsidR="000C35B6">
        <w:t xml:space="preserve"> közötti sávból legalább 1 </w:t>
      </w:r>
      <w:proofErr w:type="spellStart"/>
      <w:r w:rsidR="000C35B6">
        <w:t>GHz</w:t>
      </w:r>
      <w:proofErr w:type="spellEnd"/>
      <w:r w:rsidR="000C35B6">
        <w:t xml:space="preserve"> használatát, amennyiben egyértelműen igazolható, hogy van piaci kereslet, valamint hogy a meglévő felhasználók migrációjának, illetve a sáv felszabadításának nincs jelentős akadálya.</w:t>
      </w:r>
    </w:p>
    <w:p w14:paraId="4F6C4963" w14:textId="58B7E7DE" w:rsidR="003C53E6" w:rsidRDefault="008C63E0" w:rsidP="008C63E0">
      <w:pPr>
        <w:pStyle w:val="Behzottbekezdsnmhh"/>
      </w:pPr>
      <w:r>
        <w:t xml:space="preserve">Ezen kívül az </w:t>
      </w:r>
      <w:r w:rsidR="00F53429">
        <w:t>u</w:t>
      </w:r>
      <w:r>
        <w:t xml:space="preserve">niós szabályozásban két gépjárműradarokra vonatkozó szabályozó dokumentum van hatályban, ami a jelenlegi használatot közvetve érinti. Ez a két uniós szabályozó a </w:t>
      </w:r>
      <w:r w:rsidRPr="00095587">
        <w:rPr>
          <w:i/>
        </w:rPr>
        <w:t xml:space="preserve">2005/50/EK </w:t>
      </w:r>
      <w:r w:rsidR="00F53429">
        <w:t>b</w:t>
      </w:r>
      <w:r w:rsidRPr="008F3FEC">
        <w:t xml:space="preserve">izottsági határozat, és az ezt módosító </w:t>
      </w:r>
      <w:r w:rsidRPr="00095587">
        <w:rPr>
          <w:i/>
        </w:rPr>
        <w:t>2011/485/EU</w:t>
      </w:r>
      <w:r>
        <w:t xml:space="preserve"> </w:t>
      </w:r>
      <w:r w:rsidR="00AA73A4">
        <w:t>b</w:t>
      </w:r>
      <w:r>
        <w:t>izottsági végrehajtási határozat,</w:t>
      </w:r>
      <w:r w:rsidRPr="008F3FEC">
        <w:t xml:space="preserve"> amely</w:t>
      </w:r>
      <w:r>
        <w:t>ek</w:t>
      </w:r>
      <w:r w:rsidRPr="008F3FEC">
        <w:t xml:space="preserve"> a 24 </w:t>
      </w:r>
      <w:proofErr w:type="spellStart"/>
      <w:r w:rsidRPr="008F3FEC">
        <w:t>GHz</w:t>
      </w:r>
      <w:proofErr w:type="spellEnd"/>
      <w:r>
        <w:t xml:space="preserve">-es </w:t>
      </w:r>
      <w:r w:rsidRPr="008F3FEC">
        <w:t>frekvenciasávban alkalmazott, kis hatótávolságú gépjárműradarok időben korlátozott használatára vonatkozik</w:t>
      </w:r>
      <w:r>
        <w:t xml:space="preserve"> (további részletek a </w:t>
      </w:r>
      <w:r w:rsidRPr="00477C09">
        <w:t>7. fejezetben</w:t>
      </w:r>
      <w:r>
        <w:t>).</w:t>
      </w:r>
    </w:p>
    <w:p w14:paraId="22471F12" w14:textId="77777777" w:rsidR="003C53E6" w:rsidRDefault="003C53E6">
      <w:pPr>
        <w:spacing w:after="200"/>
        <w:jc w:val="left"/>
        <w:rPr>
          <w:sz w:val="20"/>
          <w:szCs w:val="20"/>
        </w:rPr>
      </w:pPr>
      <w:r>
        <w:br w:type="page"/>
      </w:r>
    </w:p>
    <w:p w14:paraId="549A5A75" w14:textId="77777777" w:rsidR="008C63E0" w:rsidRDefault="008C63E0" w:rsidP="008C63E0">
      <w:pPr>
        <w:pStyle w:val="Cmsor2szmozottnmhh"/>
        <w:ind w:left="578" w:hanging="578"/>
      </w:pPr>
      <w:bookmarkStart w:id="30" w:name="_Toc473880720"/>
      <w:bookmarkStart w:id="31" w:name="_Toc26254669"/>
      <w:bookmarkStart w:id="32" w:name="_Toc92461622"/>
      <w:bookmarkStart w:id="33" w:name="_Toc96075605"/>
      <w:r>
        <w:lastRenderedPageBreak/>
        <w:t>Nemzeti szabályozás</w:t>
      </w:r>
      <w:bookmarkEnd w:id="30"/>
      <w:bookmarkEnd w:id="31"/>
      <w:bookmarkEnd w:id="32"/>
      <w:bookmarkEnd w:id="33"/>
    </w:p>
    <w:p w14:paraId="408D11A5" w14:textId="2131CFAE" w:rsidR="008C63E0" w:rsidRDefault="008C63E0" w:rsidP="008C63E0">
      <w:pPr>
        <w:pStyle w:val="Cmsor3szmozottnmhh"/>
        <w:ind w:left="1996"/>
      </w:pPr>
      <w:r>
        <w:t xml:space="preserve"> </w:t>
      </w:r>
      <w:bookmarkStart w:id="34" w:name="_Toc26254670"/>
      <w:bookmarkStart w:id="35" w:name="_Toc92461623"/>
      <w:bookmarkStart w:id="36" w:name="_Toc96075606"/>
      <w:r w:rsidR="00532807">
        <w:t>J</w:t>
      </w:r>
      <w:r w:rsidR="00BC6786">
        <w:t>elenleg</w:t>
      </w:r>
      <w:r w:rsidR="007827A9">
        <w:t>i szabályozás és használat</w:t>
      </w:r>
      <w:bookmarkEnd w:id="34"/>
      <w:bookmarkEnd w:id="35"/>
      <w:bookmarkEnd w:id="36"/>
    </w:p>
    <w:p w14:paraId="7EEACA4B" w14:textId="768208DF" w:rsidR="008C63E0" w:rsidRDefault="008C63E0" w:rsidP="008C63E0">
      <w:pPr>
        <w:pStyle w:val="Behzottbekezdsnmhh"/>
      </w:pPr>
      <w:r>
        <w:t>A</w:t>
      </w:r>
      <w:r w:rsidRPr="00494465">
        <w:t xml:space="preserve"> </w:t>
      </w:r>
      <w:r>
        <w:t>24</w:t>
      </w:r>
      <w:r w:rsidR="004F25E2">
        <w:t>,25-27,5 </w:t>
      </w:r>
      <w:proofErr w:type="spellStart"/>
      <w:r w:rsidR="004F25E2">
        <w:t>GHz</w:t>
      </w:r>
      <w:proofErr w:type="spellEnd"/>
      <w:r w:rsidR="004F25E2">
        <w:t xml:space="preserve"> frekvenciasávban </w:t>
      </w:r>
      <w:r w:rsidR="00477C09">
        <w:t>az</w:t>
      </w:r>
      <w:r>
        <w:t xml:space="preserve"> NFFF 2. melléklet alapján</w:t>
      </w:r>
      <w:r w:rsidR="00477C09">
        <w:t xml:space="preserve"> </w:t>
      </w:r>
      <w:r w:rsidR="00B73B22">
        <w:t>használhatóak az egyes alkalmazások. A</w:t>
      </w:r>
      <w:r w:rsidR="00477C09">
        <w:t xml:space="preserve"> </w:t>
      </w:r>
      <w:r w:rsidR="005443A7">
        <w:t xml:space="preserve">műszaki </w:t>
      </w:r>
      <w:proofErr w:type="spellStart"/>
      <w:r w:rsidR="00477C09">
        <w:t>notifi</w:t>
      </w:r>
      <w:r w:rsidR="00D46C12">
        <w:t>k</w:t>
      </w:r>
      <w:r w:rsidR="00477C09">
        <w:t>áción</w:t>
      </w:r>
      <w:proofErr w:type="spellEnd"/>
      <w:r w:rsidR="006B2150">
        <w:rPr>
          <w:rStyle w:val="Lbjegyzet-hivatkozs"/>
        </w:rPr>
        <w:footnoteReference w:id="41"/>
      </w:r>
      <w:r w:rsidR="00477C09">
        <w:t xml:space="preserve"> lévő NFFF módosító rendelet tervezetet is figyelembe véve</w:t>
      </w:r>
      <w:r w:rsidR="00B73B22">
        <w:t>, r</w:t>
      </w:r>
      <w:r w:rsidR="004F25E2">
        <w:t>észsávok szerint lebontva az alábbiakban kerül ismertetésre a szabályozás</w:t>
      </w:r>
      <w:r w:rsidR="00D46C12">
        <w:t xml:space="preserve"> és a tényleges használat</w:t>
      </w:r>
      <w:r w:rsidR="00B73B22">
        <w:t>.</w:t>
      </w:r>
    </w:p>
    <w:p w14:paraId="105F99E8" w14:textId="613C0917" w:rsidR="008C63E0" w:rsidRDefault="008C63E0" w:rsidP="008C63E0">
      <w:pPr>
        <w:pStyle w:val="Behzottbekezdsnmhh"/>
        <w:numPr>
          <w:ilvl w:val="0"/>
          <w:numId w:val="61"/>
        </w:numPr>
      </w:pPr>
      <w:r>
        <w:t>A 24,25-24,5 </w:t>
      </w:r>
      <w:proofErr w:type="spellStart"/>
      <w:r>
        <w:t>GHz</w:t>
      </w:r>
      <w:proofErr w:type="spellEnd"/>
      <w:r>
        <w:t xml:space="preserve"> frekvenciasáv elsődleges jelleggel kijelölt volt híranyag és műsorszerkesztési célú alkalmazások részére, azonban ebben a </w:t>
      </w:r>
      <w:r w:rsidR="00414891" w:rsidRPr="00426D01">
        <w:t>frekvencia</w:t>
      </w:r>
      <w:r>
        <w:t xml:space="preserve">sávban az ilyen jellegű használat Magyarországon nem jellemző, tényleges használat nincs, ezért </w:t>
      </w:r>
      <w:r w:rsidR="00AA73A4">
        <w:t xml:space="preserve">törlésre került </w:t>
      </w:r>
      <w:r>
        <w:t xml:space="preserve">az alkalmazás a </w:t>
      </w:r>
      <w:r w:rsidR="00414891" w:rsidRPr="00426D01">
        <w:t>frekvencia</w:t>
      </w:r>
      <w:r>
        <w:t xml:space="preserve">sávból, megkönnyítve az MFCN rendszerek későbbi bevezetését. </w:t>
      </w:r>
    </w:p>
    <w:p w14:paraId="3EA01A18" w14:textId="385572AF" w:rsidR="008C63E0" w:rsidRDefault="008C63E0" w:rsidP="008C63E0">
      <w:pPr>
        <w:pStyle w:val="Behzottbekezdsnmhh"/>
        <w:numPr>
          <w:ilvl w:val="0"/>
          <w:numId w:val="61"/>
        </w:numPr>
      </w:pPr>
      <w:r>
        <w:t xml:space="preserve">A 24,5-26,5 </w:t>
      </w:r>
      <w:proofErr w:type="spellStart"/>
      <w:r>
        <w:t>GHz</w:t>
      </w:r>
      <w:proofErr w:type="spellEnd"/>
      <w:r>
        <w:t xml:space="preserve"> </w:t>
      </w:r>
      <w:r w:rsidR="00414891" w:rsidRPr="00426D01">
        <w:t>frekvencia</w:t>
      </w:r>
      <w:r>
        <w:t xml:space="preserve">sáv elsődleges jelleggel kijelölt polgári célú állandóhelyű szolgálati rendszerek részére (pont-pont és pont-többpont). A </w:t>
      </w:r>
      <w:r w:rsidR="001E4194">
        <w:t xml:space="preserve">versenyeztetési eljárás eredményeképpen, </w:t>
      </w:r>
      <w:r>
        <w:t>blokkgazdálkodás keretében történő használat igen jelentős</w:t>
      </w:r>
      <w:r w:rsidR="001E4194">
        <w:t xml:space="preserve"> az egész ország területén</w:t>
      </w:r>
      <w:r>
        <w:t>.</w:t>
      </w:r>
    </w:p>
    <w:p w14:paraId="1F15E921" w14:textId="0A710672" w:rsidR="008C63E0" w:rsidRDefault="008C63E0" w:rsidP="008C63E0">
      <w:pPr>
        <w:pStyle w:val="Behzottbekezdsnmhh"/>
        <w:numPr>
          <w:ilvl w:val="0"/>
          <w:numId w:val="61"/>
        </w:numPr>
      </w:pPr>
      <w:r>
        <w:t>A 26,5-27,5 </w:t>
      </w:r>
      <w:proofErr w:type="spellStart"/>
      <w:r>
        <w:t>GHz</w:t>
      </w:r>
      <w:proofErr w:type="spellEnd"/>
      <w:r>
        <w:t xml:space="preserve"> </w:t>
      </w:r>
      <w:r w:rsidR="00414891" w:rsidRPr="00426D01">
        <w:t>frekvencia</w:t>
      </w:r>
      <w:r>
        <w:t>sáv – a</w:t>
      </w:r>
      <w:r w:rsidR="00DB6558">
        <w:t xml:space="preserve"> </w:t>
      </w:r>
      <w:r w:rsidR="00AA73A4">
        <w:t>Magyarországon</w:t>
      </w:r>
      <w:r>
        <w:t xml:space="preserve"> nem használt műholdas alkalmazások mellett </w:t>
      </w:r>
      <w:r w:rsidR="006B2150">
        <w:t>–</w:t>
      </w:r>
      <w:r>
        <w:t xml:space="preserve"> nem polgári célú mozgó és állandóhelyű alkalmazásokra kijelöl</w:t>
      </w:r>
      <w:r w:rsidR="00AA73A4">
        <w:t>t</w:t>
      </w:r>
      <w:r>
        <w:t>. A sávban a nyilvános NJFA</w:t>
      </w:r>
      <w:r>
        <w:rPr>
          <w:rStyle w:val="Lbjegyzet-hivatkozs"/>
        </w:rPr>
        <w:footnoteReference w:id="42"/>
      </w:r>
      <w:r>
        <w:t xml:space="preserve"> alapján a 25,25-27,5 </w:t>
      </w:r>
      <w:proofErr w:type="spellStart"/>
      <w:r>
        <w:t>GHz</w:t>
      </w:r>
      <w:proofErr w:type="spellEnd"/>
      <w:r>
        <w:t xml:space="preserve"> </w:t>
      </w:r>
      <w:r w:rsidR="00414891" w:rsidRPr="00426D01">
        <w:t>frekvencia</w:t>
      </w:r>
      <w:r>
        <w:t xml:space="preserve">tartományban </w:t>
      </w:r>
      <w:r w:rsidR="00035E1D">
        <w:t xml:space="preserve">katonai </w:t>
      </w:r>
      <w:r>
        <w:t>légi, földi és tenger</w:t>
      </w:r>
      <w:r w:rsidR="00035E1D">
        <w:t>i</w:t>
      </w:r>
      <w:r>
        <w:t>, míg a 26,5-27,5 </w:t>
      </w:r>
      <w:proofErr w:type="spellStart"/>
      <w:r>
        <w:t>GHz</w:t>
      </w:r>
      <w:proofErr w:type="spellEnd"/>
      <w:r>
        <w:t xml:space="preserve"> </w:t>
      </w:r>
      <w:r w:rsidR="00414891" w:rsidRPr="00426D01">
        <w:t>frekvencia</w:t>
      </w:r>
      <w:r>
        <w:t xml:space="preserve">tartományban </w:t>
      </w:r>
      <w:r w:rsidR="00035E1D">
        <w:t xml:space="preserve">katonai </w:t>
      </w:r>
      <w:r>
        <w:t xml:space="preserve">földi rendszerek működhetnek. Ezen kívül </w:t>
      </w:r>
      <w:r w:rsidR="00035E1D">
        <w:t xml:space="preserve">egyéb </w:t>
      </w:r>
      <w:r>
        <w:t>nem polgári célú (de nem katonai jellegű) egy- és kétfrekvenciás mozgószolgálati és digitális pont-pont rendszerek is működhetnek. A 26,5-27,5 </w:t>
      </w:r>
      <w:proofErr w:type="spellStart"/>
      <w:r>
        <w:t>GHz</w:t>
      </w:r>
      <w:proofErr w:type="spellEnd"/>
      <w:r>
        <w:t xml:space="preserve"> </w:t>
      </w:r>
      <w:r w:rsidR="00414891" w:rsidRPr="00426D01">
        <w:t>frekvencia</w:t>
      </w:r>
      <w:r>
        <w:t>sávban</w:t>
      </w:r>
      <w:r w:rsidRPr="00D97D63">
        <w:t xml:space="preserve"> </w:t>
      </w:r>
      <w:r>
        <w:t xml:space="preserve">jelenleg nincs érvényes rádióengedély. </w:t>
      </w:r>
      <w:r w:rsidR="008D118F">
        <w:rPr>
          <w:rFonts w:ascii="Arial" w:eastAsia="Calibri" w:hAnsi="Arial" w:cs="Times New Roman"/>
          <w:iCs/>
        </w:rPr>
        <w:t>Az 5G technológia katonai alkalmazásának vizsgálata hivatalosan egy NATO finanszírozású projekt keretében már egy éve folyik, amelyben Magyarország is részt vesz, egyelőre csak megfigyelőként</w:t>
      </w:r>
      <w:r w:rsidR="006A18B0">
        <w:rPr>
          <w:rFonts w:ascii="Arial" w:eastAsia="Calibri" w:hAnsi="Arial" w:cs="Times New Roman"/>
          <w:iCs/>
        </w:rPr>
        <w:t>.</w:t>
      </w:r>
      <w:r w:rsidR="008D118F">
        <w:t xml:space="preserve"> Ez is jelzi az 5G iránti katonai érdeklődést a NATO tagállamokban, így a</w:t>
      </w:r>
      <w:r>
        <w:t xml:space="preserve"> jövőben </w:t>
      </w:r>
      <w:r w:rsidR="008D118F">
        <w:t xml:space="preserve">számolni kell olyan katonai tervekkel a NATO tagállamokban, így Magyarországon is, hogy </w:t>
      </w:r>
      <w:r>
        <w:t xml:space="preserve">a </w:t>
      </w:r>
      <w:r w:rsidR="00414891" w:rsidRPr="00426D01">
        <w:t>frekvencia</w:t>
      </w:r>
      <w:r>
        <w:t xml:space="preserve">sávot, vagy annak egy részét </w:t>
      </w:r>
      <w:r w:rsidR="008D118F">
        <w:t xml:space="preserve">katonai </w:t>
      </w:r>
      <w:r>
        <w:t xml:space="preserve">5G célokra </w:t>
      </w:r>
      <w:r w:rsidR="008D118F">
        <w:t xml:space="preserve">szeretnék </w:t>
      </w:r>
      <w:r>
        <w:t>használni</w:t>
      </w:r>
      <w:r w:rsidR="008D118F">
        <w:t>.</w:t>
      </w:r>
      <w:r w:rsidR="00532807">
        <w:t xml:space="preserve"> </w:t>
      </w:r>
      <w:r w:rsidR="00726933">
        <w:t>E</w:t>
      </w:r>
      <w:r>
        <w:t xml:space="preserve">zzel kapcsolatban </w:t>
      </w:r>
      <w:r w:rsidR="00726933">
        <w:t xml:space="preserve">azonban </w:t>
      </w:r>
      <w:r>
        <w:t xml:space="preserve">még nincsenek konkrét információk. A 26,5-27,5 </w:t>
      </w:r>
      <w:proofErr w:type="spellStart"/>
      <w:r>
        <w:t>GHz</w:t>
      </w:r>
      <w:proofErr w:type="spellEnd"/>
      <w:r>
        <w:t xml:space="preserve"> </w:t>
      </w:r>
      <w:r w:rsidR="00414891" w:rsidRPr="00426D01">
        <w:t>frekvencia</w:t>
      </w:r>
      <w:r>
        <w:t xml:space="preserve">tartományban nem polgári célú használat esetén </w:t>
      </w:r>
      <w:r w:rsidR="00035E1D">
        <w:t>„</w:t>
      </w:r>
      <w:r>
        <w:t>r</w:t>
      </w:r>
      <w:r w:rsidRPr="00631CBF">
        <w:t>ádióspektrum-használati jog a polgári és a nem polgári rádióspektrum-gazdálkodási szempontok összehangolása után szerezhető, figyelemmel az (EU) 2019/784 határozatban foglaltakra</w:t>
      </w:r>
      <w:r w:rsidR="00035E1D">
        <w:t>”</w:t>
      </w:r>
      <w:r w:rsidRPr="00631CBF">
        <w:t>.</w:t>
      </w:r>
    </w:p>
    <w:p w14:paraId="269D6BBC" w14:textId="474A0977" w:rsidR="008C63E0" w:rsidRDefault="00035E1D" w:rsidP="008C63E0">
      <w:pPr>
        <w:pStyle w:val="Behzottbekezdsnmhh"/>
        <w:numPr>
          <w:ilvl w:val="0"/>
          <w:numId w:val="61"/>
        </w:numPr>
      </w:pPr>
      <w:r>
        <w:t>A</w:t>
      </w:r>
      <w:r w:rsidR="008C63E0">
        <w:t xml:space="preserve"> 24,5-27,5 </w:t>
      </w:r>
      <w:proofErr w:type="spellStart"/>
      <w:r w:rsidR="008C63E0">
        <w:t>GHz</w:t>
      </w:r>
      <w:proofErr w:type="spellEnd"/>
      <w:r w:rsidR="008C63E0">
        <w:t xml:space="preserve"> </w:t>
      </w:r>
      <w:r w:rsidR="00414891" w:rsidRPr="00426D01">
        <w:t>frekvencia</w:t>
      </w:r>
      <w:r w:rsidR="008C63E0">
        <w:t>sáv kijelölt, illetve tervezett különböző műholdas alkalmazások részére, de Magyarországon ezeket jellemzően nem használják, tényleges használat jelenleg nincs.</w:t>
      </w:r>
    </w:p>
    <w:p w14:paraId="003ACF7C" w14:textId="2D7ED25E" w:rsidR="008C63E0" w:rsidRDefault="008C63E0" w:rsidP="008C63E0">
      <w:pPr>
        <w:pStyle w:val="Behzottbekezdsnmhh"/>
        <w:numPr>
          <w:ilvl w:val="0"/>
          <w:numId w:val="61"/>
        </w:numPr>
      </w:pPr>
      <w:proofErr w:type="gramStart"/>
      <w:r>
        <w:t xml:space="preserve">A </w:t>
      </w:r>
      <w:r w:rsidR="00414891" w:rsidRPr="00426D01">
        <w:t>frekvencia</w:t>
      </w:r>
      <w:r>
        <w:t>sáv 5G rendszerek általi elérhetővé tételének előkészítése kapcsán az NFFF 2. mellékletének táblázatába a teljes 24,25-27,5 </w:t>
      </w:r>
      <w:proofErr w:type="spellStart"/>
      <w:r>
        <w:t>GHz</w:t>
      </w:r>
      <w:proofErr w:type="spellEnd"/>
      <w:r>
        <w:t xml:space="preserve"> </w:t>
      </w:r>
      <w:r w:rsidR="00414891" w:rsidRPr="00426D01">
        <w:t>frekvencia</w:t>
      </w:r>
      <w:r>
        <w:t>sávba bekerült tervezett állandóhelyű -és mozgószolgálati alkalmazásként a „e</w:t>
      </w:r>
      <w:r w:rsidRPr="00424425">
        <w:t>lektronikus hírközlési szolgáltatások nyújtására alkalmas földfelszíni rendszerek</w:t>
      </w:r>
      <w:r>
        <w:t>” elsődleges jelleggel, amely mellé dokumentumhivatkozásként bekerült a vonatkozó (EU)</w:t>
      </w:r>
      <w:r w:rsidR="00035E1D">
        <w:t> </w:t>
      </w:r>
      <w:r>
        <w:t>2019/784 és (EU)</w:t>
      </w:r>
      <w:r w:rsidR="00035E1D">
        <w:t> </w:t>
      </w:r>
      <w:r>
        <w:t>2020/590 (ez az NFFF módosító rendelet tervezetben szerepel), valamint az ECC/DEC/(18)06 határozat.</w:t>
      </w:r>
      <w:proofErr w:type="gramEnd"/>
      <w:r>
        <w:t xml:space="preserve"> </w:t>
      </w:r>
    </w:p>
    <w:p w14:paraId="6B3686C2" w14:textId="14EC3BA8" w:rsidR="008C63E0" w:rsidRDefault="008C63E0" w:rsidP="008C63E0">
      <w:pPr>
        <w:pStyle w:val="Behzottbekezdsnmhh"/>
        <w:numPr>
          <w:ilvl w:val="0"/>
          <w:numId w:val="61"/>
        </w:numPr>
      </w:pPr>
      <w:r>
        <w:t xml:space="preserve">Ezen kívül kis hatótávolságú eszközök közül néhány </w:t>
      </w:r>
      <w:proofErr w:type="gramStart"/>
      <w:r>
        <w:t>speciális fajta</w:t>
      </w:r>
      <w:proofErr w:type="gramEnd"/>
      <w:r>
        <w:t xml:space="preserve"> használható harmadlagos jelleggel. Ezek az eszközök kis teljesítménnyel üzemelhetnek és harmadlagos jellegükből adódóan nem igényelhetnek védelmet és nem okozhatnak </w:t>
      </w:r>
      <w:r w:rsidR="00726933">
        <w:t xml:space="preserve">káros </w:t>
      </w:r>
      <w:r>
        <w:lastRenderedPageBreak/>
        <w:t xml:space="preserve">zavarást </w:t>
      </w:r>
      <w:r w:rsidR="008D1919">
        <w:t xml:space="preserve">az </w:t>
      </w:r>
      <w:r>
        <w:t xml:space="preserve">elsődleges és </w:t>
      </w:r>
      <w:r w:rsidR="008D1919">
        <w:t xml:space="preserve">a </w:t>
      </w:r>
      <w:r>
        <w:t>másodlagos szolgálatoknak (kiegészítő információ a gépjárműradarokkal kapcsolatban a 6. fejezetben található).</w:t>
      </w:r>
    </w:p>
    <w:p w14:paraId="21099113" w14:textId="77777777" w:rsidR="008C63E0" w:rsidRPr="00B443C2" w:rsidRDefault="008C63E0" w:rsidP="008C63E0">
      <w:pPr>
        <w:pStyle w:val="Behzottbekezdsnmhh"/>
      </w:pPr>
    </w:p>
    <w:p w14:paraId="070F3ACE" w14:textId="77777777" w:rsidR="008C63E0" w:rsidRPr="00B443C2" w:rsidRDefault="008C63E0" w:rsidP="008C63E0">
      <w:pPr>
        <w:pStyle w:val="Cmsor3szmozottnmhh"/>
        <w:ind w:left="1996"/>
      </w:pPr>
      <w:bookmarkStart w:id="37" w:name="_Toc26254671"/>
      <w:bookmarkStart w:id="38" w:name="_Toc92461624"/>
      <w:bookmarkStart w:id="39" w:name="_Toc96075607"/>
      <w:r>
        <w:t>Jelenlegi sávhasználati feltételek</w:t>
      </w:r>
      <w:bookmarkEnd w:id="37"/>
      <w:r>
        <w:t xml:space="preserve"> a 24,5-26,5 </w:t>
      </w:r>
      <w:proofErr w:type="spellStart"/>
      <w:r>
        <w:t>GHz</w:t>
      </w:r>
      <w:proofErr w:type="spellEnd"/>
      <w:r>
        <w:t xml:space="preserve"> sávrészben</w:t>
      </w:r>
      <w:bookmarkEnd w:id="38"/>
      <w:bookmarkEnd w:id="39"/>
    </w:p>
    <w:p w14:paraId="6E4FAD73" w14:textId="77777777" w:rsidR="008C63E0" w:rsidRPr="00F8378F" w:rsidRDefault="008C63E0" w:rsidP="008C63E0">
      <w:pPr>
        <w:tabs>
          <w:tab w:val="left" w:pos="993"/>
        </w:tabs>
        <w:spacing w:after="0" w:line="240" w:lineRule="auto"/>
        <w:rPr>
          <w:b/>
          <w:sz w:val="20"/>
          <w:szCs w:val="20"/>
        </w:rPr>
      </w:pPr>
      <w:r w:rsidRPr="00F8378F">
        <w:rPr>
          <w:rStyle w:val="Kiemels2"/>
          <w:rFonts w:ascii="Arial" w:hAnsi="Arial" w:cs="Arial"/>
          <w:b w:val="0"/>
          <w:color w:val="000000"/>
          <w:sz w:val="20"/>
          <w:szCs w:val="20"/>
        </w:rPr>
        <w:t>A</w:t>
      </w:r>
      <w:r>
        <w:rPr>
          <w:rStyle w:val="Kiemels2"/>
          <w:rFonts w:ascii="Arial" w:hAnsi="Arial" w:cs="Arial"/>
          <w:b w:val="0"/>
          <w:color w:val="000000"/>
          <w:sz w:val="20"/>
          <w:szCs w:val="20"/>
        </w:rPr>
        <w:t xml:space="preserve"> 26 </w:t>
      </w:r>
      <w:proofErr w:type="spellStart"/>
      <w:r>
        <w:rPr>
          <w:rStyle w:val="Kiemels2"/>
          <w:rFonts w:ascii="Arial" w:hAnsi="Arial" w:cs="Arial"/>
          <w:b w:val="0"/>
          <w:color w:val="000000"/>
          <w:sz w:val="20"/>
          <w:szCs w:val="20"/>
        </w:rPr>
        <w:t>GHz</w:t>
      </w:r>
      <w:proofErr w:type="spellEnd"/>
      <w:r>
        <w:rPr>
          <w:rStyle w:val="Kiemels2"/>
          <w:rFonts w:ascii="Arial" w:hAnsi="Arial" w:cs="Arial"/>
          <w:b w:val="0"/>
          <w:color w:val="000000"/>
          <w:sz w:val="20"/>
          <w:szCs w:val="20"/>
        </w:rPr>
        <w:t xml:space="preserve">-es </w:t>
      </w:r>
      <w:r w:rsidRPr="00F8378F">
        <w:rPr>
          <w:rStyle w:val="Kiemels2"/>
          <w:rFonts w:ascii="Arial" w:hAnsi="Arial" w:cs="Arial"/>
          <w:b w:val="0"/>
          <w:color w:val="000000"/>
          <w:sz w:val="20"/>
          <w:szCs w:val="20"/>
        </w:rPr>
        <w:t xml:space="preserve">sávú állandó telephelyű digitális pont-pont, valamint digitális pont-többpont rendszerek sávhasználati feltételei és frekvenciagazdálkodási követelményei </w:t>
      </w:r>
      <w:r>
        <w:rPr>
          <w:rStyle w:val="Kiemels2"/>
          <w:rFonts w:ascii="Arial" w:hAnsi="Arial" w:cs="Arial"/>
          <w:b w:val="0"/>
          <w:color w:val="000000"/>
          <w:sz w:val="20"/>
          <w:szCs w:val="20"/>
        </w:rPr>
        <w:t xml:space="preserve">az alábbiakban látható </w:t>
      </w:r>
      <w:r w:rsidRPr="00F8378F">
        <w:rPr>
          <w:rStyle w:val="Kiemels2"/>
          <w:rFonts w:ascii="Arial" w:hAnsi="Arial" w:cs="Arial"/>
          <w:b w:val="0"/>
          <w:color w:val="000000"/>
          <w:sz w:val="20"/>
          <w:szCs w:val="20"/>
        </w:rPr>
        <w:t xml:space="preserve">a hatályos </w:t>
      </w:r>
      <w:r>
        <w:rPr>
          <w:rStyle w:val="Kiemels2"/>
          <w:rFonts w:ascii="Arial" w:hAnsi="Arial" w:cs="Arial"/>
          <w:b w:val="0"/>
          <w:color w:val="000000"/>
          <w:sz w:val="20"/>
          <w:szCs w:val="20"/>
        </w:rPr>
        <w:t xml:space="preserve">NFFF </w:t>
      </w:r>
      <w:r w:rsidRPr="00F8378F">
        <w:rPr>
          <w:rStyle w:val="Kiemels2"/>
          <w:rFonts w:ascii="Arial" w:hAnsi="Arial" w:cs="Arial"/>
          <w:b w:val="0"/>
          <w:color w:val="000000"/>
          <w:sz w:val="20"/>
          <w:szCs w:val="20"/>
        </w:rPr>
        <w:t xml:space="preserve">rendelet </w:t>
      </w:r>
      <w:r>
        <w:rPr>
          <w:rStyle w:val="Kiemels2"/>
          <w:rFonts w:ascii="Arial" w:hAnsi="Arial" w:cs="Arial"/>
          <w:b w:val="0"/>
          <w:color w:val="000000"/>
          <w:sz w:val="20"/>
          <w:szCs w:val="20"/>
        </w:rPr>
        <w:t>alapján.</w:t>
      </w:r>
    </w:p>
    <w:p w14:paraId="73EA1658" w14:textId="079EDBAC" w:rsidR="008C63E0" w:rsidRPr="005B1A0F" w:rsidRDefault="008C63E0" w:rsidP="005D0D74">
      <w:pPr>
        <w:pStyle w:val="Behzottbekezdsnmhh"/>
        <w:spacing w:before="240"/>
      </w:pPr>
      <w:r w:rsidRPr="00BD6A0E">
        <w:t xml:space="preserve">A </w:t>
      </w:r>
      <w:r>
        <w:t>24,5-26,5 </w:t>
      </w:r>
      <w:proofErr w:type="spellStart"/>
      <w:r w:rsidRPr="00BD6A0E">
        <w:t>GHz</w:t>
      </w:r>
      <w:proofErr w:type="spellEnd"/>
      <w:r>
        <w:t xml:space="preserve"> </w:t>
      </w:r>
      <w:r w:rsidR="00414891" w:rsidRPr="00426D01">
        <w:t>frekvencia</w:t>
      </w:r>
      <w:r w:rsidRPr="00BD6A0E">
        <w:t>sáv részsávjai:</w:t>
      </w:r>
    </w:p>
    <w:p w14:paraId="766829E6" w14:textId="77777777" w:rsidR="008C63E0" w:rsidRPr="00BD6A0E" w:rsidRDefault="008C63E0" w:rsidP="008C63E0">
      <w:pPr>
        <w:pStyle w:val="Listaszerbekezds"/>
        <w:numPr>
          <w:ilvl w:val="0"/>
          <w:numId w:val="53"/>
        </w:numPr>
        <w:tabs>
          <w:tab w:val="left" w:pos="993"/>
        </w:tabs>
        <w:spacing w:after="0" w:line="240" w:lineRule="auto"/>
        <w:rPr>
          <w:rFonts w:cs="Arial"/>
          <w:sz w:val="18"/>
          <w:szCs w:val="18"/>
        </w:rPr>
      </w:pPr>
      <w:r w:rsidRPr="00BD6A0E">
        <w:rPr>
          <w:sz w:val="20"/>
          <w:szCs w:val="20"/>
        </w:rPr>
        <w:t>24 500–24 549 MHz: alsó védősáv</w:t>
      </w:r>
    </w:p>
    <w:p w14:paraId="151C5E1C" w14:textId="77777777" w:rsidR="008C63E0" w:rsidRPr="00BD6A0E" w:rsidRDefault="008C63E0" w:rsidP="008C63E0">
      <w:pPr>
        <w:pStyle w:val="Listaszerbekezds"/>
        <w:numPr>
          <w:ilvl w:val="0"/>
          <w:numId w:val="53"/>
        </w:numPr>
        <w:tabs>
          <w:tab w:val="left" w:pos="993"/>
        </w:tabs>
        <w:spacing w:after="0" w:line="240" w:lineRule="auto"/>
        <w:rPr>
          <w:sz w:val="20"/>
          <w:szCs w:val="20"/>
        </w:rPr>
      </w:pPr>
      <w:r w:rsidRPr="00BD6A0E">
        <w:rPr>
          <w:sz w:val="20"/>
          <w:szCs w:val="20"/>
        </w:rPr>
        <w:t>24 549–25 445 MHz: alsó blokksáv</w:t>
      </w:r>
    </w:p>
    <w:p w14:paraId="7C530DE4" w14:textId="77777777" w:rsidR="008C63E0" w:rsidRPr="00BD6A0E" w:rsidRDefault="008C63E0" w:rsidP="008C63E0">
      <w:pPr>
        <w:pStyle w:val="Listaszerbekezds"/>
        <w:numPr>
          <w:ilvl w:val="0"/>
          <w:numId w:val="53"/>
        </w:numPr>
        <w:tabs>
          <w:tab w:val="left" w:pos="993"/>
        </w:tabs>
        <w:spacing w:after="0" w:line="240" w:lineRule="auto"/>
        <w:rPr>
          <w:sz w:val="20"/>
          <w:szCs w:val="20"/>
        </w:rPr>
      </w:pPr>
      <w:r w:rsidRPr="00BD6A0E">
        <w:rPr>
          <w:sz w:val="20"/>
          <w:szCs w:val="20"/>
        </w:rPr>
        <w:t>25 445–25 557 MHz: középső védősáv</w:t>
      </w:r>
    </w:p>
    <w:p w14:paraId="1948ED19" w14:textId="77777777" w:rsidR="008C63E0" w:rsidRPr="00BD6A0E" w:rsidRDefault="008C63E0" w:rsidP="008C63E0">
      <w:pPr>
        <w:pStyle w:val="Listaszerbekezds"/>
        <w:numPr>
          <w:ilvl w:val="0"/>
          <w:numId w:val="53"/>
        </w:numPr>
        <w:tabs>
          <w:tab w:val="left" w:pos="993"/>
        </w:tabs>
        <w:spacing w:after="0" w:line="240" w:lineRule="auto"/>
        <w:rPr>
          <w:sz w:val="20"/>
          <w:szCs w:val="20"/>
        </w:rPr>
      </w:pPr>
      <w:r w:rsidRPr="00BD6A0E">
        <w:rPr>
          <w:sz w:val="20"/>
          <w:szCs w:val="20"/>
        </w:rPr>
        <w:t>25 557–26 453 MHz: felső blokksáv</w:t>
      </w:r>
    </w:p>
    <w:p w14:paraId="1DBCA8EF" w14:textId="77777777" w:rsidR="008C63E0" w:rsidRPr="00BD6A0E" w:rsidRDefault="008C63E0" w:rsidP="008C63E0">
      <w:pPr>
        <w:pStyle w:val="Listaszerbekezds"/>
        <w:numPr>
          <w:ilvl w:val="0"/>
          <w:numId w:val="53"/>
        </w:numPr>
        <w:tabs>
          <w:tab w:val="left" w:pos="993"/>
        </w:tabs>
        <w:spacing w:after="0" w:line="240" w:lineRule="auto"/>
        <w:rPr>
          <w:sz w:val="20"/>
          <w:szCs w:val="20"/>
        </w:rPr>
      </w:pPr>
      <w:r w:rsidRPr="00BD6A0E">
        <w:rPr>
          <w:sz w:val="20"/>
          <w:szCs w:val="20"/>
        </w:rPr>
        <w:t>26 453–26 500 MHz: felső védősáv</w:t>
      </w:r>
    </w:p>
    <w:p w14:paraId="2869D84B" w14:textId="77777777" w:rsidR="008C63E0" w:rsidRPr="005B1A0F" w:rsidRDefault="008C63E0" w:rsidP="005D0D74">
      <w:pPr>
        <w:pStyle w:val="Behzottbekezdsnmhh"/>
        <w:spacing w:before="240"/>
      </w:pPr>
      <w:r w:rsidRPr="00BD6A0E">
        <w:t>A védősávok nem eloszthatók.</w:t>
      </w:r>
    </w:p>
    <w:p w14:paraId="7F9B7CE0" w14:textId="2631220D" w:rsidR="008C63E0" w:rsidRDefault="008C63E0" w:rsidP="008C63E0">
      <w:pPr>
        <w:pStyle w:val="Behzottbekezdsnmhh"/>
      </w:pPr>
      <w:r>
        <w:t xml:space="preserve">FDD rendszer esetén az alsó és felső blokksáv 32 darab 28 MHz-es alapblokkra van felosztva, a duplex távolság 1008 MHz. Van lehetőség TDD rendszer használatára is, amelyre vonatkozó részletes szabályokat az NFFF 3. melléklete tartalmazza. </w:t>
      </w:r>
      <w:r w:rsidR="00251B86">
        <w:t xml:space="preserve">Ténylegesen TDD rendszereket nem használnak a szolgáltatók a frekvenciasávban. </w:t>
      </w:r>
      <w:r w:rsidRPr="005B1A0F">
        <w:t>Az alapblokkok összevonásával felhasználói blokkok képezhetők.</w:t>
      </w:r>
      <w:r>
        <w:t xml:space="preserve"> A felhasználói blokkok közti egy alapblokknyi (28 MHz) védősáv az ECC/REC/(11</w:t>
      </w:r>
      <w:proofErr w:type="gramStart"/>
      <w:r>
        <w:t>)01</w:t>
      </w:r>
      <w:proofErr w:type="gramEnd"/>
      <w:r>
        <w:t xml:space="preserve"> </w:t>
      </w:r>
      <w:r w:rsidR="008D1919">
        <w:t>A</w:t>
      </w:r>
      <w:r>
        <w:t xml:space="preserve">jánlás alapján (ebben kimondottan a pont-többpont rendszerek közti összeférhetőséget vizsgálták) került alkalmazásra a szomszédblokkos </w:t>
      </w:r>
      <w:r w:rsidR="008D1919">
        <w:t xml:space="preserve">zavarás </w:t>
      </w:r>
      <w:r>
        <w:t xml:space="preserve">elkerülése érdekében, amely a pont-többpont rendszerek üzemeltetése esetén kap nagyobb szerepet, ahol </w:t>
      </w:r>
      <w:proofErr w:type="spellStart"/>
      <w:r>
        <w:t>szektoriális</w:t>
      </w:r>
      <w:proofErr w:type="spellEnd"/>
      <w:r>
        <w:t xml:space="preserve"> sugárzók alkalmazása jellemző (pont-pont rendszerek esetén kicsi a </w:t>
      </w:r>
      <w:r w:rsidR="008D1919" w:rsidRPr="008D1919">
        <w:t xml:space="preserve">zavarás </w:t>
      </w:r>
      <w:r>
        <w:t>előfordulásának esélye a koncentrált vonalsugárzás miatt).</w:t>
      </w:r>
    </w:p>
    <w:p w14:paraId="0B129018" w14:textId="404289F1" w:rsidR="008C63E0" w:rsidRDefault="008C63E0" w:rsidP="008C63E0">
      <w:pPr>
        <w:pStyle w:val="Behzottbekezdsnmhh"/>
      </w:pPr>
      <w:r w:rsidRPr="00960B56">
        <w:t xml:space="preserve">A frekvenciasávban elektronikus hírközlési szolgáltatás nyújtható, illetve elektronikus hírközlési üzemviteli célokra használható fel a </w:t>
      </w:r>
      <w:r w:rsidR="00414891" w:rsidRPr="00426D01">
        <w:t>frekvencia</w:t>
      </w:r>
      <w:r w:rsidRPr="00960B56">
        <w:t xml:space="preserve">sáv. </w:t>
      </w:r>
      <w:r w:rsidR="00414891">
        <w:t>Rádióspektrum-</w:t>
      </w:r>
      <w:r w:rsidRPr="00960B56">
        <w:t xml:space="preserve">használati jogosultságot versenyeztetési eljárás során lehetett szerezni, ami országos kiterjedésű, a frekvenciagazdálkodás módja blokkgazdálkodás. A megszerezhető frekvencia mennyisége korlátozott, legfeljebb hat alapblokkra szerezhet </w:t>
      </w:r>
      <w:r w:rsidR="005E5163">
        <w:t>rádióspektrum-</w:t>
      </w:r>
      <w:r w:rsidRPr="00960B56">
        <w:t>használati jogosultságot egy szolgáltató.</w:t>
      </w:r>
      <w:r w:rsidRPr="005B1A0F">
        <w:t xml:space="preserve"> </w:t>
      </w:r>
    </w:p>
    <w:p w14:paraId="622E9FCA" w14:textId="13B43AC2" w:rsidR="008C63E0" w:rsidRPr="00062AAD" w:rsidRDefault="008C63E0" w:rsidP="008C63E0">
      <w:pPr>
        <w:pStyle w:val="Behzottbekezdsnmhh"/>
      </w:pPr>
      <w:r w:rsidRPr="00494465">
        <w:t xml:space="preserve">A </w:t>
      </w:r>
      <w:r>
        <w:t>26 </w:t>
      </w:r>
      <w:proofErr w:type="spellStart"/>
      <w:r>
        <w:t>GHz</w:t>
      </w:r>
      <w:proofErr w:type="spellEnd"/>
      <w:r>
        <w:t xml:space="preserve">-es </w:t>
      </w:r>
      <w:r w:rsidR="001E5FD0" w:rsidRPr="00426D01">
        <w:t>frekvencia</w:t>
      </w:r>
      <w:r w:rsidRPr="00494465">
        <w:t xml:space="preserve">sávban pont-többpont rendszereknél az alsó blokksávban a </w:t>
      </w:r>
      <w:r>
        <w:t>központi</w:t>
      </w:r>
      <w:r w:rsidRPr="00494465">
        <w:t xml:space="preserve"> állomás → </w:t>
      </w:r>
      <w:r>
        <w:t>felhasználói</w:t>
      </w:r>
      <w:r w:rsidRPr="00494465">
        <w:t xml:space="preserve"> állomás, </w:t>
      </w:r>
      <w:r>
        <w:t>központi</w:t>
      </w:r>
      <w:r w:rsidRPr="00494465">
        <w:t xml:space="preserve"> állomás → átjátszóállomás és átjátszóállomás → </w:t>
      </w:r>
      <w:r>
        <w:t>felhasználói</w:t>
      </w:r>
      <w:r w:rsidRPr="00494465">
        <w:t xml:space="preserve"> állomás irányú jelutak, míg a felső blokksávban ezeknek a fordítottjai használhatók.</w:t>
      </w:r>
    </w:p>
    <w:p w14:paraId="063FF4E3" w14:textId="4FB15A89" w:rsidR="004942E2" w:rsidRDefault="008C63E0" w:rsidP="006E5C5B">
      <w:pPr>
        <w:pStyle w:val="Behzottbekezdsnmhh"/>
      </w:pPr>
      <w:r w:rsidRPr="00913C27">
        <w:t>A</w:t>
      </w:r>
      <w:r>
        <w:t>z állomások által használható</w:t>
      </w:r>
      <w:r w:rsidRPr="00913C27">
        <w:t xml:space="preserve"> </w:t>
      </w:r>
      <w:r>
        <w:t xml:space="preserve">maximális teljesítmény értékekre, valamint </w:t>
      </w:r>
      <w:r w:rsidRPr="009D47CE">
        <w:t>két állomás között szomszédblokkos zavarásra</w:t>
      </w:r>
      <w:r>
        <w:t xml:space="preserve"> vonatkozó</w:t>
      </w:r>
      <w:r w:rsidRPr="00494465">
        <w:t xml:space="preserve"> részletes s</w:t>
      </w:r>
      <w:r>
        <w:t>zabályokat az NFFF 3. melléklete</w:t>
      </w:r>
      <w:r w:rsidRPr="00494465">
        <w:t xml:space="preserve"> tartalmazza.</w:t>
      </w:r>
      <w:r w:rsidR="004942E2">
        <w:br w:type="page"/>
      </w:r>
    </w:p>
    <w:p w14:paraId="5EA2624F" w14:textId="69BC438A" w:rsidR="008C63E0" w:rsidRDefault="008C63E0" w:rsidP="008C63E0">
      <w:pPr>
        <w:pStyle w:val="Cmsor1szmozottnmhh"/>
        <w:pageBreakBefore w:val="0"/>
        <w:ind w:left="431" w:hanging="431"/>
      </w:pPr>
      <w:bookmarkStart w:id="40" w:name="_Toc26254672"/>
      <w:bookmarkStart w:id="41" w:name="_Toc92461625"/>
      <w:bookmarkStart w:id="42" w:name="_Toc96075608"/>
      <w:r w:rsidRPr="00FD7FF2">
        <w:lastRenderedPageBreak/>
        <w:t xml:space="preserve">A 24,5-26,5 </w:t>
      </w:r>
      <w:proofErr w:type="spellStart"/>
      <w:r w:rsidRPr="00FD7FF2">
        <w:t>GHz</w:t>
      </w:r>
      <w:proofErr w:type="spellEnd"/>
      <w:r w:rsidRPr="00FD7FF2">
        <w:t xml:space="preserve"> frekvenciasáv jelenlegi </w:t>
      </w:r>
      <w:bookmarkEnd w:id="40"/>
      <w:bookmarkEnd w:id="41"/>
      <w:r w:rsidR="001E4194">
        <w:t>használata</w:t>
      </w:r>
      <w:bookmarkEnd w:id="42"/>
      <w:r w:rsidR="001E4194" w:rsidDel="001B4C09">
        <w:t xml:space="preserve"> </w:t>
      </w:r>
    </w:p>
    <w:p w14:paraId="16A2533C" w14:textId="7086D3E8" w:rsidR="008C63E0" w:rsidRPr="00FD7FF2" w:rsidRDefault="008C63E0" w:rsidP="008C63E0">
      <w:pPr>
        <w:pStyle w:val="Behzottbekezdsnmhh"/>
      </w:pPr>
      <w:r>
        <w:t xml:space="preserve">A jelenlegi </w:t>
      </w:r>
      <w:r w:rsidR="005E5163">
        <w:t>rádióspektrum-</w:t>
      </w:r>
      <w:r>
        <w:t>használati jogosultságokat az alábbi táblázat tartalmazza:</w:t>
      </w:r>
    </w:p>
    <w:tbl>
      <w:tblPr>
        <w:tblStyle w:val="Rcsostblzat"/>
        <w:tblW w:w="9782" w:type="dxa"/>
        <w:tblInd w:w="-176" w:type="dxa"/>
        <w:tblBorders>
          <w:top w:val="thinThickMediumGap" w:sz="24" w:space="0" w:color="auto"/>
          <w:left w:val="thinThickMediumGap" w:sz="24" w:space="0" w:color="auto"/>
          <w:bottom w:val="thickThinMediumGap" w:sz="24" w:space="0" w:color="auto"/>
          <w:right w:val="thickThinMediumGap" w:sz="24" w:space="0" w:color="auto"/>
        </w:tblBorders>
        <w:tblLayout w:type="fixed"/>
        <w:tblLook w:val="04A0" w:firstRow="1" w:lastRow="0" w:firstColumn="1" w:lastColumn="0" w:noHBand="0" w:noVBand="1"/>
      </w:tblPr>
      <w:tblGrid>
        <w:gridCol w:w="2411"/>
        <w:gridCol w:w="1559"/>
        <w:gridCol w:w="1701"/>
        <w:gridCol w:w="1701"/>
        <w:gridCol w:w="2410"/>
      </w:tblGrid>
      <w:tr w:rsidR="008C63E0" w:rsidRPr="00E11348" w14:paraId="32FEF31F" w14:textId="77777777" w:rsidTr="00414DEF">
        <w:tc>
          <w:tcPr>
            <w:tcW w:w="2411" w:type="dxa"/>
            <w:tcBorders>
              <w:top w:val="thinThickMediumGap" w:sz="24" w:space="0" w:color="auto"/>
              <w:bottom w:val="thinThickThinMediumGap" w:sz="24" w:space="0" w:color="auto"/>
            </w:tcBorders>
            <w:vAlign w:val="center"/>
          </w:tcPr>
          <w:p w14:paraId="6C5FD2CD" w14:textId="66BC6D76" w:rsidR="008C63E0" w:rsidRPr="00E11348" w:rsidRDefault="00532807" w:rsidP="00532807">
            <w:pPr>
              <w:spacing w:before="120"/>
              <w:jc w:val="center"/>
              <w:rPr>
                <w:rFonts w:cs="Arial"/>
                <w:b/>
                <w:sz w:val="20"/>
              </w:rPr>
            </w:pPr>
            <w:r>
              <w:rPr>
                <w:rFonts w:cs="Arial"/>
                <w:b/>
                <w:sz w:val="20"/>
              </w:rPr>
              <w:t>JOGOSULT</w:t>
            </w:r>
          </w:p>
        </w:tc>
        <w:tc>
          <w:tcPr>
            <w:tcW w:w="1559" w:type="dxa"/>
            <w:tcBorders>
              <w:top w:val="thinThickMediumGap" w:sz="24" w:space="0" w:color="auto"/>
              <w:bottom w:val="thinThickThinMediumGap" w:sz="24" w:space="0" w:color="auto"/>
            </w:tcBorders>
            <w:vAlign w:val="center"/>
          </w:tcPr>
          <w:p w14:paraId="3326F08B" w14:textId="77777777" w:rsidR="008C63E0" w:rsidRDefault="008C63E0" w:rsidP="00414DEF">
            <w:pPr>
              <w:spacing w:before="120"/>
              <w:jc w:val="center"/>
              <w:rPr>
                <w:rFonts w:cs="Arial"/>
                <w:b/>
                <w:sz w:val="20"/>
              </w:rPr>
            </w:pPr>
            <w:r>
              <w:rPr>
                <w:rFonts w:cs="Arial"/>
                <w:b/>
                <w:sz w:val="20"/>
              </w:rPr>
              <w:t>ALAP-</w:t>
            </w:r>
          </w:p>
          <w:p w14:paraId="77E6D7E3" w14:textId="77777777" w:rsidR="008C63E0" w:rsidRPr="00E11348" w:rsidRDefault="008C63E0" w:rsidP="00414DEF">
            <w:pPr>
              <w:spacing w:before="120"/>
              <w:jc w:val="center"/>
              <w:rPr>
                <w:rFonts w:cs="Arial"/>
                <w:b/>
                <w:sz w:val="20"/>
              </w:rPr>
            </w:pPr>
            <w:r w:rsidRPr="00E11348">
              <w:rPr>
                <w:rFonts w:cs="Arial"/>
                <w:b/>
                <w:sz w:val="20"/>
              </w:rPr>
              <w:t>BLO</w:t>
            </w:r>
            <w:r>
              <w:rPr>
                <w:rFonts w:cs="Arial"/>
                <w:b/>
                <w:sz w:val="20"/>
              </w:rPr>
              <w:t>K</w:t>
            </w:r>
            <w:r w:rsidRPr="00E11348">
              <w:rPr>
                <w:rFonts w:cs="Arial"/>
                <w:b/>
                <w:sz w:val="20"/>
              </w:rPr>
              <w:t>K</w:t>
            </w:r>
          </w:p>
        </w:tc>
        <w:tc>
          <w:tcPr>
            <w:tcW w:w="1701" w:type="dxa"/>
            <w:tcBorders>
              <w:top w:val="thinThickMediumGap" w:sz="24" w:space="0" w:color="auto"/>
              <w:bottom w:val="thinThickThinMediumGap" w:sz="24" w:space="0" w:color="auto"/>
            </w:tcBorders>
            <w:vAlign w:val="center"/>
          </w:tcPr>
          <w:p w14:paraId="6DF52609" w14:textId="77777777" w:rsidR="008C63E0" w:rsidRPr="00E11348" w:rsidRDefault="008C63E0" w:rsidP="00414DEF">
            <w:pPr>
              <w:spacing w:before="120"/>
              <w:jc w:val="center"/>
              <w:rPr>
                <w:rFonts w:cs="Arial"/>
                <w:b/>
                <w:sz w:val="20"/>
              </w:rPr>
            </w:pPr>
            <w:r w:rsidRPr="00E11348">
              <w:rPr>
                <w:rFonts w:cs="Arial"/>
                <w:b/>
                <w:sz w:val="20"/>
              </w:rPr>
              <w:t>ALSÓ</w:t>
            </w:r>
            <w:r>
              <w:rPr>
                <w:rFonts w:cs="Arial"/>
                <w:b/>
                <w:sz w:val="20"/>
              </w:rPr>
              <w:t>-SÁVRÉSZ</w:t>
            </w:r>
          </w:p>
        </w:tc>
        <w:tc>
          <w:tcPr>
            <w:tcW w:w="1701" w:type="dxa"/>
            <w:tcBorders>
              <w:top w:val="thinThickMediumGap" w:sz="24" w:space="0" w:color="auto"/>
              <w:bottom w:val="thinThickThinMediumGap" w:sz="24" w:space="0" w:color="auto"/>
            </w:tcBorders>
            <w:vAlign w:val="center"/>
          </w:tcPr>
          <w:p w14:paraId="70C109CC" w14:textId="77777777" w:rsidR="008C63E0" w:rsidRPr="00E11348" w:rsidRDefault="008C63E0" w:rsidP="00414DEF">
            <w:pPr>
              <w:spacing w:before="120"/>
              <w:jc w:val="center"/>
              <w:rPr>
                <w:rFonts w:cs="Arial"/>
                <w:b/>
                <w:sz w:val="20"/>
              </w:rPr>
            </w:pPr>
            <w:r w:rsidRPr="00E11348">
              <w:rPr>
                <w:rFonts w:cs="Arial"/>
                <w:b/>
                <w:sz w:val="20"/>
              </w:rPr>
              <w:t>FELSŐ</w:t>
            </w:r>
            <w:r>
              <w:rPr>
                <w:rFonts w:cs="Arial"/>
                <w:b/>
                <w:sz w:val="20"/>
              </w:rPr>
              <w:t>-</w:t>
            </w:r>
            <w:r w:rsidRPr="00E11348">
              <w:rPr>
                <w:rFonts w:cs="Arial"/>
                <w:b/>
                <w:sz w:val="20"/>
              </w:rPr>
              <w:t>SÁV</w:t>
            </w:r>
            <w:r>
              <w:rPr>
                <w:rFonts w:cs="Arial"/>
                <w:b/>
                <w:sz w:val="20"/>
              </w:rPr>
              <w:t>RÉSZ</w:t>
            </w:r>
          </w:p>
        </w:tc>
        <w:tc>
          <w:tcPr>
            <w:tcW w:w="2410" w:type="dxa"/>
            <w:tcBorders>
              <w:top w:val="thinThickMediumGap" w:sz="24" w:space="0" w:color="auto"/>
              <w:bottom w:val="thinThickThinMediumGap" w:sz="24" w:space="0" w:color="auto"/>
            </w:tcBorders>
            <w:vAlign w:val="center"/>
          </w:tcPr>
          <w:p w14:paraId="38A1D1EB" w14:textId="77777777" w:rsidR="008C63E0" w:rsidRPr="00E11348" w:rsidRDefault="008C63E0" w:rsidP="00414DEF">
            <w:pPr>
              <w:spacing w:before="120"/>
              <w:jc w:val="center"/>
              <w:rPr>
                <w:rFonts w:cs="Arial"/>
                <w:b/>
                <w:sz w:val="20"/>
              </w:rPr>
            </w:pPr>
            <w:r>
              <w:rPr>
                <w:rFonts w:cs="Arial"/>
                <w:b/>
                <w:sz w:val="20"/>
              </w:rPr>
              <w:t xml:space="preserve">JOGOSULTSÁG LEJÁRATI </w:t>
            </w:r>
            <w:r w:rsidRPr="00E11348">
              <w:rPr>
                <w:rFonts w:cs="Arial"/>
                <w:b/>
                <w:sz w:val="20"/>
              </w:rPr>
              <w:t>DÁTUM</w:t>
            </w:r>
          </w:p>
        </w:tc>
      </w:tr>
      <w:tr w:rsidR="008C63E0" w:rsidRPr="00E11348" w14:paraId="4AA0F4F0" w14:textId="77777777" w:rsidTr="00414DEF">
        <w:tc>
          <w:tcPr>
            <w:tcW w:w="2411" w:type="dxa"/>
            <w:tcBorders>
              <w:top w:val="thinThickThinMediumGap" w:sz="24" w:space="0" w:color="auto"/>
            </w:tcBorders>
            <w:vAlign w:val="center"/>
          </w:tcPr>
          <w:p w14:paraId="79C1C26D" w14:textId="77777777" w:rsidR="008C63E0" w:rsidRPr="000D44F7" w:rsidRDefault="008C63E0" w:rsidP="00414DEF">
            <w:pPr>
              <w:spacing w:before="40" w:after="40"/>
              <w:jc w:val="center"/>
              <w:rPr>
                <w:rFonts w:cs="Arial"/>
                <w:sz w:val="18"/>
                <w:szCs w:val="18"/>
              </w:rPr>
            </w:pPr>
            <w:r w:rsidRPr="000D44F7">
              <w:rPr>
                <w:rFonts w:cs="Arial"/>
                <w:sz w:val="18"/>
                <w:szCs w:val="18"/>
              </w:rPr>
              <w:t>SZABAD</w:t>
            </w:r>
          </w:p>
        </w:tc>
        <w:tc>
          <w:tcPr>
            <w:tcW w:w="1559" w:type="dxa"/>
            <w:tcBorders>
              <w:top w:val="thinThickThinMediumGap" w:sz="24" w:space="0" w:color="auto"/>
            </w:tcBorders>
            <w:vAlign w:val="center"/>
          </w:tcPr>
          <w:p w14:paraId="194CCB75" w14:textId="77777777" w:rsidR="008C63E0" w:rsidRPr="000D44F7" w:rsidRDefault="008C63E0" w:rsidP="00414DEF">
            <w:pPr>
              <w:spacing w:before="40" w:after="40"/>
              <w:jc w:val="center"/>
              <w:rPr>
                <w:rFonts w:cs="Arial"/>
                <w:color w:val="000000"/>
                <w:sz w:val="18"/>
                <w:szCs w:val="18"/>
              </w:rPr>
            </w:pPr>
            <w:r w:rsidRPr="000D44F7">
              <w:rPr>
                <w:rFonts w:cs="Arial"/>
                <w:color w:val="000000"/>
                <w:sz w:val="18"/>
                <w:szCs w:val="18"/>
              </w:rPr>
              <w:t>1. alapblokk</w:t>
            </w:r>
          </w:p>
        </w:tc>
        <w:tc>
          <w:tcPr>
            <w:tcW w:w="1701" w:type="dxa"/>
            <w:tcBorders>
              <w:top w:val="thinThickThinMediumGap" w:sz="24" w:space="0" w:color="auto"/>
            </w:tcBorders>
            <w:vAlign w:val="center"/>
          </w:tcPr>
          <w:p w14:paraId="322604B9" w14:textId="77777777" w:rsidR="008C63E0" w:rsidRPr="000D44F7" w:rsidRDefault="008C63E0" w:rsidP="00414DEF">
            <w:pPr>
              <w:spacing w:before="40" w:after="40"/>
              <w:jc w:val="center"/>
              <w:rPr>
                <w:rFonts w:cs="Arial"/>
                <w:color w:val="000000"/>
                <w:sz w:val="18"/>
                <w:szCs w:val="18"/>
              </w:rPr>
            </w:pPr>
          </w:p>
        </w:tc>
        <w:tc>
          <w:tcPr>
            <w:tcW w:w="1701" w:type="dxa"/>
            <w:tcBorders>
              <w:top w:val="thinThickThinMediumGap" w:sz="24" w:space="0" w:color="auto"/>
            </w:tcBorders>
            <w:vAlign w:val="center"/>
          </w:tcPr>
          <w:p w14:paraId="778FF00A" w14:textId="77777777" w:rsidR="008C63E0" w:rsidRPr="000D44F7" w:rsidRDefault="008C63E0" w:rsidP="00414DEF">
            <w:pPr>
              <w:spacing w:before="40" w:after="40"/>
              <w:jc w:val="center"/>
              <w:rPr>
                <w:rFonts w:cs="Arial"/>
                <w:color w:val="000000"/>
                <w:sz w:val="18"/>
                <w:szCs w:val="18"/>
              </w:rPr>
            </w:pPr>
          </w:p>
        </w:tc>
        <w:tc>
          <w:tcPr>
            <w:tcW w:w="2410" w:type="dxa"/>
            <w:tcBorders>
              <w:top w:val="thinThickThinMediumGap" w:sz="24" w:space="0" w:color="auto"/>
            </w:tcBorders>
            <w:vAlign w:val="center"/>
          </w:tcPr>
          <w:p w14:paraId="67F8B0BB" w14:textId="77777777" w:rsidR="008C63E0" w:rsidRPr="000D44F7" w:rsidRDefault="008C63E0" w:rsidP="00414DEF">
            <w:pPr>
              <w:spacing w:before="40" w:after="40"/>
              <w:jc w:val="center"/>
              <w:rPr>
                <w:rFonts w:cs="Arial"/>
                <w:sz w:val="18"/>
                <w:szCs w:val="18"/>
              </w:rPr>
            </w:pPr>
          </w:p>
        </w:tc>
      </w:tr>
      <w:tr w:rsidR="008C63E0" w:rsidRPr="00E11348" w14:paraId="506A7F31" w14:textId="77777777" w:rsidTr="00414DEF">
        <w:tc>
          <w:tcPr>
            <w:tcW w:w="2411" w:type="dxa"/>
            <w:vAlign w:val="center"/>
          </w:tcPr>
          <w:p w14:paraId="1BE17075" w14:textId="77777777" w:rsidR="008C63E0" w:rsidRPr="000D44F7" w:rsidRDefault="008C63E0" w:rsidP="00414DEF">
            <w:pPr>
              <w:spacing w:before="40" w:after="40"/>
              <w:jc w:val="center"/>
              <w:rPr>
                <w:rFonts w:cs="Arial"/>
                <w:bCs/>
                <w:spacing w:val="20"/>
                <w:sz w:val="18"/>
                <w:szCs w:val="18"/>
              </w:rPr>
            </w:pPr>
            <w:r w:rsidRPr="000D44F7">
              <w:rPr>
                <w:rFonts w:cs="Arial"/>
                <w:sz w:val="18"/>
                <w:szCs w:val="18"/>
              </w:rPr>
              <w:t>SZABAD</w:t>
            </w:r>
          </w:p>
        </w:tc>
        <w:tc>
          <w:tcPr>
            <w:tcW w:w="1559" w:type="dxa"/>
            <w:vAlign w:val="center"/>
          </w:tcPr>
          <w:p w14:paraId="32A4071B" w14:textId="77777777" w:rsidR="008C63E0" w:rsidRPr="000D44F7" w:rsidRDefault="008C63E0" w:rsidP="00414DEF">
            <w:pPr>
              <w:spacing w:before="40" w:after="40"/>
              <w:jc w:val="center"/>
              <w:rPr>
                <w:rFonts w:cs="Arial"/>
                <w:color w:val="000000"/>
                <w:sz w:val="18"/>
                <w:szCs w:val="18"/>
              </w:rPr>
            </w:pPr>
            <w:r w:rsidRPr="000D44F7">
              <w:rPr>
                <w:rFonts w:cs="Arial"/>
                <w:color w:val="000000"/>
                <w:sz w:val="18"/>
                <w:szCs w:val="18"/>
              </w:rPr>
              <w:t>2. alapblokk</w:t>
            </w:r>
          </w:p>
        </w:tc>
        <w:tc>
          <w:tcPr>
            <w:tcW w:w="1701" w:type="dxa"/>
            <w:vAlign w:val="center"/>
          </w:tcPr>
          <w:p w14:paraId="59B15F0A" w14:textId="77777777" w:rsidR="008C63E0" w:rsidRPr="000D44F7" w:rsidRDefault="008C63E0" w:rsidP="00414DEF">
            <w:pPr>
              <w:spacing w:before="40" w:after="40"/>
              <w:jc w:val="center"/>
              <w:rPr>
                <w:rFonts w:cs="Arial"/>
                <w:color w:val="000000"/>
                <w:sz w:val="18"/>
                <w:szCs w:val="18"/>
              </w:rPr>
            </w:pPr>
          </w:p>
        </w:tc>
        <w:tc>
          <w:tcPr>
            <w:tcW w:w="1701" w:type="dxa"/>
            <w:vAlign w:val="center"/>
          </w:tcPr>
          <w:p w14:paraId="0497E05F" w14:textId="77777777" w:rsidR="008C63E0" w:rsidRPr="000D44F7" w:rsidRDefault="008C63E0" w:rsidP="00414DEF">
            <w:pPr>
              <w:spacing w:before="40" w:after="40"/>
              <w:jc w:val="center"/>
              <w:rPr>
                <w:rFonts w:cs="Arial"/>
                <w:color w:val="000000"/>
                <w:sz w:val="18"/>
                <w:szCs w:val="18"/>
              </w:rPr>
            </w:pPr>
          </w:p>
        </w:tc>
        <w:tc>
          <w:tcPr>
            <w:tcW w:w="2410" w:type="dxa"/>
            <w:vAlign w:val="center"/>
          </w:tcPr>
          <w:p w14:paraId="518758E7" w14:textId="77777777" w:rsidR="008C63E0" w:rsidRPr="000D44F7" w:rsidRDefault="008C63E0" w:rsidP="00414DEF">
            <w:pPr>
              <w:spacing w:before="40" w:after="40"/>
              <w:jc w:val="center"/>
              <w:rPr>
                <w:rFonts w:cs="Arial"/>
                <w:sz w:val="18"/>
                <w:szCs w:val="18"/>
              </w:rPr>
            </w:pPr>
          </w:p>
        </w:tc>
      </w:tr>
      <w:tr w:rsidR="008C63E0" w:rsidRPr="00E11348" w14:paraId="1011E5BD" w14:textId="77777777" w:rsidTr="00414DEF">
        <w:tc>
          <w:tcPr>
            <w:tcW w:w="2411" w:type="dxa"/>
            <w:tcBorders>
              <w:bottom w:val="single" w:sz="4" w:space="0" w:color="auto"/>
            </w:tcBorders>
            <w:vAlign w:val="center"/>
          </w:tcPr>
          <w:p w14:paraId="209E5C82" w14:textId="77777777" w:rsidR="008C63E0" w:rsidRPr="000D44F7" w:rsidRDefault="008C63E0" w:rsidP="00414DEF">
            <w:pPr>
              <w:spacing w:before="40" w:after="40"/>
              <w:jc w:val="center"/>
              <w:rPr>
                <w:rFonts w:cs="Arial"/>
                <w:bCs/>
                <w:spacing w:val="20"/>
                <w:sz w:val="18"/>
                <w:szCs w:val="18"/>
              </w:rPr>
            </w:pPr>
            <w:r w:rsidRPr="000D44F7">
              <w:rPr>
                <w:rFonts w:cs="Arial"/>
                <w:sz w:val="18"/>
                <w:szCs w:val="18"/>
              </w:rPr>
              <w:t>SZABAD</w:t>
            </w:r>
          </w:p>
        </w:tc>
        <w:tc>
          <w:tcPr>
            <w:tcW w:w="1559" w:type="dxa"/>
            <w:tcBorders>
              <w:bottom w:val="single" w:sz="4" w:space="0" w:color="auto"/>
            </w:tcBorders>
            <w:vAlign w:val="center"/>
          </w:tcPr>
          <w:p w14:paraId="764FBBAB" w14:textId="77777777" w:rsidR="008C63E0" w:rsidRPr="000D44F7" w:rsidRDefault="008C63E0" w:rsidP="00414DEF">
            <w:pPr>
              <w:spacing w:before="40" w:after="40"/>
              <w:jc w:val="center"/>
              <w:rPr>
                <w:rFonts w:cs="Arial"/>
                <w:color w:val="000000"/>
                <w:sz w:val="18"/>
                <w:szCs w:val="18"/>
              </w:rPr>
            </w:pPr>
            <w:r w:rsidRPr="000D44F7">
              <w:rPr>
                <w:rFonts w:cs="Arial"/>
                <w:color w:val="000000"/>
                <w:sz w:val="18"/>
                <w:szCs w:val="18"/>
              </w:rPr>
              <w:t>3. alapblokk</w:t>
            </w:r>
          </w:p>
        </w:tc>
        <w:tc>
          <w:tcPr>
            <w:tcW w:w="1701" w:type="dxa"/>
            <w:tcBorders>
              <w:bottom w:val="single" w:sz="4" w:space="0" w:color="auto"/>
            </w:tcBorders>
            <w:vAlign w:val="center"/>
          </w:tcPr>
          <w:p w14:paraId="6BDF8428" w14:textId="77777777" w:rsidR="008C63E0" w:rsidRPr="000D44F7" w:rsidRDefault="008C63E0" w:rsidP="00414DEF">
            <w:pPr>
              <w:spacing w:before="40" w:after="40"/>
              <w:jc w:val="center"/>
              <w:rPr>
                <w:rFonts w:cs="Arial"/>
                <w:color w:val="000000"/>
                <w:sz w:val="18"/>
                <w:szCs w:val="18"/>
              </w:rPr>
            </w:pPr>
          </w:p>
        </w:tc>
        <w:tc>
          <w:tcPr>
            <w:tcW w:w="1701" w:type="dxa"/>
            <w:tcBorders>
              <w:bottom w:val="single" w:sz="4" w:space="0" w:color="auto"/>
            </w:tcBorders>
            <w:vAlign w:val="center"/>
          </w:tcPr>
          <w:p w14:paraId="78DDE83E" w14:textId="77777777" w:rsidR="008C63E0" w:rsidRPr="000D44F7" w:rsidRDefault="008C63E0" w:rsidP="00414DEF">
            <w:pPr>
              <w:spacing w:before="40" w:after="40"/>
              <w:jc w:val="center"/>
              <w:rPr>
                <w:rFonts w:cs="Arial"/>
                <w:color w:val="000000"/>
                <w:sz w:val="18"/>
                <w:szCs w:val="18"/>
              </w:rPr>
            </w:pPr>
          </w:p>
        </w:tc>
        <w:tc>
          <w:tcPr>
            <w:tcW w:w="2410" w:type="dxa"/>
            <w:tcBorders>
              <w:bottom w:val="single" w:sz="4" w:space="0" w:color="auto"/>
            </w:tcBorders>
            <w:vAlign w:val="center"/>
          </w:tcPr>
          <w:p w14:paraId="74237A25" w14:textId="77777777" w:rsidR="008C63E0" w:rsidRPr="000D44F7" w:rsidRDefault="008C63E0" w:rsidP="00414DEF">
            <w:pPr>
              <w:spacing w:before="40" w:after="40"/>
              <w:jc w:val="center"/>
              <w:rPr>
                <w:rFonts w:cs="Arial"/>
                <w:sz w:val="18"/>
                <w:szCs w:val="18"/>
              </w:rPr>
            </w:pPr>
          </w:p>
        </w:tc>
      </w:tr>
      <w:tr w:rsidR="008C63E0" w:rsidRPr="00E11348" w14:paraId="13FEFAF2" w14:textId="77777777" w:rsidTr="00414DEF">
        <w:tc>
          <w:tcPr>
            <w:tcW w:w="2411" w:type="dxa"/>
            <w:vMerge w:val="restart"/>
            <w:tcBorders>
              <w:top w:val="single" w:sz="4" w:space="0" w:color="auto"/>
              <w:bottom w:val="single" w:sz="4" w:space="0" w:color="auto"/>
            </w:tcBorders>
            <w:shd w:val="clear" w:color="auto" w:fill="FABF8F" w:themeFill="accent6" w:themeFillTint="99"/>
            <w:vAlign w:val="center"/>
          </w:tcPr>
          <w:p w14:paraId="19A746B9" w14:textId="548D60AA" w:rsidR="008C63E0" w:rsidRPr="000D44F7" w:rsidRDefault="008C63E0" w:rsidP="00414DEF">
            <w:pPr>
              <w:spacing w:before="40" w:after="40"/>
              <w:jc w:val="center"/>
              <w:rPr>
                <w:rFonts w:cs="Arial"/>
                <w:sz w:val="18"/>
                <w:szCs w:val="18"/>
              </w:rPr>
            </w:pPr>
            <w:r w:rsidRPr="001F6A39">
              <w:rPr>
                <w:rFonts w:cs="Arial"/>
                <w:b/>
                <w:bCs/>
                <w:spacing w:val="20"/>
                <w:sz w:val="18"/>
                <w:szCs w:val="18"/>
              </w:rPr>
              <w:t xml:space="preserve">Magyarország Telekom </w:t>
            </w:r>
            <w:proofErr w:type="spellStart"/>
            <w:r w:rsidRPr="001F6A39">
              <w:rPr>
                <w:rFonts w:cs="Arial"/>
                <w:b/>
                <w:bCs/>
                <w:spacing w:val="20"/>
                <w:sz w:val="18"/>
                <w:szCs w:val="18"/>
              </w:rPr>
              <w:t>Nyrt</w:t>
            </w:r>
            <w:proofErr w:type="spellEnd"/>
            <w:r>
              <w:rPr>
                <w:rFonts w:cs="Arial"/>
                <w:b/>
                <w:bCs/>
                <w:spacing w:val="20"/>
                <w:sz w:val="18"/>
                <w:szCs w:val="18"/>
              </w:rPr>
              <w:t>.</w:t>
            </w:r>
          </w:p>
        </w:tc>
        <w:tc>
          <w:tcPr>
            <w:tcW w:w="1559" w:type="dxa"/>
            <w:tcBorders>
              <w:top w:val="single" w:sz="4" w:space="0" w:color="auto"/>
              <w:bottom w:val="single" w:sz="4" w:space="0" w:color="auto"/>
            </w:tcBorders>
            <w:shd w:val="clear" w:color="auto" w:fill="FABF8F" w:themeFill="accent6" w:themeFillTint="99"/>
            <w:vAlign w:val="center"/>
          </w:tcPr>
          <w:p w14:paraId="4150F07D" w14:textId="77777777" w:rsidR="008C63E0" w:rsidRPr="000D44F7" w:rsidRDefault="008C63E0" w:rsidP="00414DEF">
            <w:pPr>
              <w:spacing w:before="40" w:after="40"/>
              <w:jc w:val="center"/>
              <w:rPr>
                <w:rFonts w:cs="Arial"/>
                <w:color w:val="000000"/>
                <w:sz w:val="18"/>
                <w:szCs w:val="18"/>
              </w:rPr>
            </w:pPr>
            <w:r w:rsidRPr="000D44F7">
              <w:rPr>
                <w:rFonts w:cs="Arial"/>
                <w:color w:val="000000"/>
                <w:sz w:val="18"/>
                <w:szCs w:val="18"/>
              </w:rPr>
              <w:t>4. alapblokk</w:t>
            </w:r>
          </w:p>
        </w:tc>
        <w:tc>
          <w:tcPr>
            <w:tcW w:w="1701" w:type="dxa"/>
            <w:tcBorders>
              <w:top w:val="single" w:sz="4" w:space="0" w:color="auto"/>
              <w:bottom w:val="single" w:sz="4" w:space="0" w:color="auto"/>
            </w:tcBorders>
            <w:shd w:val="clear" w:color="auto" w:fill="FABF8F" w:themeFill="accent6" w:themeFillTint="99"/>
            <w:vAlign w:val="center"/>
          </w:tcPr>
          <w:p w14:paraId="5926B79C" w14:textId="77777777" w:rsidR="008C63E0" w:rsidRPr="002C4D99" w:rsidRDefault="008C63E0" w:rsidP="00414DEF">
            <w:pPr>
              <w:spacing w:before="40" w:after="40"/>
              <w:jc w:val="center"/>
              <w:rPr>
                <w:rFonts w:cs="Arial"/>
                <w:sz w:val="18"/>
                <w:szCs w:val="18"/>
              </w:rPr>
            </w:pPr>
            <w:r w:rsidRPr="002C4D99">
              <w:rPr>
                <w:rFonts w:cs="Arial"/>
                <w:sz w:val="18"/>
                <w:szCs w:val="18"/>
              </w:rPr>
              <w:t>24633-24661</w:t>
            </w:r>
          </w:p>
        </w:tc>
        <w:tc>
          <w:tcPr>
            <w:tcW w:w="1701" w:type="dxa"/>
            <w:tcBorders>
              <w:top w:val="single" w:sz="4" w:space="0" w:color="auto"/>
              <w:bottom w:val="single" w:sz="4" w:space="0" w:color="auto"/>
            </w:tcBorders>
            <w:shd w:val="clear" w:color="auto" w:fill="FABF8F" w:themeFill="accent6" w:themeFillTint="99"/>
            <w:vAlign w:val="center"/>
          </w:tcPr>
          <w:p w14:paraId="3D5ED176" w14:textId="77777777" w:rsidR="008C63E0" w:rsidRPr="002C4D99" w:rsidRDefault="008C63E0" w:rsidP="00414DEF">
            <w:pPr>
              <w:spacing w:before="40" w:after="40"/>
              <w:jc w:val="center"/>
              <w:rPr>
                <w:rFonts w:cs="Arial"/>
                <w:sz w:val="18"/>
                <w:szCs w:val="18"/>
              </w:rPr>
            </w:pPr>
            <w:r w:rsidRPr="002C4D99">
              <w:rPr>
                <w:rFonts w:cs="Arial"/>
                <w:sz w:val="18"/>
                <w:szCs w:val="18"/>
              </w:rPr>
              <w:t>25641-25669</w:t>
            </w:r>
          </w:p>
        </w:tc>
        <w:tc>
          <w:tcPr>
            <w:tcW w:w="2410" w:type="dxa"/>
            <w:vMerge w:val="restart"/>
            <w:tcBorders>
              <w:top w:val="single" w:sz="4" w:space="0" w:color="auto"/>
              <w:bottom w:val="single" w:sz="4" w:space="0" w:color="auto"/>
            </w:tcBorders>
            <w:shd w:val="clear" w:color="auto" w:fill="FABF8F" w:themeFill="accent6" w:themeFillTint="99"/>
            <w:vAlign w:val="center"/>
          </w:tcPr>
          <w:p w14:paraId="198810F3" w14:textId="4C2442CB" w:rsidR="008C63E0" w:rsidRPr="000D44F7" w:rsidRDefault="008C63E0" w:rsidP="002723C1">
            <w:pPr>
              <w:spacing w:before="40" w:after="40"/>
              <w:jc w:val="center"/>
              <w:rPr>
                <w:rFonts w:cs="Arial"/>
                <w:sz w:val="18"/>
                <w:szCs w:val="18"/>
              </w:rPr>
            </w:pPr>
            <w:r w:rsidRPr="001F6A39">
              <w:rPr>
                <w:rFonts w:cs="Arial"/>
                <w:i/>
                <w:sz w:val="18"/>
                <w:szCs w:val="18"/>
              </w:rPr>
              <w:t>2027</w:t>
            </w:r>
            <w:r w:rsidR="00175C1F">
              <w:rPr>
                <w:rFonts w:cs="Arial"/>
                <w:i/>
                <w:sz w:val="18"/>
                <w:szCs w:val="18"/>
              </w:rPr>
              <w:t xml:space="preserve">. 04. </w:t>
            </w:r>
            <w:r>
              <w:rPr>
                <w:rFonts w:cs="Arial"/>
                <w:i/>
                <w:sz w:val="18"/>
                <w:szCs w:val="18"/>
              </w:rPr>
              <w:t>05</w:t>
            </w:r>
            <w:r w:rsidR="00175C1F">
              <w:rPr>
                <w:rFonts w:cs="Arial"/>
                <w:i/>
                <w:sz w:val="18"/>
                <w:szCs w:val="18"/>
              </w:rPr>
              <w:t>.</w:t>
            </w:r>
          </w:p>
        </w:tc>
      </w:tr>
      <w:tr w:rsidR="008C63E0" w:rsidRPr="00E11348" w14:paraId="306E2B47" w14:textId="77777777" w:rsidTr="00414DEF">
        <w:tc>
          <w:tcPr>
            <w:tcW w:w="2411" w:type="dxa"/>
            <w:vMerge/>
            <w:tcBorders>
              <w:top w:val="single" w:sz="4" w:space="0" w:color="auto"/>
            </w:tcBorders>
            <w:shd w:val="clear" w:color="auto" w:fill="CCCCCC" w:themeFill="text2" w:themeFillTint="33"/>
            <w:vAlign w:val="center"/>
          </w:tcPr>
          <w:p w14:paraId="37EDC006" w14:textId="77777777" w:rsidR="008C63E0" w:rsidRPr="000D44F7" w:rsidRDefault="008C63E0" w:rsidP="00414DEF">
            <w:pPr>
              <w:spacing w:before="40" w:after="40"/>
              <w:jc w:val="center"/>
              <w:rPr>
                <w:rFonts w:cs="Arial"/>
                <w:sz w:val="18"/>
                <w:szCs w:val="18"/>
              </w:rPr>
            </w:pPr>
          </w:p>
        </w:tc>
        <w:tc>
          <w:tcPr>
            <w:tcW w:w="1559" w:type="dxa"/>
            <w:tcBorders>
              <w:top w:val="single" w:sz="4" w:space="0" w:color="auto"/>
              <w:bottom w:val="single" w:sz="4" w:space="0" w:color="auto"/>
            </w:tcBorders>
            <w:shd w:val="clear" w:color="auto" w:fill="FABF8F" w:themeFill="accent6" w:themeFillTint="99"/>
            <w:vAlign w:val="center"/>
          </w:tcPr>
          <w:p w14:paraId="36EC832B" w14:textId="77777777" w:rsidR="008C63E0" w:rsidRPr="000D44F7" w:rsidRDefault="008C63E0" w:rsidP="00414DEF">
            <w:pPr>
              <w:spacing w:before="40" w:after="40"/>
              <w:jc w:val="center"/>
              <w:rPr>
                <w:rFonts w:cs="Arial"/>
                <w:color w:val="000000"/>
                <w:sz w:val="18"/>
                <w:szCs w:val="18"/>
              </w:rPr>
            </w:pPr>
            <w:r w:rsidRPr="000D44F7">
              <w:rPr>
                <w:rFonts w:cs="Arial"/>
                <w:color w:val="000000"/>
                <w:sz w:val="18"/>
                <w:szCs w:val="18"/>
              </w:rPr>
              <w:t>5. alapblokk</w:t>
            </w:r>
          </w:p>
        </w:tc>
        <w:tc>
          <w:tcPr>
            <w:tcW w:w="1701" w:type="dxa"/>
            <w:tcBorders>
              <w:top w:val="single" w:sz="4" w:space="0" w:color="auto"/>
              <w:bottom w:val="single" w:sz="4" w:space="0" w:color="auto"/>
            </w:tcBorders>
            <w:shd w:val="clear" w:color="auto" w:fill="FABF8F" w:themeFill="accent6" w:themeFillTint="99"/>
            <w:vAlign w:val="center"/>
          </w:tcPr>
          <w:p w14:paraId="2A70CC0F" w14:textId="77777777" w:rsidR="008C63E0" w:rsidRPr="002C4D99" w:rsidRDefault="008C63E0" w:rsidP="00414DEF">
            <w:pPr>
              <w:spacing w:before="40" w:after="40"/>
              <w:jc w:val="center"/>
              <w:rPr>
                <w:rFonts w:cs="Arial"/>
                <w:sz w:val="18"/>
                <w:szCs w:val="18"/>
              </w:rPr>
            </w:pPr>
            <w:r w:rsidRPr="002C4D99">
              <w:rPr>
                <w:rFonts w:cs="Arial"/>
                <w:sz w:val="18"/>
                <w:szCs w:val="18"/>
              </w:rPr>
              <w:t>24661-24689</w:t>
            </w:r>
          </w:p>
        </w:tc>
        <w:tc>
          <w:tcPr>
            <w:tcW w:w="1701" w:type="dxa"/>
            <w:tcBorders>
              <w:top w:val="single" w:sz="4" w:space="0" w:color="auto"/>
              <w:bottom w:val="single" w:sz="4" w:space="0" w:color="auto"/>
            </w:tcBorders>
            <w:shd w:val="clear" w:color="auto" w:fill="FABF8F" w:themeFill="accent6" w:themeFillTint="99"/>
            <w:vAlign w:val="center"/>
          </w:tcPr>
          <w:p w14:paraId="44512135" w14:textId="77777777" w:rsidR="008C63E0" w:rsidRPr="002C4D99" w:rsidRDefault="008C63E0" w:rsidP="00414DEF">
            <w:pPr>
              <w:spacing w:before="40" w:after="40"/>
              <w:jc w:val="center"/>
              <w:rPr>
                <w:rFonts w:cs="Arial"/>
                <w:sz w:val="18"/>
                <w:szCs w:val="18"/>
              </w:rPr>
            </w:pPr>
            <w:r w:rsidRPr="002C4D99">
              <w:rPr>
                <w:rFonts w:cs="Arial"/>
                <w:sz w:val="18"/>
                <w:szCs w:val="18"/>
              </w:rPr>
              <w:t>25669-25697</w:t>
            </w:r>
          </w:p>
        </w:tc>
        <w:tc>
          <w:tcPr>
            <w:tcW w:w="2410" w:type="dxa"/>
            <w:vMerge/>
            <w:tcBorders>
              <w:top w:val="single" w:sz="4" w:space="0" w:color="auto"/>
            </w:tcBorders>
            <w:shd w:val="clear" w:color="auto" w:fill="CCCCCC" w:themeFill="text2" w:themeFillTint="33"/>
            <w:vAlign w:val="center"/>
          </w:tcPr>
          <w:p w14:paraId="7773CC36" w14:textId="77777777" w:rsidR="008C63E0" w:rsidRPr="000D44F7" w:rsidRDefault="008C63E0" w:rsidP="00414DEF">
            <w:pPr>
              <w:spacing w:before="40" w:after="40"/>
              <w:jc w:val="center"/>
              <w:rPr>
                <w:rFonts w:cs="Arial"/>
                <w:sz w:val="18"/>
                <w:szCs w:val="18"/>
              </w:rPr>
            </w:pPr>
          </w:p>
        </w:tc>
      </w:tr>
      <w:tr w:rsidR="008C63E0" w:rsidRPr="00E11348" w14:paraId="2DF3690E" w14:textId="77777777" w:rsidTr="00414DEF">
        <w:tc>
          <w:tcPr>
            <w:tcW w:w="2411" w:type="dxa"/>
            <w:shd w:val="clear" w:color="auto" w:fill="auto"/>
            <w:vAlign w:val="center"/>
          </w:tcPr>
          <w:p w14:paraId="0D7F1FC8" w14:textId="77777777" w:rsidR="008C63E0" w:rsidRPr="000D44F7" w:rsidRDefault="008C63E0" w:rsidP="00414DEF">
            <w:pPr>
              <w:spacing w:before="40" w:after="40"/>
              <w:jc w:val="center"/>
              <w:rPr>
                <w:rFonts w:cs="Arial"/>
                <w:bCs/>
                <w:spacing w:val="20"/>
                <w:sz w:val="18"/>
                <w:szCs w:val="18"/>
              </w:rPr>
            </w:pPr>
            <w:r w:rsidRPr="000D44F7">
              <w:rPr>
                <w:rFonts w:cs="Arial"/>
                <w:bCs/>
                <w:spacing w:val="20"/>
                <w:sz w:val="18"/>
                <w:szCs w:val="18"/>
              </w:rPr>
              <w:t>VÉDŐSÁV</w:t>
            </w:r>
          </w:p>
        </w:tc>
        <w:tc>
          <w:tcPr>
            <w:tcW w:w="1559" w:type="dxa"/>
            <w:tcBorders>
              <w:top w:val="single" w:sz="4" w:space="0" w:color="auto"/>
            </w:tcBorders>
            <w:shd w:val="clear" w:color="auto" w:fill="auto"/>
            <w:vAlign w:val="center"/>
          </w:tcPr>
          <w:p w14:paraId="60F2FF17" w14:textId="77777777" w:rsidR="008C63E0" w:rsidRPr="000D44F7" w:rsidRDefault="008C63E0" w:rsidP="00414DEF">
            <w:pPr>
              <w:spacing w:before="40" w:after="40"/>
              <w:jc w:val="center"/>
              <w:rPr>
                <w:rFonts w:cs="Arial"/>
                <w:color w:val="000000"/>
                <w:sz w:val="18"/>
                <w:szCs w:val="18"/>
              </w:rPr>
            </w:pPr>
            <w:r w:rsidRPr="000D44F7">
              <w:rPr>
                <w:rFonts w:cs="Arial"/>
                <w:color w:val="000000"/>
                <w:sz w:val="18"/>
                <w:szCs w:val="18"/>
              </w:rPr>
              <w:t>6. alapblokk</w:t>
            </w:r>
          </w:p>
        </w:tc>
        <w:tc>
          <w:tcPr>
            <w:tcW w:w="1701" w:type="dxa"/>
            <w:tcBorders>
              <w:top w:val="single" w:sz="4" w:space="0" w:color="auto"/>
            </w:tcBorders>
            <w:shd w:val="clear" w:color="auto" w:fill="auto"/>
            <w:vAlign w:val="center"/>
          </w:tcPr>
          <w:p w14:paraId="6531017A" w14:textId="77777777" w:rsidR="008C63E0" w:rsidRPr="002C4D99" w:rsidRDefault="008C63E0" w:rsidP="00414DEF">
            <w:pPr>
              <w:spacing w:before="40" w:after="40"/>
              <w:jc w:val="center"/>
              <w:rPr>
                <w:rFonts w:cs="Arial"/>
                <w:sz w:val="18"/>
                <w:szCs w:val="18"/>
              </w:rPr>
            </w:pPr>
            <w:r w:rsidRPr="002C4D99">
              <w:rPr>
                <w:rFonts w:cs="Arial"/>
                <w:sz w:val="18"/>
                <w:szCs w:val="18"/>
              </w:rPr>
              <w:t>24689-24717</w:t>
            </w:r>
          </w:p>
        </w:tc>
        <w:tc>
          <w:tcPr>
            <w:tcW w:w="1701" w:type="dxa"/>
            <w:tcBorders>
              <w:top w:val="single" w:sz="4" w:space="0" w:color="auto"/>
            </w:tcBorders>
            <w:shd w:val="clear" w:color="auto" w:fill="auto"/>
            <w:vAlign w:val="center"/>
          </w:tcPr>
          <w:p w14:paraId="24128348" w14:textId="77777777" w:rsidR="008C63E0" w:rsidRPr="002C4D99" w:rsidRDefault="008C63E0" w:rsidP="00414DEF">
            <w:pPr>
              <w:spacing w:before="40" w:after="40"/>
              <w:jc w:val="center"/>
              <w:rPr>
                <w:rFonts w:cs="Arial"/>
                <w:sz w:val="18"/>
                <w:szCs w:val="18"/>
              </w:rPr>
            </w:pPr>
            <w:r w:rsidRPr="002C4D99">
              <w:rPr>
                <w:rFonts w:cs="Arial"/>
                <w:sz w:val="18"/>
                <w:szCs w:val="18"/>
              </w:rPr>
              <w:t>25697-25725</w:t>
            </w:r>
          </w:p>
        </w:tc>
        <w:tc>
          <w:tcPr>
            <w:tcW w:w="2410" w:type="dxa"/>
            <w:shd w:val="clear" w:color="auto" w:fill="auto"/>
            <w:vAlign w:val="center"/>
          </w:tcPr>
          <w:p w14:paraId="75433273" w14:textId="77777777" w:rsidR="008C63E0" w:rsidRPr="000D44F7" w:rsidRDefault="008C63E0" w:rsidP="00414DEF">
            <w:pPr>
              <w:spacing w:before="40" w:after="40"/>
              <w:jc w:val="center"/>
              <w:rPr>
                <w:rFonts w:cs="Arial"/>
                <w:sz w:val="18"/>
                <w:szCs w:val="18"/>
              </w:rPr>
            </w:pPr>
          </w:p>
        </w:tc>
      </w:tr>
      <w:tr w:rsidR="008C63E0" w:rsidRPr="00E11348" w14:paraId="4DA63CE3" w14:textId="77777777" w:rsidTr="00532807">
        <w:tc>
          <w:tcPr>
            <w:tcW w:w="2411" w:type="dxa"/>
            <w:vMerge w:val="restart"/>
            <w:shd w:val="clear" w:color="auto" w:fill="D6E3BC" w:themeFill="accent3" w:themeFillTint="66"/>
            <w:vAlign w:val="center"/>
          </w:tcPr>
          <w:p w14:paraId="66BACB7C" w14:textId="3CF7C2A2" w:rsidR="008C63E0" w:rsidRPr="000D44F7" w:rsidRDefault="008C63E0" w:rsidP="00532807">
            <w:pPr>
              <w:jc w:val="center"/>
              <w:rPr>
                <w:rFonts w:cs="Arial"/>
                <w:sz w:val="18"/>
                <w:szCs w:val="18"/>
              </w:rPr>
            </w:pPr>
            <w:proofErr w:type="spellStart"/>
            <w:r w:rsidRPr="001F6A39">
              <w:rPr>
                <w:rFonts w:cs="Arial"/>
                <w:b/>
                <w:bCs/>
                <w:spacing w:val="20"/>
                <w:sz w:val="18"/>
                <w:szCs w:val="18"/>
              </w:rPr>
              <w:t>Telenor</w:t>
            </w:r>
            <w:proofErr w:type="spellEnd"/>
            <w:r w:rsidRPr="001F6A39">
              <w:rPr>
                <w:rFonts w:cs="Arial"/>
                <w:b/>
                <w:bCs/>
                <w:spacing w:val="20"/>
                <w:sz w:val="18"/>
                <w:szCs w:val="18"/>
              </w:rPr>
              <w:t xml:space="preserve"> Magyarország </w:t>
            </w:r>
            <w:proofErr w:type="spellStart"/>
            <w:r w:rsidRPr="001F6A39">
              <w:rPr>
                <w:rFonts w:cs="Arial"/>
                <w:b/>
                <w:bCs/>
                <w:spacing w:val="20"/>
                <w:sz w:val="18"/>
                <w:szCs w:val="18"/>
              </w:rPr>
              <w:t>Zrt</w:t>
            </w:r>
            <w:proofErr w:type="spellEnd"/>
            <w:r w:rsidRPr="001F6A39">
              <w:rPr>
                <w:rFonts w:cs="Arial"/>
                <w:b/>
                <w:sz w:val="18"/>
                <w:szCs w:val="18"/>
              </w:rPr>
              <w:t>.</w:t>
            </w:r>
            <w:r w:rsidR="00CD0584">
              <w:rPr>
                <w:rStyle w:val="Lbjegyzet-hivatkozs"/>
                <w:rFonts w:cs="Arial"/>
                <w:b/>
                <w:sz w:val="18"/>
                <w:szCs w:val="18"/>
              </w:rPr>
              <w:footnoteReference w:id="43"/>
            </w:r>
          </w:p>
        </w:tc>
        <w:tc>
          <w:tcPr>
            <w:tcW w:w="1559" w:type="dxa"/>
            <w:shd w:val="clear" w:color="auto" w:fill="D6E3BC" w:themeFill="accent3" w:themeFillTint="66"/>
            <w:vAlign w:val="center"/>
          </w:tcPr>
          <w:p w14:paraId="271D3D53"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7. alapblokk</w:t>
            </w:r>
          </w:p>
        </w:tc>
        <w:tc>
          <w:tcPr>
            <w:tcW w:w="1701" w:type="dxa"/>
            <w:shd w:val="clear" w:color="auto" w:fill="D6E3BC" w:themeFill="accent3" w:themeFillTint="66"/>
            <w:vAlign w:val="center"/>
          </w:tcPr>
          <w:p w14:paraId="27C6547F" w14:textId="77777777" w:rsidR="008C63E0" w:rsidRPr="002C4D99" w:rsidRDefault="008C63E0" w:rsidP="00414DEF">
            <w:pPr>
              <w:keepNext/>
              <w:spacing w:before="40" w:after="40"/>
              <w:jc w:val="center"/>
              <w:rPr>
                <w:rFonts w:cs="Arial"/>
                <w:sz w:val="18"/>
                <w:szCs w:val="18"/>
              </w:rPr>
            </w:pPr>
            <w:r w:rsidRPr="002C4D99">
              <w:rPr>
                <w:rFonts w:cs="Arial"/>
                <w:sz w:val="18"/>
                <w:szCs w:val="18"/>
              </w:rPr>
              <w:t>24717-24745</w:t>
            </w:r>
          </w:p>
        </w:tc>
        <w:tc>
          <w:tcPr>
            <w:tcW w:w="1701" w:type="dxa"/>
            <w:shd w:val="clear" w:color="auto" w:fill="D6E3BC" w:themeFill="accent3" w:themeFillTint="66"/>
            <w:vAlign w:val="center"/>
          </w:tcPr>
          <w:p w14:paraId="7EA46094" w14:textId="77777777" w:rsidR="008C63E0" w:rsidRPr="002C4D99" w:rsidRDefault="008C63E0" w:rsidP="00414DEF">
            <w:pPr>
              <w:keepNext/>
              <w:spacing w:before="40" w:after="40"/>
              <w:jc w:val="center"/>
              <w:rPr>
                <w:rFonts w:cs="Arial"/>
                <w:sz w:val="18"/>
                <w:szCs w:val="18"/>
              </w:rPr>
            </w:pPr>
            <w:r w:rsidRPr="002C4D99">
              <w:rPr>
                <w:rFonts w:cs="Arial"/>
                <w:sz w:val="18"/>
                <w:szCs w:val="18"/>
              </w:rPr>
              <w:t>25725-25753</w:t>
            </w:r>
          </w:p>
        </w:tc>
        <w:tc>
          <w:tcPr>
            <w:tcW w:w="2410" w:type="dxa"/>
            <w:vMerge w:val="restart"/>
            <w:shd w:val="clear" w:color="auto" w:fill="D6E3BC" w:themeFill="accent3" w:themeFillTint="66"/>
            <w:vAlign w:val="center"/>
          </w:tcPr>
          <w:p w14:paraId="55237E04" w14:textId="31871439" w:rsidR="008C63E0" w:rsidRPr="000D44F7" w:rsidRDefault="002723C1" w:rsidP="002723C1">
            <w:pPr>
              <w:spacing w:before="40" w:after="40"/>
              <w:jc w:val="center"/>
              <w:rPr>
                <w:rFonts w:cs="Arial"/>
                <w:sz w:val="18"/>
                <w:szCs w:val="18"/>
              </w:rPr>
            </w:pPr>
            <w:r>
              <w:rPr>
                <w:rFonts w:cs="Arial"/>
                <w:i/>
                <w:sz w:val="18"/>
                <w:szCs w:val="18"/>
              </w:rPr>
              <w:t>2</w:t>
            </w:r>
            <w:r w:rsidR="008C63E0" w:rsidRPr="001F6A39">
              <w:rPr>
                <w:rFonts w:cs="Arial"/>
                <w:i/>
                <w:sz w:val="18"/>
                <w:szCs w:val="18"/>
              </w:rPr>
              <w:t>027</w:t>
            </w:r>
            <w:r w:rsidR="00175C1F">
              <w:rPr>
                <w:rFonts w:cs="Arial"/>
                <w:i/>
                <w:sz w:val="18"/>
                <w:szCs w:val="18"/>
              </w:rPr>
              <w:t xml:space="preserve">. </w:t>
            </w:r>
            <w:r w:rsidR="008C63E0" w:rsidRPr="001F6A39">
              <w:rPr>
                <w:rFonts w:cs="Arial"/>
                <w:i/>
                <w:sz w:val="18"/>
                <w:szCs w:val="18"/>
              </w:rPr>
              <w:t>04</w:t>
            </w:r>
            <w:r w:rsidR="00175C1F">
              <w:rPr>
                <w:rFonts w:cs="Arial"/>
                <w:i/>
                <w:sz w:val="18"/>
                <w:szCs w:val="18"/>
              </w:rPr>
              <w:t xml:space="preserve">. </w:t>
            </w:r>
            <w:r w:rsidR="008C63E0">
              <w:rPr>
                <w:rFonts w:cs="Arial"/>
                <w:i/>
                <w:sz w:val="18"/>
                <w:szCs w:val="18"/>
              </w:rPr>
              <w:t>05</w:t>
            </w:r>
            <w:r w:rsidR="00175C1F">
              <w:rPr>
                <w:rFonts w:cs="Arial"/>
                <w:i/>
                <w:sz w:val="18"/>
                <w:szCs w:val="18"/>
              </w:rPr>
              <w:t>.</w:t>
            </w:r>
          </w:p>
        </w:tc>
      </w:tr>
      <w:tr w:rsidR="008C63E0" w:rsidRPr="00E11348" w14:paraId="6EC2E842" w14:textId="77777777" w:rsidTr="00414DEF">
        <w:tc>
          <w:tcPr>
            <w:tcW w:w="2411" w:type="dxa"/>
            <w:vMerge/>
            <w:shd w:val="clear" w:color="auto" w:fill="D6E3BC" w:themeFill="accent3" w:themeFillTint="66"/>
            <w:vAlign w:val="center"/>
          </w:tcPr>
          <w:p w14:paraId="7D7ABDB5" w14:textId="77777777" w:rsidR="008C63E0" w:rsidRDefault="008C63E0" w:rsidP="00414DEF">
            <w:pPr>
              <w:jc w:val="center"/>
            </w:pPr>
          </w:p>
        </w:tc>
        <w:tc>
          <w:tcPr>
            <w:tcW w:w="1559" w:type="dxa"/>
            <w:shd w:val="clear" w:color="auto" w:fill="D6E3BC" w:themeFill="accent3" w:themeFillTint="66"/>
            <w:vAlign w:val="center"/>
          </w:tcPr>
          <w:p w14:paraId="68CCC283"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8. alapblokk</w:t>
            </w:r>
          </w:p>
        </w:tc>
        <w:tc>
          <w:tcPr>
            <w:tcW w:w="1701" w:type="dxa"/>
            <w:shd w:val="clear" w:color="auto" w:fill="D6E3BC" w:themeFill="accent3" w:themeFillTint="66"/>
            <w:vAlign w:val="center"/>
          </w:tcPr>
          <w:p w14:paraId="124EFBE0" w14:textId="77777777" w:rsidR="008C63E0" w:rsidRPr="002C4D99" w:rsidRDefault="008C63E0" w:rsidP="00414DEF">
            <w:pPr>
              <w:keepNext/>
              <w:spacing w:before="40" w:after="40"/>
              <w:jc w:val="center"/>
              <w:rPr>
                <w:rFonts w:cs="Arial"/>
                <w:sz w:val="18"/>
                <w:szCs w:val="18"/>
              </w:rPr>
            </w:pPr>
            <w:r w:rsidRPr="002C4D99">
              <w:rPr>
                <w:rFonts w:cs="Arial"/>
                <w:sz w:val="18"/>
                <w:szCs w:val="18"/>
              </w:rPr>
              <w:t>24745-24773</w:t>
            </w:r>
          </w:p>
        </w:tc>
        <w:tc>
          <w:tcPr>
            <w:tcW w:w="1701" w:type="dxa"/>
            <w:shd w:val="clear" w:color="auto" w:fill="D6E3BC" w:themeFill="accent3" w:themeFillTint="66"/>
            <w:vAlign w:val="center"/>
          </w:tcPr>
          <w:p w14:paraId="7B218382" w14:textId="77777777" w:rsidR="008C63E0" w:rsidRPr="002C4D99" w:rsidRDefault="008C63E0" w:rsidP="00414DEF">
            <w:pPr>
              <w:keepNext/>
              <w:spacing w:before="40" w:after="40"/>
              <w:jc w:val="center"/>
              <w:rPr>
                <w:rFonts w:cs="Arial"/>
                <w:sz w:val="18"/>
                <w:szCs w:val="18"/>
              </w:rPr>
            </w:pPr>
            <w:r w:rsidRPr="002C4D99">
              <w:rPr>
                <w:rFonts w:cs="Arial"/>
                <w:sz w:val="18"/>
                <w:szCs w:val="18"/>
              </w:rPr>
              <w:t>25753-25781</w:t>
            </w:r>
          </w:p>
        </w:tc>
        <w:tc>
          <w:tcPr>
            <w:tcW w:w="2410" w:type="dxa"/>
            <w:vMerge/>
            <w:shd w:val="clear" w:color="auto" w:fill="D6E3BC" w:themeFill="accent3" w:themeFillTint="66"/>
            <w:vAlign w:val="center"/>
          </w:tcPr>
          <w:p w14:paraId="4FBF08D6" w14:textId="77777777" w:rsidR="008C63E0" w:rsidRPr="000D44F7" w:rsidRDefault="008C63E0" w:rsidP="00414DEF">
            <w:pPr>
              <w:spacing w:before="40" w:after="40"/>
              <w:jc w:val="center"/>
              <w:rPr>
                <w:rFonts w:cs="Arial"/>
                <w:sz w:val="18"/>
                <w:szCs w:val="18"/>
              </w:rPr>
            </w:pPr>
          </w:p>
        </w:tc>
      </w:tr>
      <w:tr w:rsidR="008C63E0" w:rsidRPr="00E11348" w14:paraId="30CC9B2A" w14:textId="77777777" w:rsidTr="00414DEF">
        <w:tc>
          <w:tcPr>
            <w:tcW w:w="2411" w:type="dxa"/>
            <w:vMerge/>
            <w:shd w:val="clear" w:color="auto" w:fill="D6E3BC" w:themeFill="accent3" w:themeFillTint="66"/>
            <w:vAlign w:val="center"/>
          </w:tcPr>
          <w:p w14:paraId="4655291B" w14:textId="77777777" w:rsidR="008C63E0" w:rsidRDefault="008C63E0" w:rsidP="00414DEF">
            <w:pPr>
              <w:jc w:val="center"/>
            </w:pPr>
          </w:p>
        </w:tc>
        <w:tc>
          <w:tcPr>
            <w:tcW w:w="1559" w:type="dxa"/>
            <w:shd w:val="clear" w:color="auto" w:fill="D6E3BC" w:themeFill="accent3" w:themeFillTint="66"/>
            <w:vAlign w:val="center"/>
          </w:tcPr>
          <w:p w14:paraId="4C16D7D6"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9. alapblokk</w:t>
            </w:r>
          </w:p>
        </w:tc>
        <w:tc>
          <w:tcPr>
            <w:tcW w:w="1701" w:type="dxa"/>
            <w:shd w:val="clear" w:color="auto" w:fill="D6E3BC" w:themeFill="accent3" w:themeFillTint="66"/>
            <w:vAlign w:val="center"/>
          </w:tcPr>
          <w:p w14:paraId="2362FD38" w14:textId="77777777" w:rsidR="008C63E0" w:rsidRPr="002C4D99" w:rsidRDefault="008C63E0" w:rsidP="00414DEF">
            <w:pPr>
              <w:keepNext/>
              <w:spacing w:before="40" w:after="40"/>
              <w:jc w:val="center"/>
              <w:rPr>
                <w:rFonts w:cs="Arial"/>
                <w:sz w:val="18"/>
                <w:szCs w:val="18"/>
              </w:rPr>
            </w:pPr>
            <w:r w:rsidRPr="002C4D99">
              <w:rPr>
                <w:rFonts w:cs="Arial"/>
                <w:sz w:val="18"/>
                <w:szCs w:val="18"/>
              </w:rPr>
              <w:t>24773-24801</w:t>
            </w:r>
          </w:p>
        </w:tc>
        <w:tc>
          <w:tcPr>
            <w:tcW w:w="1701" w:type="dxa"/>
            <w:shd w:val="clear" w:color="auto" w:fill="D6E3BC" w:themeFill="accent3" w:themeFillTint="66"/>
            <w:vAlign w:val="center"/>
          </w:tcPr>
          <w:p w14:paraId="279903F8" w14:textId="77777777" w:rsidR="008C63E0" w:rsidRPr="002C4D99" w:rsidRDefault="008C63E0" w:rsidP="00414DEF">
            <w:pPr>
              <w:keepNext/>
              <w:spacing w:before="40" w:after="40"/>
              <w:jc w:val="center"/>
              <w:rPr>
                <w:rFonts w:cs="Arial"/>
                <w:sz w:val="18"/>
                <w:szCs w:val="18"/>
              </w:rPr>
            </w:pPr>
            <w:r w:rsidRPr="002C4D99">
              <w:rPr>
                <w:rFonts w:cs="Arial"/>
                <w:sz w:val="18"/>
                <w:szCs w:val="18"/>
              </w:rPr>
              <w:t>25781-25809</w:t>
            </w:r>
          </w:p>
        </w:tc>
        <w:tc>
          <w:tcPr>
            <w:tcW w:w="2410" w:type="dxa"/>
            <w:vMerge/>
            <w:shd w:val="clear" w:color="auto" w:fill="D6E3BC" w:themeFill="accent3" w:themeFillTint="66"/>
            <w:vAlign w:val="center"/>
          </w:tcPr>
          <w:p w14:paraId="343A0488" w14:textId="77777777" w:rsidR="008C63E0" w:rsidRPr="000D44F7" w:rsidRDefault="008C63E0" w:rsidP="00414DEF">
            <w:pPr>
              <w:spacing w:before="40" w:after="40"/>
              <w:jc w:val="center"/>
              <w:rPr>
                <w:rFonts w:cs="Arial"/>
                <w:sz w:val="18"/>
                <w:szCs w:val="18"/>
              </w:rPr>
            </w:pPr>
          </w:p>
        </w:tc>
      </w:tr>
      <w:tr w:rsidR="008C63E0" w:rsidRPr="00E11348" w14:paraId="24352C01" w14:textId="77777777" w:rsidTr="00414DEF">
        <w:tc>
          <w:tcPr>
            <w:tcW w:w="2411" w:type="dxa"/>
            <w:vMerge/>
            <w:shd w:val="clear" w:color="auto" w:fill="D6E3BC" w:themeFill="accent3" w:themeFillTint="66"/>
            <w:vAlign w:val="center"/>
          </w:tcPr>
          <w:p w14:paraId="34697838" w14:textId="77777777" w:rsidR="008C63E0" w:rsidRDefault="008C63E0" w:rsidP="00414DEF">
            <w:pPr>
              <w:jc w:val="center"/>
            </w:pPr>
          </w:p>
        </w:tc>
        <w:tc>
          <w:tcPr>
            <w:tcW w:w="1559" w:type="dxa"/>
            <w:shd w:val="clear" w:color="auto" w:fill="D6E3BC" w:themeFill="accent3" w:themeFillTint="66"/>
            <w:vAlign w:val="center"/>
          </w:tcPr>
          <w:p w14:paraId="4D35CDA4"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10. alapblokk</w:t>
            </w:r>
          </w:p>
        </w:tc>
        <w:tc>
          <w:tcPr>
            <w:tcW w:w="1701" w:type="dxa"/>
            <w:shd w:val="clear" w:color="auto" w:fill="D6E3BC" w:themeFill="accent3" w:themeFillTint="66"/>
            <w:vAlign w:val="center"/>
          </w:tcPr>
          <w:p w14:paraId="241EE97E" w14:textId="77777777" w:rsidR="008C63E0" w:rsidRPr="002C4D99" w:rsidRDefault="008C63E0" w:rsidP="00414DEF">
            <w:pPr>
              <w:keepNext/>
              <w:spacing w:before="40" w:after="40"/>
              <w:jc w:val="center"/>
              <w:rPr>
                <w:rFonts w:cs="Arial"/>
                <w:sz w:val="18"/>
                <w:szCs w:val="18"/>
              </w:rPr>
            </w:pPr>
            <w:r w:rsidRPr="002C4D99">
              <w:rPr>
                <w:rFonts w:cs="Arial"/>
                <w:sz w:val="18"/>
                <w:szCs w:val="18"/>
              </w:rPr>
              <w:t>24801-24829</w:t>
            </w:r>
          </w:p>
        </w:tc>
        <w:tc>
          <w:tcPr>
            <w:tcW w:w="1701" w:type="dxa"/>
            <w:shd w:val="clear" w:color="auto" w:fill="D6E3BC" w:themeFill="accent3" w:themeFillTint="66"/>
            <w:vAlign w:val="center"/>
          </w:tcPr>
          <w:p w14:paraId="50F0433D" w14:textId="77777777" w:rsidR="008C63E0" w:rsidRPr="002C4D99" w:rsidRDefault="008C63E0" w:rsidP="00414DEF">
            <w:pPr>
              <w:keepNext/>
              <w:spacing w:before="40" w:after="40"/>
              <w:jc w:val="center"/>
              <w:rPr>
                <w:rFonts w:cs="Arial"/>
                <w:sz w:val="18"/>
                <w:szCs w:val="18"/>
              </w:rPr>
            </w:pPr>
            <w:r w:rsidRPr="002C4D99">
              <w:rPr>
                <w:rFonts w:cs="Arial"/>
                <w:sz w:val="18"/>
                <w:szCs w:val="18"/>
              </w:rPr>
              <w:t>25809-25837</w:t>
            </w:r>
          </w:p>
        </w:tc>
        <w:tc>
          <w:tcPr>
            <w:tcW w:w="2410" w:type="dxa"/>
            <w:vMerge/>
            <w:shd w:val="clear" w:color="auto" w:fill="D6E3BC" w:themeFill="accent3" w:themeFillTint="66"/>
            <w:vAlign w:val="center"/>
          </w:tcPr>
          <w:p w14:paraId="2C506B67" w14:textId="77777777" w:rsidR="008C63E0" w:rsidRPr="000D44F7" w:rsidRDefault="008C63E0" w:rsidP="00414DEF">
            <w:pPr>
              <w:spacing w:before="40" w:after="40"/>
              <w:jc w:val="center"/>
              <w:rPr>
                <w:rFonts w:cs="Arial"/>
                <w:sz w:val="18"/>
                <w:szCs w:val="18"/>
              </w:rPr>
            </w:pPr>
          </w:p>
        </w:tc>
      </w:tr>
      <w:tr w:rsidR="008C63E0" w:rsidRPr="00E11348" w14:paraId="7213FE48" w14:textId="77777777" w:rsidTr="00414DEF">
        <w:tc>
          <w:tcPr>
            <w:tcW w:w="2411" w:type="dxa"/>
            <w:tcBorders>
              <w:bottom w:val="single" w:sz="4" w:space="0" w:color="auto"/>
            </w:tcBorders>
            <w:shd w:val="clear" w:color="auto" w:fill="auto"/>
            <w:vAlign w:val="center"/>
          </w:tcPr>
          <w:p w14:paraId="26E5F72F" w14:textId="77777777" w:rsidR="008C63E0" w:rsidRPr="000D44F7" w:rsidRDefault="008C63E0" w:rsidP="00414DEF">
            <w:pPr>
              <w:spacing w:before="40" w:after="40"/>
              <w:jc w:val="center"/>
              <w:rPr>
                <w:rFonts w:cs="Arial"/>
                <w:sz w:val="18"/>
                <w:szCs w:val="18"/>
              </w:rPr>
            </w:pPr>
            <w:r w:rsidRPr="000D44F7">
              <w:rPr>
                <w:rFonts w:cs="Arial"/>
                <w:sz w:val="18"/>
                <w:szCs w:val="18"/>
              </w:rPr>
              <w:t>VÉDŐSÁV</w:t>
            </w:r>
          </w:p>
        </w:tc>
        <w:tc>
          <w:tcPr>
            <w:tcW w:w="1559" w:type="dxa"/>
            <w:tcBorders>
              <w:bottom w:val="single" w:sz="4" w:space="0" w:color="auto"/>
            </w:tcBorders>
            <w:shd w:val="clear" w:color="auto" w:fill="auto"/>
            <w:vAlign w:val="center"/>
          </w:tcPr>
          <w:p w14:paraId="5F48913A" w14:textId="77777777" w:rsidR="008C63E0" w:rsidRPr="000D44F7" w:rsidRDefault="008C63E0" w:rsidP="00414DEF">
            <w:pPr>
              <w:spacing w:before="40" w:after="40"/>
              <w:jc w:val="center"/>
              <w:rPr>
                <w:rFonts w:cs="Arial"/>
                <w:sz w:val="18"/>
                <w:szCs w:val="18"/>
              </w:rPr>
            </w:pPr>
            <w:r w:rsidRPr="000D44F7">
              <w:rPr>
                <w:rFonts w:cs="Arial"/>
                <w:sz w:val="18"/>
                <w:szCs w:val="18"/>
              </w:rPr>
              <w:t>11. alapblokk</w:t>
            </w:r>
          </w:p>
        </w:tc>
        <w:tc>
          <w:tcPr>
            <w:tcW w:w="1701" w:type="dxa"/>
            <w:tcBorders>
              <w:bottom w:val="single" w:sz="4" w:space="0" w:color="auto"/>
            </w:tcBorders>
            <w:shd w:val="clear" w:color="auto" w:fill="auto"/>
            <w:vAlign w:val="center"/>
          </w:tcPr>
          <w:p w14:paraId="7DF83F06" w14:textId="77777777" w:rsidR="008C63E0" w:rsidRPr="002C4D99" w:rsidRDefault="008C63E0" w:rsidP="00414DEF">
            <w:pPr>
              <w:spacing w:before="40" w:after="40"/>
              <w:jc w:val="center"/>
              <w:rPr>
                <w:rFonts w:cs="Arial"/>
                <w:sz w:val="18"/>
                <w:szCs w:val="18"/>
              </w:rPr>
            </w:pPr>
            <w:r w:rsidRPr="002C4D99">
              <w:rPr>
                <w:rFonts w:cs="Arial"/>
                <w:sz w:val="18"/>
                <w:szCs w:val="18"/>
              </w:rPr>
              <w:t>24829-24857</w:t>
            </w:r>
          </w:p>
        </w:tc>
        <w:tc>
          <w:tcPr>
            <w:tcW w:w="1701" w:type="dxa"/>
            <w:tcBorders>
              <w:bottom w:val="single" w:sz="4" w:space="0" w:color="auto"/>
            </w:tcBorders>
            <w:shd w:val="clear" w:color="auto" w:fill="auto"/>
            <w:vAlign w:val="center"/>
          </w:tcPr>
          <w:p w14:paraId="3796CB08" w14:textId="77777777" w:rsidR="008C63E0" w:rsidRPr="002C4D99" w:rsidRDefault="008C63E0" w:rsidP="00414DEF">
            <w:pPr>
              <w:spacing w:before="40" w:after="40"/>
              <w:jc w:val="center"/>
              <w:rPr>
                <w:rFonts w:cs="Arial"/>
                <w:sz w:val="18"/>
                <w:szCs w:val="18"/>
              </w:rPr>
            </w:pPr>
            <w:r w:rsidRPr="002C4D99">
              <w:rPr>
                <w:rFonts w:cs="Arial"/>
                <w:sz w:val="18"/>
                <w:szCs w:val="18"/>
              </w:rPr>
              <w:t>25837-25865</w:t>
            </w:r>
          </w:p>
        </w:tc>
        <w:tc>
          <w:tcPr>
            <w:tcW w:w="2410" w:type="dxa"/>
            <w:tcBorders>
              <w:bottom w:val="single" w:sz="4" w:space="0" w:color="auto"/>
            </w:tcBorders>
            <w:shd w:val="clear" w:color="auto" w:fill="auto"/>
            <w:vAlign w:val="center"/>
          </w:tcPr>
          <w:p w14:paraId="2EF7C381" w14:textId="77777777" w:rsidR="008C63E0" w:rsidRPr="000D44F7" w:rsidRDefault="008C63E0" w:rsidP="00414DEF">
            <w:pPr>
              <w:spacing w:before="40" w:after="40"/>
              <w:jc w:val="center"/>
              <w:rPr>
                <w:rFonts w:cs="Arial"/>
                <w:sz w:val="18"/>
                <w:szCs w:val="18"/>
              </w:rPr>
            </w:pPr>
          </w:p>
        </w:tc>
      </w:tr>
      <w:tr w:rsidR="008C63E0" w:rsidRPr="00E11348" w14:paraId="52AD94B1" w14:textId="77777777" w:rsidTr="00414DEF">
        <w:tc>
          <w:tcPr>
            <w:tcW w:w="2411" w:type="dxa"/>
            <w:tcBorders>
              <w:top w:val="single" w:sz="4" w:space="0" w:color="auto"/>
              <w:bottom w:val="single" w:sz="4" w:space="0" w:color="auto"/>
            </w:tcBorders>
            <w:shd w:val="clear" w:color="auto" w:fill="auto"/>
            <w:vAlign w:val="center"/>
          </w:tcPr>
          <w:p w14:paraId="040F08DF" w14:textId="3749A386" w:rsidR="008C63E0" w:rsidRPr="001F6A39" w:rsidRDefault="00796A84" w:rsidP="00414DEF">
            <w:pPr>
              <w:spacing w:before="40" w:after="40"/>
              <w:jc w:val="center"/>
              <w:rPr>
                <w:rFonts w:cs="Arial"/>
                <w:b/>
                <w:bCs/>
                <w:spacing w:val="20"/>
                <w:sz w:val="18"/>
                <w:szCs w:val="18"/>
              </w:rPr>
            </w:pPr>
            <w:r>
              <w:rPr>
                <w:rFonts w:cs="Arial"/>
                <w:b/>
                <w:bCs/>
                <w:spacing w:val="20"/>
                <w:sz w:val="18"/>
                <w:szCs w:val="18"/>
              </w:rPr>
              <w:t>–</w:t>
            </w:r>
          </w:p>
        </w:tc>
        <w:tc>
          <w:tcPr>
            <w:tcW w:w="1559" w:type="dxa"/>
            <w:tcBorders>
              <w:top w:val="single" w:sz="4" w:space="0" w:color="auto"/>
              <w:bottom w:val="single" w:sz="4" w:space="0" w:color="auto"/>
            </w:tcBorders>
            <w:shd w:val="clear" w:color="auto" w:fill="auto"/>
            <w:vAlign w:val="center"/>
          </w:tcPr>
          <w:p w14:paraId="4FD3F81A"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12. alapblokk</w:t>
            </w:r>
          </w:p>
        </w:tc>
        <w:tc>
          <w:tcPr>
            <w:tcW w:w="1701" w:type="dxa"/>
            <w:tcBorders>
              <w:top w:val="single" w:sz="4" w:space="0" w:color="auto"/>
              <w:bottom w:val="single" w:sz="4" w:space="0" w:color="auto"/>
            </w:tcBorders>
            <w:shd w:val="clear" w:color="auto" w:fill="auto"/>
            <w:vAlign w:val="center"/>
          </w:tcPr>
          <w:p w14:paraId="11E1D3EA" w14:textId="77777777" w:rsidR="008C63E0" w:rsidRPr="002C4D99" w:rsidRDefault="008C63E0" w:rsidP="00414DEF">
            <w:pPr>
              <w:keepNext/>
              <w:spacing w:before="40" w:after="40"/>
              <w:jc w:val="center"/>
              <w:rPr>
                <w:rFonts w:cs="Arial"/>
                <w:sz w:val="18"/>
                <w:szCs w:val="18"/>
              </w:rPr>
            </w:pPr>
            <w:r w:rsidRPr="002C4D99">
              <w:rPr>
                <w:rFonts w:cs="Arial"/>
                <w:sz w:val="18"/>
                <w:szCs w:val="18"/>
              </w:rPr>
              <w:t>24857-24885</w:t>
            </w:r>
          </w:p>
        </w:tc>
        <w:tc>
          <w:tcPr>
            <w:tcW w:w="1701" w:type="dxa"/>
            <w:tcBorders>
              <w:top w:val="single" w:sz="4" w:space="0" w:color="auto"/>
              <w:bottom w:val="single" w:sz="4" w:space="0" w:color="auto"/>
            </w:tcBorders>
            <w:shd w:val="clear" w:color="auto" w:fill="auto"/>
            <w:vAlign w:val="center"/>
          </w:tcPr>
          <w:p w14:paraId="1F8B8303" w14:textId="77777777" w:rsidR="008C63E0" w:rsidRPr="002C4D99" w:rsidRDefault="008C63E0" w:rsidP="00414DEF">
            <w:pPr>
              <w:keepNext/>
              <w:spacing w:before="40" w:after="40"/>
              <w:jc w:val="center"/>
              <w:rPr>
                <w:rFonts w:cs="Arial"/>
                <w:sz w:val="18"/>
                <w:szCs w:val="18"/>
              </w:rPr>
            </w:pPr>
            <w:r w:rsidRPr="002C4D99">
              <w:rPr>
                <w:rFonts w:cs="Arial"/>
                <w:sz w:val="18"/>
                <w:szCs w:val="18"/>
              </w:rPr>
              <w:t>25865-25893</w:t>
            </w:r>
          </w:p>
        </w:tc>
        <w:tc>
          <w:tcPr>
            <w:tcW w:w="2410" w:type="dxa"/>
            <w:vMerge w:val="restart"/>
            <w:tcBorders>
              <w:top w:val="single" w:sz="4" w:space="0" w:color="auto"/>
              <w:bottom w:val="single" w:sz="4" w:space="0" w:color="auto"/>
            </w:tcBorders>
            <w:shd w:val="clear" w:color="auto" w:fill="auto"/>
            <w:vAlign w:val="center"/>
          </w:tcPr>
          <w:p w14:paraId="68885EE6" w14:textId="77777777" w:rsidR="008C63E0" w:rsidRPr="000D44F7" w:rsidRDefault="008C63E0" w:rsidP="00414DEF">
            <w:pPr>
              <w:spacing w:before="40" w:after="40"/>
              <w:jc w:val="center"/>
              <w:rPr>
                <w:rFonts w:cs="Arial"/>
                <w:sz w:val="18"/>
                <w:szCs w:val="18"/>
              </w:rPr>
            </w:pPr>
          </w:p>
        </w:tc>
      </w:tr>
      <w:tr w:rsidR="008C63E0" w:rsidRPr="00E11348" w14:paraId="2FF03D81" w14:textId="77777777" w:rsidTr="00414DEF">
        <w:tc>
          <w:tcPr>
            <w:tcW w:w="2411" w:type="dxa"/>
            <w:tcBorders>
              <w:top w:val="single" w:sz="4" w:space="0" w:color="auto"/>
              <w:bottom w:val="single" w:sz="4" w:space="0" w:color="auto"/>
            </w:tcBorders>
            <w:shd w:val="clear" w:color="auto" w:fill="auto"/>
            <w:vAlign w:val="center"/>
          </w:tcPr>
          <w:p w14:paraId="682E1CCB" w14:textId="4D5753C7" w:rsidR="008C63E0" w:rsidRPr="001F6A39" w:rsidRDefault="00796A84" w:rsidP="00414DEF">
            <w:pPr>
              <w:spacing w:before="40" w:after="40"/>
              <w:jc w:val="center"/>
              <w:rPr>
                <w:rFonts w:cs="Arial"/>
                <w:b/>
                <w:bCs/>
                <w:spacing w:val="20"/>
                <w:sz w:val="18"/>
                <w:szCs w:val="18"/>
              </w:rPr>
            </w:pPr>
            <w:r>
              <w:rPr>
                <w:rFonts w:cs="Arial"/>
                <w:b/>
                <w:bCs/>
                <w:spacing w:val="20"/>
                <w:sz w:val="18"/>
                <w:szCs w:val="18"/>
              </w:rPr>
              <w:t>–</w:t>
            </w:r>
          </w:p>
        </w:tc>
        <w:tc>
          <w:tcPr>
            <w:tcW w:w="1559" w:type="dxa"/>
            <w:tcBorders>
              <w:top w:val="single" w:sz="4" w:space="0" w:color="auto"/>
              <w:bottom w:val="single" w:sz="4" w:space="0" w:color="auto"/>
            </w:tcBorders>
            <w:shd w:val="clear" w:color="auto" w:fill="auto"/>
            <w:vAlign w:val="center"/>
          </w:tcPr>
          <w:p w14:paraId="4C13976C"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13. alapblokk</w:t>
            </w:r>
          </w:p>
        </w:tc>
        <w:tc>
          <w:tcPr>
            <w:tcW w:w="1701" w:type="dxa"/>
            <w:tcBorders>
              <w:top w:val="single" w:sz="4" w:space="0" w:color="auto"/>
              <w:bottom w:val="single" w:sz="4" w:space="0" w:color="auto"/>
            </w:tcBorders>
            <w:shd w:val="clear" w:color="auto" w:fill="auto"/>
            <w:vAlign w:val="center"/>
          </w:tcPr>
          <w:p w14:paraId="26A4F7DB" w14:textId="77777777" w:rsidR="008C63E0" w:rsidRPr="002C4D99" w:rsidRDefault="008C63E0" w:rsidP="00414DEF">
            <w:pPr>
              <w:keepNext/>
              <w:spacing w:before="40" w:after="40"/>
              <w:jc w:val="center"/>
              <w:rPr>
                <w:rFonts w:cs="Arial"/>
                <w:sz w:val="18"/>
                <w:szCs w:val="18"/>
              </w:rPr>
            </w:pPr>
            <w:r w:rsidRPr="002C4D99">
              <w:rPr>
                <w:rFonts w:cs="Arial"/>
                <w:sz w:val="18"/>
                <w:szCs w:val="18"/>
              </w:rPr>
              <w:t>24885-24913</w:t>
            </w:r>
          </w:p>
        </w:tc>
        <w:tc>
          <w:tcPr>
            <w:tcW w:w="1701" w:type="dxa"/>
            <w:tcBorders>
              <w:top w:val="single" w:sz="4" w:space="0" w:color="auto"/>
              <w:bottom w:val="single" w:sz="4" w:space="0" w:color="auto"/>
            </w:tcBorders>
            <w:shd w:val="clear" w:color="auto" w:fill="auto"/>
            <w:vAlign w:val="center"/>
          </w:tcPr>
          <w:p w14:paraId="21C55C6F" w14:textId="77777777" w:rsidR="008C63E0" w:rsidRPr="002C4D99" w:rsidRDefault="008C63E0" w:rsidP="00414DEF">
            <w:pPr>
              <w:keepNext/>
              <w:spacing w:before="40" w:after="40"/>
              <w:jc w:val="center"/>
              <w:rPr>
                <w:rFonts w:cs="Arial"/>
                <w:sz w:val="18"/>
                <w:szCs w:val="18"/>
              </w:rPr>
            </w:pPr>
            <w:r w:rsidRPr="002C4D99">
              <w:rPr>
                <w:rFonts w:cs="Arial"/>
                <w:sz w:val="18"/>
                <w:szCs w:val="18"/>
              </w:rPr>
              <w:t>25893-25921</w:t>
            </w:r>
          </w:p>
        </w:tc>
        <w:tc>
          <w:tcPr>
            <w:tcW w:w="2410" w:type="dxa"/>
            <w:vMerge/>
            <w:tcBorders>
              <w:top w:val="single" w:sz="4" w:space="0" w:color="auto"/>
            </w:tcBorders>
            <w:shd w:val="clear" w:color="auto" w:fill="E5B8B7" w:themeFill="accent2" w:themeFillTint="66"/>
            <w:vAlign w:val="center"/>
          </w:tcPr>
          <w:p w14:paraId="2B77D9EE" w14:textId="77777777" w:rsidR="008C63E0" w:rsidRPr="000D44F7" w:rsidRDefault="008C63E0" w:rsidP="00414DEF">
            <w:pPr>
              <w:spacing w:before="40" w:after="40"/>
              <w:jc w:val="center"/>
              <w:rPr>
                <w:rFonts w:cs="Arial"/>
                <w:sz w:val="18"/>
                <w:szCs w:val="18"/>
              </w:rPr>
            </w:pPr>
          </w:p>
        </w:tc>
      </w:tr>
      <w:tr w:rsidR="008C63E0" w:rsidRPr="00E11348" w14:paraId="490552E5" w14:textId="77777777" w:rsidTr="00295A10">
        <w:tc>
          <w:tcPr>
            <w:tcW w:w="2411" w:type="dxa"/>
            <w:vMerge w:val="restart"/>
            <w:tcBorders>
              <w:top w:val="single" w:sz="4" w:space="0" w:color="auto"/>
            </w:tcBorders>
            <w:shd w:val="clear" w:color="auto" w:fill="E5B8B7" w:themeFill="accent2" w:themeFillTint="66"/>
            <w:vAlign w:val="center"/>
          </w:tcPr>
          <w:p w14:paraId="3CE00DE5" w14:textId="1A12E950" w:rsidR="008C63E0" w:rsidRPr="001F6A39" w:rsidRDefault="008C63E0" w:rsidP="00295A10">
            <w:pPr>
              <w:spacing w:before="40" w:after="40"/>
              <w:jc w:val="center"/>
              <w:rPr>
                <w:rFonts w:cs="Arial"/>
                <w:b/>
                <w:bCs/>
                <w:spacing w:val="20"/>
                <w:sz w:val="18"/>
                <w:szCs w:val="18"/>
              </w:rPr>
            </w:pPr>
            <w:r w:rsidRPr="001F6A39">
              <w:rPr>
                <w:rFonts w:cs="Arial"/>
                <w:b/>
                <w:sz w:val="18"/>
                <w:szCs w:val="18"/>
              </w:rPr>
              <w:t>Antenna Hungária</w:t>
            </w:r>
            <w:r w:rsidRPr="001F6A39">
              <w:rPr>
                <w:rFonts w:cs="Arial"/>
                <w:b/>
                <w:bCs/>
                <w:spacing w:val="20"/>
                <w:sz w:val="18"/>
                <w:szCs w:val="18"/>
              </w:rPr>
              <w:t xml:space="preserve"> </w:t>
            </w:r>
            <w:proofErr w:type="spellStart"/>
            <w:r w:rsidRPr="001F6A39">
              <w:rPr>
                <w:rFonts w:cs="Arial"/>
                <w:b/>
                <w:bCs/>
                <w:spacing w:val="20"/>
                <w:sz w:val="18"/>
                <w:szCs w:val="18"/>
              </w:rPr>
              <w:t>Zrt</w:t>
            </w:r>
            <w:proofErr w:type="spellEnd"/>
            <w:r w:rsidRPr="001F6A39">
              <w:rPr>
                <w:rFonts w:cs="Arial"/>
                <w:b/>
                <w:bCs/>
                <w:spacing w:val="20"/>
                <w:sz w:val="18"/>
                <w:szCs w:val="18"/>
              </w:rPr>
              <w:t>.</w:t>
            </w:r>
          </w:p>
        </w:tc>
        <w:tc>
          <w:tcPr>
            <w:tcW w:w="1559" w:type="dxa"/>
            <w:tcBorders>
              <w:top w:val="single" w:sz="4" w:space="0" w:color="auto"/>
            </w:tcBorders>
            <w:shd w:val="clear" w:color="auto" w:fill="E5B8B7" w:themeFill="accent2" w:themeFillTint="66"/>
            <w:vAlign w:val="center"/>
          </w:tcPr>
          <w:p w14:paraId="7A81E6E0"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14. alapblokk</w:t>
            </w:r>
          </w:p>
        </w:tc>
        <w:tc>
          <w:tcPr>
            <w:tcW w:w="1701" w:type="dxa"/>
            <w:tcBorders>
              <w:top w:val="single" w:sz="4" w:space="0" w:color="auto"/>
            </w:tcBorders>
            <w:shd w:val="clear" w:color="auto" w:fill="E5B8B7" w:themeFill="accent2" w:themeFillTint="66"/>
            <w:vAlign w:val="center"/>
          </w:tcPr>
          <w:p w14:paraId="648313A9" w14:textId="77777777" w:rsidR="008C63E0" w:rsidRPr="002C4D99" w:rsidRDefault="008C63E0" w:rsidP="00414DEF">
            <w:pPr>
              <w:keepNext/>
              <w:spacing w:before="40" w:after="40"/>
              <w:jc w:val="center"/>
              <w:rPr>
                <w:rFonts w:cs="Arial"/>
                <w:sz w:val="18"/>
                <w:szCs w:val="18"/>
              </w:rPr>
            </w:pPr>
            <w:r w:rsidRPr="002C4D99">
              <w:rPr>
                <w:rFonts w:cs="Arial"/>
                <w:sz w:val="18"/>
                <w:szCs w:val="18"/>
              </w:rPr>
              <w:t>24913-24941</w:t>
            </w:r>
          </w:p>
        </w:tc>
        <w:tc>
          <w:tcPr>
            <w:tcW w:w="1701" w:type="dxa"/>
            <w:tcBorders>
              <w:top w:val="single" w:sz="4" w:space="0" w:color="auto"/>
            </w:tcBorders>
            <w:shd w:val="clear" w:color="auto" w:fill="E5B8B7" w:themeFill="accent2" w:themeFillTint="66"/>
            <w:vAlign w:val="center"/>
          </w:tcPr>
          <w:p w14:paraId="13963701" w14:textId="77777777" w:rsidR="008C63E0" w:rsidRPr="002C4D99" w:rsidRDefault="008C63E0" w:rsidP="00414DEF">
            <w:pPr>
              <w:keepNext/>
              <w:spacing w:before="40" w:after="40"/>
              <w:jc w:val="center"/>
              <w:rPr>
                <w:rFonts w:cs="Arial"/>
                <w:sz w:val="18"/>
                <w:szCs w:val="18"/>
              </w:rPr>
            </w:pPr>
            <w:r w:rsidRPr="002C4D99">
              <w:rPr>
                <w:rFonts w:cs="Arial"/>
                <w:sz w:val="18"/>
                <w:szCs w:val="18"/>
              </w:rPr>
              <w:t>25921-25949</w:t>
            </w:r>
          </w:p>
        </w:tc>
        <w:tc>
          <w:tcPr>
            <w:tcW w:w="2410" w:type="dxa"/>
            <w:vMerge w:val="restart"/>
            <w:shd w:val="clear" w:color="auto" w:fill="E5B8B7" w:themeFill="accent2" w:themeFillTint="66"/>
            <w:vAlign w:val="center"/>
          </w:tcPr>
          <w:p w14:paraId="6FAFDEDA" w14:textId="75FEF4EE" w:rsidR="008C63E0" w:rsidRPr="000D44F7" w:rsidRDefault="008C63E0" w:rsidP="002723C1">
            <w:pPr>
              <w:spacing w:before="40" w:after="40"/>
              <w:jc w:val="center"/>
              <w:rPr>
                <w:rFonts w:cs="Arial"/>
                <w:sz w:val="18"/>
                <w:szCs w:val="18"/>
              </w:rPr>
            </w:pPr>
            <w:r>
              <w:rPr>
                <w:rFonts w:cs="Arial"/>
                <w:i/>
                <w:sz w:val="18"/>
                <w:szCs w:val="18"/>
              </w:rPr>
              <w:t>2027</w:t>
            </w:r>
            <w:r w:rsidR="00175C1F">
              <w:rPr>
                <w:rFonts w:cs="Arial"/>
                <w:i/>
                <w:sz w:val="18"/>
                <w:szCs w:val="18"/>
              </w:rPr>
              <w:t xml:space="preserve">. </w:t>
            </w:r>
            <w:r>
              <w:rPr>
                <w:rFonts w:cs="Arial"/>
                <w:i/>
                <w:sz w:val="18"/>
                <w:szCs w:val="18"/>
              </w:rPr>
              <w:t>04</w:t>
            </w:r>
            <w:r w:rsidR="00175C1F">
              <w:rPr>
                <w:rFonts w:cs="Arial"/>
                <w:i/>
                <w:sz w:val="18"/>
                <w:szCs w:val="18"/>
              </w:rPr>
              <w:t xml:space="preserve">. </w:t>
            </w:r>
            <w:r>
              <w:rPr>
                <w:rFonts w:cs="Arial"/>
                <w:i/>
                <w:sz w:val="18"/>
                <w:szCs w:val="18"/>
              </w:rPr>
              <w:t>05</w:t>
            </w:r>
            <w:r w:rsidR="00175C1F">
              <w:rPr>
                <w:rFonts w:cs="Arial"/>
                <w:i/>
                <w:sz w:val="18"/>
                <w:szCs w:val="18"/>
              </w:rPr>
              <w:t>.</w:t>
            </w:r>
          </w:p>
        </w:tc>
      </w:tr>
      <w:tr w:rsidR="008C63E0" w:rsidRPr="00E11348" w14:paraId="0C600B5F" w14:textId="77777777" w:rsidTr="00414DEF">
        <w:trPr>
          <w:trHeight w:val="288"/>
        </w:trPr>
        <w:tc>
          <w:tcPr>
            <w:tcW w:w="2411" w:type="dxa"/>
            <w:vMerge/>
            <w:shd w:val="clear" w:color="auto" w:fill="E5B8B7" w:themeFill="accent2" w:themeFillTint="66"/>
            <w:vAlign w:val="center"/>
          </w:tcPr>
          <w:p w14:paraId="6C4A0536" w14:textId="77777777" w:rsidR="008C63E0" w:rsidRPr="001F6A39" w:rsidRDefault="008C63E0" w:rsidP="00414DEF">
            <w:pPr>
              <w:spacing w:before="40" w:after="40"/>
              <w:jc w:val="center"/>
              <w:rPr>
                <w:rFonts w:cs="Arial"/>
                <w:b/>
                <w:bCs/>
                <w:spacing w:val="20"/>
                <w:sz w:val="18"/>
                <w:szCs w:val="18"/>
              </w:rPr>
            </w:pPr>
          </w:p>
        </w:tc>
        <w:tc>
          <w:tcPr>
            <w:tcW w:w="1559" w:type="dxa"/>
            <w:shd w:val="clear" w:color="auto" w:fill="E5B8B7" w:themeFill="accent2" w:themeFillTint="66"/>
            <w:vAlign w:val="center"/>
          </w:tcPr>
          <w:p w14:paraId="6EB6E9A4"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15. alapblokk</w:t>
            </w:r>
          </w:p>
        </w:tc>
        <w:tc>
          <w:tcPr>
            <w:tcW w:w="1701" w:type="dxa"/>
            <w:shd w:val="clear" w:color="auto" w:fill="E5B8B7" w:themeFill="accent2" w:themeFillTint="66"/>
            <w:vAlign w:val="center"/>
          </w:tcPr>
          <w:p w14:paraId="7A2E30AF" w14:textId="77777777" w:rsidR="008C63E0" w:rsidRPr="002C4D99" w:rsidRDefault="008C63E0" w:rsidP="00414DEF">
            <w:pPr>
              <w:keepNext/>
              <w:spacing w:before="40" w:after="40"/>
              <w:jc w:val="center"/>
              <w:rPr>
                <w:rFonts w:cs="Arial"/>
                <w:sz w:val="18"/>
                <w:szCs w:val="18"/>
              </w:rPr>
            </w:pPr>
            <w:r w:rsidRPr="002C4D99">
              <w:rPr>
                <w:rFonts w:cs="Arial"/>
                <w:sz w:val="18"/>
                <w:szCs w:val="18"/>
              </w:rPr>
              <w:t>24941-24969</w:t>
            </w:r>
          </w:p>
        </w:tc>
        <w:tc>
          <w:tcPr>
            <w:tcW w:w="1701" w:type="dxa"/>
            <w:shd w:val="clear" w:color="auto" w:fill="E5B8B7" w:themeFill="accent2" w:themeFillTint="66"/>
            <w:vAlign w:val="center"/>
          </w:tcPr>
          <w:p w14:paraId="590EB05E" w14:textId="77777777" w:rsidR="008C63E0" w:rsidRPr="002C4D99" w:rsidRDefault="008C63E0" w:rsidP="00414DEF">
            <w:pPr>
              <w:keepNext/>
              <w:spacing w:before="40" w:after="40"/>
              <w:jc w:val="center"/>
              <w:rPr>
                <w:rFonts w:cs="Arial"/>
                <w:sz w:val="18"/>
                <w:szCs w:val="18"/>
              </w:rPr>
            </w:pPr>
            <w:r w:rsidRPr="002C4D99">
              <w:rPr>
                <w:rFonts w:cs="Arial"/>
                <w:sz w:val="18"/>
                <w:szCs w:val="18"/>
              </w:rPr>
              <w:t>25949-25977</w:t>
            </w:r>
          </w:p>
        </w:tc>
        <w:tc>
          <w:tcPr>
            <w:tcW w:w="2410" w:type="dxa"/>
            <w:vMerge/>
            <w:shd w:val="clear" w:color="auto" w:fill="E5B8B7" w:themeFill="accent2" w:themeFillTint="66"/>
            <w:vAlign w:val="center"/>
          </w:tcPr>
          <w:p w14:paraId="2390FDA9" w14:textId="77777777" w:rsidR="008C63E0" w:rsidRPr="000D44F7" w:rsidRDefault="008C63E0" w:rsidP="00414DEF">
            <w:pPr>
              <w:spacing w:before="40" w:after="40"/>
              <w:jc w:val="center"/>
              <w:rPr>
                <w:rFonts w:cs="Arial"/>
                <w:sz w:val="18"/>
                <w:szCs w:val="18"/>
              </w:rPr>
            </w:pPr>
          </w:p>
        </w:tc>
      </w:tr>
      <w:tr w:rsidR="008C63E0" w:rsidRPr="00E11348" w14:paraId="19B11DB6" w14:textId="77777777" w:rsidTr="00414DEF">
        <w:tc>
          <w:tcPr>
            <w:tcW w:w="2411" w:type="dxa"/>
            <w:vMerge/>
            <w:shd w:val="clear" w:color="auto" w:fill="E5B8B7" w:themeFill="accent2" w:themeFillTint="66"/>
            <w:vAlign w:val="center"/>
          </w:tcPr>
          <w:p w14:paraId="5BA10038" w14:textId="77777777" w:rsidR="008C63E0" w:rsidRPr="001F6A39" w:rsidRDefault="008C63E0" w:rsidP="00414DEF">
            <w:pPr>
              <w:spacing w:before="40" w:after="40"/>
              <w:jc w:val="center"/>
              <w:rPr>
                <w:rFonts w:cs="Arial"/>
                <w:b/>
                <w:bCs/>
                <w:spacing w:val="20"/>
                <w:sz w:val="18"/>
                <w:szCs w:val="18"/>
              </w:rPr>
            </w:pPr>
          </w:p>
        </w:tc>
        <w:tc>
          <w:tcPr>
            <w:tcW w:w="1559" w:type="dxa"/>
            <w:shd w:val="clear" w:color="auto" w:fill="E5B8B7" w:themeFill="accent2" w:themeFillTint="66"/>
            <w:vAlign w:val="center"/>
          </w:tcPr>
          <w:p w14:paraId="4A9253D6"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16. alapblokk</w:t>
            </w:r>
          </w:p>
        </w:tc>
        <w:tc>
          <w:tcPr>
            <w:tcW w:w="1701" w:type="dxa"/>
            <w:shd w:val="clear" w:color="auto" w:fill="E5B8B7" w:themeFill="accent2" w:themeFillTint="66"/>
            <w:vAlign w:val="center"/>
          </w:tcPr>
          <w:p w14:paraId="6AA71D5E" w14:textId="77777777" w:rsidR="008C63E0" w:rsidRPr="002C4D99" w:rsidRDefault="008C63E0" w:rsidP="00414DEF">
            <w:pPr>
              <w:keepNext/>
              <w:spacing w:before="40" w:after="40"/>
              <w:jc w:val="center"/>
              <w:rPr>
                <w:rFonts w:cs="Arial"/>
                <w:sz w:val="18"/>
                <w:szCs w:val="18"/>
              </w:rPr>
            </w:pPr>
            <w:r w:rsidRPr="002C4D99">
              <w:rPr>
                <w:rFonts w:cs="Arial"/>
                <w:sz w:val="18"/>
                <w:szCs w:val="18"/>
              </w:rPr>
              <w:t>24969-24997</w:t>
            </w:r>
          </w:p>
        </w:tc>
        <w:tc>
          <w:tcPr>
            <w:tcW w:w="1701" w:type="dxa"/>
            <w:shd w:val="clear" w:color="auto" w:fill="E5B8B7" w:themeFill="accent2" w:themeFillTint="66"/>
            <w:vAlign w:val="center"/>
          </w:tcPr>
          <w:p w14:paraId="281E9D2E" w14:textId="77777777" w:rsidR="008C63E0" w:rsidRPr="002C4D99" w:rsidRDefault="008C63E0" w:rsidP="00414DEF">
            <w:pPr>
              <w:keepNext/>
              <w:spacing w:before="40" w:after="40"/>
              <w:jc w:val="center"/>
              <w:rPr>
                <w:rFonts w:cs="Arial"/>
                <w:sz w:val="18"/>
                <w:szCs w:val="18"/>
              </w:rPr>
            </w:pPr>
            <w:r w:rsidRPr="002C4D99">
              <w:rPr>
                <w:rFonts w:cs="Arial"/>
                <w:sz w:val="18"/>
                <w:szCs w:val="18"/>
              </w:rPr>
              <w:t>25977-26005</w:t>
            </w:r>
          </w:p>
        </w:tc>
        <w:tc>
          <w:tcPr>
            <w:tcW w:w="2410" w:type="dxa"/>
            <w:vMerge/>
            <w:shd w:val="clear" w:color="auto" w:fill="E5B8B7" w:themeFill="accent2" w:themeFillTint="66"/>
            <w:vAlign w:val="center"/>
          </w:tcPr>
          <w:p w14:paraId="3980B51E" w14:textId="77777777" w:rsidR="008C63E0" w:rsidRPr="000D44F7" w:rsidRDefault="008C63E0" w:rsidP="00414DEF">
            <w:pPr>
              <w:spacing w:before="40" w:after="40"/>
              <w:jc w:val="center"/>
              <w:rPr>
                <w:rFonts w:cs="Arial"/>
                <w:sz w:val="18"/>
                <w:szCs w:val="18"/>
              </w:rPr>
            </w:pPr>
          </w:p>
        </w:tc>
      </w:tr>
      <w:tr w:rsidR="008C63E0" w:rsidRPr="00E11348" w14:paraId="77CE2DA6" w14:textId="77777777" w:rsidTr="00414DEF">
        <w:tc>
          <w:tcPr>
            <w:tcW w:w="2411" w:type="dxa"/>
            <w:vMerge/>
            <w:shd w:val="clear" w:color="auto" w:fill="E5B8B7" w:themeFill="accent2" w:themeFillTint="66"/>
            <w:vAlign w:val="center"/>
          </w:tcPr>
          <w:p w14:paraId="3ACD927A" w14:textId="77777777" w:rsidR="008C63E0" w:rsidRPr="001F6A39" w:rsidRDefault="008C63E0" w:rsidP="00414DEF">
            <w:pPr>
              <w:spacing w:before="40" w:after="40"/>
              <w:jc w:val="center"/>
              <w:rPr>
                <w:rFonts w:cs="Arial"/>
                <w:b/>
                <w:bCs/>
                <w:spacing w:val="20"/>
                <w:sz w:val="18"/>
                <w:szCs w:val="18"/>
              </w:rPr>
            </w:pPr>
          </w:p>
        </w:tc>
        <w:tc>
          <w:tcPr>
            <w:tcW w:w="1559" w:type="dxa"/>
            <w:shd w:val="clear" w:color="auto" w:fill="E5B8B7" w:themeFill="accent2" w:themeFillTint="66"/>
            <w:vAlign w:val="center"/>
          </w:tcPr>
          <w:p w14:paraId="7B793778"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17. alapblokk</w:t>
            </w:r>
          </w:p>
        </w:tc>
        <w:tc>
          <w:tcPr>
            <w:tcW w:w="1701" w:type="dxa"/>
            <w:shd w:val="clear" w:color="auto" w:fill="E5B8B7" w:themeFill="accent2" w:themeFillTint="66"/>
            <w:vAlign w:val="center"/>
          </w:tcPr>
          <w:p w14:paraId="7451FF09" w14:textId="77777777" w:rsidR="008C63E0" w:rsidRPr="002C4D99" w:rsidRDefault="008C63E0" w:rsidP="00414DEF">
            <w:pPr>
              <w:keepNext/>
              <w:spacing w:before="40" w:after="40"/>
              <w:jc w:val="center"/>
              <w:rPr>
                <w:rFonts w:cs="Arial"/>
                <w:sz w:val="18"/>
                <w:szCs w:val="18"/>
              </w:rPr>
            </w:pPr>
            <w:r w:rsidRPr="002C4D99">
              <w:rPr>
                <w:rFonts w:cs="Arial"/>
                <w:sz w:val="18"/>
                <w:szCs w:val="18"/>
              </w:rPr>
              <w:t>24997-25025</w:t>
            </w:r>
          </w:p>
        </w:tc>
        <w:tc>
          <w:tcPr>
            <w:tcW w:w="1701" w:type="dxa"/>
            <w:shd w:val="clear" w:color="auto" w:fill="E5B8B7" w:themeFill="accent2" w:themeFillTint="66"/>
            <w:vAlign w:val="center"/>
          </w:tcPr>
          <w:p w14:paraId="08B1F3A2" w14:textId="77777777" w:rsidR="008C63E0" w:rsidRPr="002C4D99" w:rsidRDefault="008C63E0" w:rsidP="00414DEF">
            <w:pPr>
              <w:keepNext/>
              <w:spacing w:before="40" w:after="40"/>
              <w:jc w:val="center"/>
              <w:rPr>
                <w:rFonts w:cs="Arial"/>
                <w:sz w:val="18"/>
                <w:szCs w:val="18"/>
              </w:rPr>
            </w:pPr>
            <w:r w:rsidRPr="002C4D99">
              <w:rPr>
                <w:rFonts w:cs="Arial"/>
                <w:sz w:val="18"/>
                <w:szCs w:val="18"/>
              </w:rPr>
              <w:t>26005-26033</w:t>
            </w:r>
          </w:p>
        </w:tc>
        <w:tc>
          <w:tcPr>
            <w:tcW w:w="2410" w:type="dxa"/>
            <w:vMerge/>
            <w:shd w:val="clear" w:color="auto" w:fill="E5B8B7" w:themeFill="accent2" w:themeFillTint="66"/>
            <w:vAlign w:val="center"/>
          </w:tcPr>
          <w:p w14:paraId="2DDC4EF7" w14:textId="77777777" w:rsidR="008C63E0" w:rsidRPr="000D44F7" w:rsidRDefault="008C63E0" w:rsidP="00414DEF">
            <w:pPr>
              <w:spacing w:before="40" w:after="40"/>
              <w:jc w:val="center"/>
              <w:rPr>
                <w:rFonts w:cs="Arial"/>
                <w:sz w:val="18"/>
                <w:szCs w:val="18"/>
              </w:rPr>
            </w:pPr>
          </w:p>
        </w:tc>
      </w:tr>
      <w:tr w:rsidR="008C63E0" w:rsidRPr="00E11348" w14:paraId="737D1073" w14:textId="77777777" w:rsidTr="00414DEF">
        <w:tc>
          <w:tcPr>
            <w:tcW w:w="2411" w:type="dxa"/>
            <w:shd w:val="clear" w:color="auto" w:fill="auto"/>
            <w:vAlign w:val="center"/>
          </w:tcPr>
          <w:p w14:paraId="3BBA23EE" w14:textId="77777777" w:rsidR="008C63E0" w:rsidRPr="000D44F7" w:rsidRDefault="008C63E0" w:rsidP="00414DEF">
            <w:pPr>
              <w:spacing w:before="40" w:after="40"/>
              <w:jc w:val="center"/>
              <w:rPr>
                <w:rFonts w:cs="Arial"/>
                <w:bCs/>
                <w:spacing w:val="20"/>
                <w:sz w:val="18"/>
                <w:szCs w:val="18"/>
              </w:rPr>
            </w:pPr>
            <w:r w:rsidRPr="000D44F7">
              <w:rPr>
                <w:rFonts w:cs="Arial"/>
                <w:sz w:val="18"/>
                <w:szCs w:val="18"/>
              </w:rPr>
              <w:t>VÉDŐSÁV</w:t>
            </w:r>
          </w:p>
        </w:tc>
        <w:tc>
          <w:tcPr>
            <w:tcW w:w="1559" w:type="dxa"/>
            <w:shd w:val="clear" w:color="auto" w:fill="auto"/>
            <w:vAlign w:val="center"/>
          </w:tcPr>
          <w:p w14:paraId="6F012737" w14:textId="77777777" w:rsidR="008C63E0" w:rsidRPr="000D44F7" w:rsidRDefault="008C63E0" w:rsidP="00414DEF">
            <w:pPr>
              <w:spacing w:before="40" w:after="40"/>
              <w:jc w:val="center"/>
              <w:rPr>
                <w:rFonts w:cs="Arial"/>
                <w:sz w:val="18"/>
                <w:szCs w:val="18"/>
              </w:rPr>
            </w:pPr>
            <w:r w:rsidRPr="000D44F7">
              <w:rPr>
                <w:rFonts w:cs="Arial"/>
                <w:color w:val="000000"/>
                <w:sz w:val="18"/>
                <w:szCs w:val="18"/>
              </w:rPr>
              <w:t>18. alapblokk</w:t>
            </w:r>
          </w:p>
        </w:tc>
        <w:tc>
          <w:tcPr>
            <w:tcW w:w="1701" w:type="dxa"/>
            <w:shd w:val="clear" w:color="auto" w:fill="auto"/>
            <w:vAlign w:val="center"/>
          </w:tcPr>
          <w:p w14:paraId="1A4A6D4E" w14:textId="77777777" w:rsidR="008C63E0" w:rsidRPr="002C4D99" w:rsidRDefault="008C63E0" w:rsidP="00414DEF">
            <w:pPr>
              <w:spacing w:before="40" w:after="40"/>
              <w:jc w:val="center"/>
              <w:rPr>
                <w:rFonts w:cs="Arial"/>
                <w:sz w:val="18"/>
                <w:szCs w:val="18"/>
              </w:rPr>
            </w:pPr>
            <w:r w:rsidRPr="002C4D99">
              <w:rPr>
                <w:rFonts w:cs="Arial"/>
                <w:sz w:val="18"/>
                <w:szCs w:val="18"/>
              </w:rPr>
              <w:t>25025-25053</w:t>
            </w:r>
          </w:p>
        </w:tc>
        <w:tc>
          <w:tcPr>
            <w:tcW w:w="1701" w:type="dxa"/>
            <w:shd w:val="clear" w:color="auto" w:fill="auto"/>
            <w:vAlign w:val="center"/>
          </w:tcPr>
          <w:p w14:paraId="34501AC9" w14:textId="77777777" w:rsidR="008C63E0" w:rsidRPr="002C4D99" w:rsidRDefault="008C63E0" w:rsidP="00414DEF">
            <w:pPr>
              <w:spacing w:before="40" w:after="40"/>
              <w:jc w:val="center"/>
              <w:rPr>
                <w:rFonts w:cs="Arial"/>
                <w:sz w:val="18"/>
                <w:szCs w:val="18"/>
              </w:rPr>
            </w:pPr>
            <w:r w:rsidRPr="002C4D99">
              <w:rPr>
                <w:rFonts w:cs="Arial"/>
                <w:sz w:val="18"/>
                <w:szCs w:val="18"/>
              </w:rPr>
              <w:t>26033-26061</w:t>
            </w:r>
          </w:p>
        </w:tc>
        <w:tc>
          <w:tcPr>
            <w:tcW w:w="2410" w:type="dxa"/>
            <w:shd w:val="clear" w:color="auto" w:fill="auto"/>
            <w:vAlign w:val="center"/>
          </w:tcPr>
          <w:p w14:paraId="00205582" w14:textId="77777777" w:rsidR="008C63E0" w:rsidRPr="000D44F7" w:rsidRDefault="008C63E0" w:rsidP="00414DEF">
            <w:pPr>
              <w:spacing w:before="40" w:after="40"/>
              <w:jc w:val="center"/>
              <w:rPr>
                <w:rFonts w:cs="Arial"/>
                <w:sz w:val="18"/>
                <w:szCs w:val="18"/>
              </w:rPr>
            </w:pPr>
          </w:p>
        </w:tc>
      </w:tr>
      <w:tr w:rsidR="008C63E0" w:rsidRPr="00E11348" w14:paraId="0426922E" w14:textId="77777777" w:rsidTr="00414DEF">
        <w:tc>
          <w:tcPr>
            <w:tcW w:w="2411" w:type="dxa"/>
            <w:vMerge w:val="restart"/>
            <w:shd w:val="clear" w:color="auto" w:fill="CCC0D9" w:themeFill="accent4" w:themeFillTint="66"/>
            <w:vAlign w:val="center"/>
          </w:tcPr>
          <w:p w14:paraId="4D3E72A4" w14:textId="4ED497D5" w:rsidR="008C63E0" w:rsidRPr="000D44F7" w:rsidRDefault="008C63E0" w:rsidP="006A18B0">
            <w:pPr>
              <w:spacing w:before="40" w:after="40"/>
              <w:jc w:val="center"/>
              <w:rPr>
                <w:rFonts w:cs="Arial"/>
                <w:bCs/>
                <w:spacing w:val="20"/>
                <w:sz w:val="18"/>
                <w:szCs w:val="18"/>
              </w:rPr>
            </w:pPr>
            <w:r w:rsidRPr="001F6A39">
              <w:rPr>
                <w:rFonts w:cs="Arial"/>
                <w:b/>
                <w:bCs/>
                <w:spacing w:val="20"/>
                <w:sz w:val="18"/>
                <w:szCs w:val="18"/>
              </w:rPr>
              <w:t xml:space="preserve">Vodafone Magyarország </w:t>
            </w:r>
            <w:proofErr w:type="spellStart"/>
            <w:r w:rsidRPr="001F6A39">
              <w:rPr>
                <w:rFonts w:cs="Arial"/>
                <w:b/>
                <w:bCs/>
                <w:spacing w:val="20"/>
                <w:sz w:val="18"/>
                <w:szCs w:val="18"/>
              </w:rPr>
              <w:t>Zrt</w:t>
            </w:r>
            <w:proofErr w:type="spellEnd"/>
            <w:r w:rsidRPr="001F6A39">
              <w:rPr>
                <w:rFonts w:cs="Arial"/>
                <w:b/>
                <w:sz w:val="18"/>
                <w:szCs w:val="18"/>
              </w:rPr>
              <w:t>.</w:t>
            </w:r>
          </w:p>
        </w:tc>
        <w:tc>
          <w:tcPr>
            <w:tcW w:w="1559" w:type="dxa"/>
            <w:shd w:val="clear" w:color="auto" w:fill="CCC0D9" w:themeFill="accent4" w:themeFillTint="66"/>
            <w:vAlign w:val="center"/>
          </w:tcPr>
          <w:p w14:paraId="6FC0D936"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19. alapblokk</w:t>
            </w:r>
          </w:p>
        </w:tc>
        <w:tc>
          <w:tcPr>
            <w:tcW w:w="1701" w:type="dxa"/>
            <w:shd w:val="clear" w:color="auto" w:fill="CCC0D9" w:themeFill="accent4" w:themeFillTint="66"/>
            <w:vAlign w:val="center"/>
          </w:tcPr>
          <w:p w14:paraId="5459F270" w14:textId="77777777" w:rsidR="008C63E0" w:rsidRPr="002C4D99" w:rsidRDefault="008C63E0" w:rsidP="00414DEF">
            <w:pPr>
              <w:keepNext/>
              <w:spacing w:before="40" w:after="40"/>
              <w:jc w:val="center"/>
              <w:rPr>
                <w:rFonts w:cs="Arial"/>
                <w:sz w:val="18"/>
                <w:szCs w:val="18"/>
              </w:rPr>
            </w:pPr>
            <w:r w:rsidRPr="002C4D99">
              <w:rPr>
                <w:rFonts w:cs="Arial"/>
                <w:sz w:val="18"/>
                <w:szCs w:val="18"/>
              </w:rPr>
              <w:t>25053-25081</w:t>
            </w:r>
          </w:p>
        </w:tc>
        <w:tc>
          <w:tcPr>
            <w:tcW w:w="1701" w:type="dxa"/>
            <w:shd w:val="clear" w:color="auto" w:fill="CCC0D9" w:themeFill="accent4" w:themeFillTint="66"/>
            <w:vAlign w:val="center"/>
          </w:tcPr>
          <w:p w14:paraId="19B69C6A" w14:textId="77777777" w:rsidR="008C63E0" w:rsidRPr="002C4D99" w:rsidRDefault="008C63E0" w:rsidP="00414DEF">
            <w:pPr>
              <w:keepNext/>
              <w:spacing w:before="40" w:after="40"/>
              <w:jc w:val="center"/>
              <w:rPr>
                <w:rFonts w:cs="Arial"/>
                <w:sz w:val="18"/>
                <w:szCs w:val="18"/>
              </w:rPr>
            </w:pPr>
            <w:r w:rsidRPr="002C4D99">
              <w:rPr>
                <w:rFonts w:cs="Arial"/>
                <w:sz w:val="18"/>
                <w:szCs w:val="18"/>
              </w:rPr>
              <w:t>26061-26089</w:t>
            </w:r>
          </w:p>
        </w:tc>
        <w:tc>
          <w:tcPr>
            <w:tcW w:w="2410" w:type="dxa"/>
            <w:vMerge w:val="restart"/>
            <w:shd w:val="clear" w:color="auto" w:fill="CCC0D9" w:themeFill="accent4" w:themeFillTint="66"/>
            <w:vAlign w:val="center"/>
          </w:tcPr>
          <w:p w14:paraId="7A009A26" w14:textId="78C09108" w:rsidR="008C63E0" w:rsidRPr="000D44F7" w:rsidRDefault="008C63E0" w:rsidP="002723C1">
            <w:pPr>
              <w:spacing w:before="40" w:after="40"/>
              <w:jc w:val="center"/>
              <w:rPr>
                <w:rFonts w:cs="Arial"/>
                <w:sz w:val="18"/>
                <w:szCs w:val="18"/>
              </w:rPr>
            </w:pPr>
            <w:r w:rsidRPr="001F6A39">
              <w:rPr>
                <w:rFonts w:cs="Arial"/>
                <w:i/>
                <w:sz w:val="18"/>
                <w:szCs w:val="18"/>
              </w:rPr>
              <w:t>2027</w:t>
            </w:r>
            <w:r w:rsidR="00175C1F">
              <w:rPr>
                <w:rFonts w:cs="Arial"/>
                <w:i/>
                <w:sz w:val="18"/>
                <w:szCs w:val="18"/>
              </w:rPr>
              <w:t xml:space="preserve">. </w:t>
            </w:r>
            <w:r w:rsidRPr="001F6A39">
              <w:rPr>
                <w:rFonts w:cs="Arial"/>
                <w:i/>
                <w:sz w:val="18"/>
                <w:szCs w:val="18"/>
              </w:rPr>
              <w:t>04</w:t>
            </w:r>
            <w:r w:rsidR="00175C1F">
              <w:rPr>
                <w:rFonts w:cs="Arial"/>
                <w:i/>
                <w:sz w:val="18"/>
                <w:szCs w:val="18"/>
              </w:rPr>
              <w:t xml:space="preserve">. </w:t>
            </w:r>
            <w:r>
              <w:rPr>
                <w:rFonts w:cs="Arial"/>
                <w:i/>
                <w:sz w:val="18"/>
                <w:szCs w:val="18"/>
              </w:rPr>
              <w:t>05</w:t>
            </w:r>
            <w:r w:rsidR="00175C1F">
              <w:rPr>
                <w:rFonts w:cs="Arial"/>
                <w:i/>
                <w:sz w:val="18"/>
                <w:szCs w:val="18"/>
              </w:rPr>
              <w:t>.</w:t>
            </w:r>
          </w:p>
        </w:tc>
      </w:tr>
      <w:tr w:rsidR="008C63E0" w:rsidRPr="00E11348" w14:paraId="22B816CD" w14:textId="77777777" w:rsidTr="00414DEF">
        <w:tc>
          <w:tcPr>
            <w:tcW w:w="2411" w:type="dxa"/>
            <w:vMerge/>
            <w:shd w:val="clear" w:color="auto" w:fill="CCC0D9" w:themeFill="accent4" w:themeFillTint="66"/>
            <w:vAlign w:val="center"/>
          </w:tcPr>
          <w:p w14:paraId="56C29140" w14:textId="77777777" w:rsidR="008C63E0" w:rsidRDefault="008C63E0" w:rsidP="00414DEF">
            <w:pPr>
              <w:jc w:val="center"/>
            </w:pPr>
          </w:p>
        </w:tc>
        <w:tc>
          <w:tcPr>
            <w:tcW w:w="1559" w:type="dxa"/>
            <w:shd w:val="clear" w:color="auto" w:fill="CCC0D9" w:themeFill="accent4" w:themeFillTint="66"/>
            <w:vAlign w:val="center"/>
          </w:tcPr>
          <w:p w14:paraId="014B3A57"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20. alapblokk</w:t>
            </w:r>
          </w:p>
        </w:tc>
        <w:tc>
          <w:tcPr>
            <w:tcW w:w="1701" w:type="dxa"/>
            <w:shd w:val="clear" w:color="auto" w:fill="CCC0D9" w:themeFill="accent4" w:themeFillTint="66"/>
            <w:vAlign w:val="center"/>
          </w:tcPr>
          <w:p w14:paraId="3E09D946" w14:textId="77777777" w:rsidR="008C63E0" w:rsidRPr="002C4D99" w:rsidRDefault="008C63E0" w:rsidP="00414DEF">
            <w:pPr>
              <w:keepNext/>
              <w:spacing w:before="40" w:after="40"/>
              <w:jc w:val="center"/>
              <w:rPr>
                <w:rFonts w:cs="Arial"/>
                <w:sz w:val="18"/>
                <w:szCs w:val="18"/>
              </w:rPr>
            </w:pPr>
            <w:r w:rsidRPr="002C4D99">
              <w:rPr>
                <w:rFonts w:cs="Arial"/>
                <w:sz w:val="18"/>
                <w:szCs w:val="18"/>
              </w:rPr>
              <w:t>25081-25109</w:t>
            </w:r>
          </w:p>
        </w:tc>
        <w:tc>
          <w:tcPr>
            <w:tcW w:w="1701" w:type="dxa"/>
            <w:shd w:val="clear" w:color="auto" w:fill="CCC0D9" w:themeFill="accent4" w:themeFillTint="66"/>
            <w:vAlign w:val="center"/>
          </w:tcPr>
          <w:p w14:paraId="1AE118B7" w14:textId="77777777" w:rsidR="008C63E0" w:rsidRPr="002C4D99" w:rsidRDefault="008C63E0" w:rsidP="00414DEF">
            <w:pPr>
              <w:keepNext/>
              <w:spacing w:before="40" w:after="40"/>
              <w:jc w:val="center"/>
              <w:rPr>
                <w:rFonts w:cs="Arial"/>
                <w:sz w:val="18"/>
                <w:szCs w:val="18"/>
              </w:rPr>
            </w:pPr>
            <w:r w:rsidRPr="002C4D99">
              <w:rPr>
                <w:rFonts w:cs="Arial"/>
                <w:sz w:val="18"/>
                <w:szCs w:val="18"/>
              </w:rPr>
              <w:t>26089-26117</w:t>
            </w:r>
          </w:p>
        </w:tc>
        <w:tc>
          <w:tcPr>
            <w:tcW w:w="2410" w:type="dxa"/>
            <w:vMerge/>
            <w:shd w:val="clear" w:color="auto" w:fill="CCC0D9" w:themeFill="accent4" w:themeFillTint="66"/>
            <w:vAlign w:val="center"/>
          </w:tcPr>
          <w:p w14:paraId="487DF1F5" w14:textId="77777777" w:rsidR="008C63E0" w:rsidRPr="000D44F7" w:rsidRDefault="008C63E0" w:rsidP="00414DEF">
            <w:pPr>
              <w:spacing w:before="40" w:after="40"/>
              <w:jc w:val="center"/>
              <w:rPr>
                <w:rFonts w:cs="Arial"/>
                <w:sz w:val="18"/>
                <w:szCs w:val="18"/>
              </w:rPr>
            </w:pPr>
          </w:p>
        </w:tc>
      </w:tr>
      <w:tr w:rsidR="008C63E0" w:rsidRPr="00E11348" w14:paraId="17A6E3D3" w14:textId="77777777" w:rsidTr="00414DEF">
        <w:tc>
          <w:tcPr>
            <w:tcW w:w="2411" w:type="dxa"/>
            <w:vMerge/>
            <w:shd w:val="clear" w:color="auto" w:fill="CCC0D9" w:themeFill="accent4" w:themeFillTint="66"/>
            <w:vAlign w:val="center"/>
          </w:tcPr>
          <w:p w14:paraId="0B4F854D" w14:textId="77777777" w:rsidR="008C63E0" w:rsidRDefault="008C63E0" w:rsidP="00414DEF">
            <w:pPr>
              <w:jc w:val="center"/>
            </w:pPr>
          </w:p>
        </w:tc>
        <w:tc>
          <w:tcPr>
            <w:tcW w:w="1559" w:type="dxa"/>
            <w:shd w:val="clear" w:color="auto" w:fill="CCC0D9" w:themeFill="accent4" w:themeFillTint="66"/>
            <w:vAlign w:val="center"/>
          </w:tcPr>
          <w:p w14:paraId="04B991C0"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21. alapblokk</w:t>
            </w:r>
          </w:p>
        </w:tc>
        <w:tc>
          <w:tcPr>
            <w:tcW w:w="1701" w:type="dxa"/>
            <w:shd w:val="clear" w:color="auto" w:fill="CCC0D9" w:themeFill="accent4" w:themeFillTint="66"/>
            <w:vAlign w:val="center"/>
          </w:tcPr>
          <w:p w14:paraId="5E191DC2" w14:textId="77777777" w:rsidR="008C63E0" w:rsidRPr="002C4D99" w:rsidRDefault="008C63E0" w:rsidP="00414DEF">
            <w:pPr>
              <w:keepNext/>
              <w:spacing w:before="40" w:after="40"/>
              <w:jc w:val="center"/>
              <w:rPr>
                <w:rFonts w:cs="Arial"/>
                <w:sz w:val="18"/>
                <w:szCs w:val="18"/>
              </w:rPr>
            </w:pPr>
            <w:r w:rsidRPr="002C4D99">
              <w:rPr>
                <w:rFonts w:cs="Arial"/>
                <w:sz w:val="18"/>
                <w:szCs w:val="18"/>
              </w:rPr>
              <w:t>25109-25137</w:t>
            </w:r>
          </w:p>
        </w:tc>
        <w:tc>
          <w:tcPr>
            <w:tcW w:w="1701" w:type="dxa"/>
            <w:shd w:val="clear" w:color="auto" w:fill="CCC0D9" w:themeFill="accent4" w:themeFillTint="66"/>
            <w:vAlign w:val="center"/>
          </w:tcPr>
          <w:p w14:paraId="04977F5C" w14:textId="77777777" w:rsidR="008C63E0" w:rsidRPr="002C4D99" w:rsidRDefault="008C63E0" w:rsidP="00414DEF">
            <w:pPr>
              <w:keepNext/>
              <w:spacing w:before="40" w:after="40"/>
              <w:jc w:val="center"/>
              <w:rPr>
                <w:rFonts w:cs="Arial"/>
                <w:sz w:val="18"/>
                <w:szCs w:val="18"/>
              </w:rPr>
            </w:pPr>
            <w:r w:rsidRPr="002C4D99">
              <w:rPr>
                <w:rFonts w:cs="Arial"/>
                <w:sz w:val="18"/>
                <w:szCs w:val="18"/>
              </w:rPr>
              <w:t>26117-26145</w:t>
            </w:r>
          </w:p>
        </w:tc>
        <w:tc>
          <w:tcPr>
            <w:tcW w:w="2410" w:type="dxa"/>
            <w:vMerge/>
            <w:shd w:val="clear" w:color="auto" w:fill="CCC0D9" w:themeFill="accent4" w:themeFillTint="66"/>
            <w:vAlign w:val="center"/>
          </w:tcPr>
          <w:p w14:paraId="42FDA4C5" w14:textId="77777777" w:rsidR="008C63E0" w:rsidRPr="000D44F7" w:rsidRDefault="008C63E0" w:rsidP="00414DEF">
            <w:pPr>
              <w:spacing w:before="40" w:after="40"/>
              <w:jc w:val="center"/>
              <w:rPr>
                <w:rFonts w:cs="Arial"/>
                <w:sz w:val="18"/>
                <w:szCs w:val="18"/>
              </w:rPr>
            </w:pPr>
          </w:p>
        </w:tc>
      </w:tr>
      <w:tr w:rsidR="008C63E0" w:rsidRPr="00E11348" w14:paraId="785D7D79" w14:textId="77777777" w:rsidTr="00414DEF">
        <w:tc>
          <w:tcPr>
            <w:tcW w:w="2411" w:type="dxa"/>
            <w:vMerge/>
            <w:shd w:val="clear" w:color="auto" w:fill="CCC0D9" w:themeFill="accent4" w:themeFillTint="66"/>
            <w:vAlign w:val="center"/>
          </w:tcPr>
          <w:p w14:paraId="787EC95A" w14:textId="77777777" w:rsidR="008C63E0" w:rsidRDefault="008C63E0" w:rsidP="00414DEF">
            <w:pPr>
              <w:jc w:val="center"/>
            </w:pPr>
          </w:p>
        </w:tc>
        <w:tc>
          <w:tcPr>
            <w:tcW w:w="1559" w:type="dxa"/>
            <w:shd w:val="clear" w:color="auto" w:fill="CCC0D9" w:themeFill="accent4" w:themeFillTint="66"/>
            <w:vAlign w:val="center"/>
          </w:tcPr>
          <w:p w14:paraId="32FF6846"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22. alapblokk</w:t>
            </w:r>
          </w:p>
        </w:tc>
        <w:tc>
          <w:tcPr>
            <w:tcW w:w="1701" w:type="dxa"/>
            <w:shd w:val="clear" w:color="auto" w:fill="CCC0D9" w:themeFill="accent4" w:themeFillTint="66"/>
            <w:vAlign w:val="center"/>
          </w:tcPr>
          <w:p w14:paraId="0B501289" w14:textId="77777777" w:rsidR="008C63E0" w:rsidRPr="002C4D99" w:rsidRDefault="008C63E0" w:rsidP="00414DEF">
            <w:pPr>
              <w:keepNext/>
              <w:spacing w:before="40" w:after="40"/>
              <w:jc w:val="center"/>
              <w:rPr>
                <w:rFonts w:cs="Arial"/>
                <w:sz w:val="18"/>
                <w:szCs w:val="18"/>
              </w:rPr>
            </w:pPr>
            <w:r w:rsidRPr="002C4D99">
              <w:rPr>
                <w:rFonts w:cs="Arial"/>
                <w:sz w:val="18"/>
                <w:szCs w:val="18"/>
              </w:rPr>
              <w:t>25137-26165</w:t>
            </w:r>
          </w:p>
        </w:tc>
        <w:tc>
          <w:tcPr>
            <w:tcW w:w="1701" w:type="dxa"/>
            <w:shd w:val="clear" w:color="auto" w:fill="CCC0D9" w:themeFill="accent4" w:themeFillTint="66"/>
            <w:vAlign w:val="center"/>
          </w:tcPr>
          <w:p w14:paraId="19E3C1BA" w14:textId="77777777" w:rsidR="008C63E0" w:rsidRPr="002C4D99" w:rsidRDefault="008C63E0" w:rsidP="00414DEF">
            <w:pPr>
              <w:keepNext/>
              <w:spacing w:before="40" w:after="40"/>
              <w:jc w:val="center"/>
              <w:rPr>
                <w:rFonts w:cs="Arial"/>
                <w:sz w:val="18"/>
                <w:szCs w:val="18"/>
              </w:rPr>
            </w:pPr>
            <w:r w:rsidRPr="002C4D99">
              <w:rPr>
                <w:rFonts w:cs="Arial"/>
                <w:sz w:val="18"/>
                <w:szCs w:val="18"/>
              </w:rPr>
              <w:t>26145-26173</w:t>
            </w:r>
          </w:p>
        </w:tc>
        <w:tc>
          <w:tcPr>
            <w:tcW w:w="2410" w:type="dxa"/>
            <w:vMerge/>
            <w:shd w:val="clear" w:color="auto" w:fill="CCC0D9" w:themeFill="accent4" w:themeFillTint="66"/>
            <w:vAlign w:val="center"/>
          </w:tcPr>
          <w:p w14:paraId="518BB9A3" w14:textId="77777777" w:rsidR="008C63E0" w:rsidRPr="000D44F7" w:rsidRDefault="008C63E0" w:rsidP="00414DEF">
            <w:pPr>
              <w:spacing w:before="40" w:after="40"/>
              <w:jc w:val="center"/>
              <w:rPr>
                <w:rFonts w:cs="Arial"/>
                <w:sz w:val="18"/>
                <w:szCs w:val="18"/>
              </w:rPr>
            </w:pPr>
          </w:p>
        </w:tc>
      </w:tr>
      <w:tr w:rsidR="008C63E0" w:rsidRPr="00E11348" w14:paraId="26309FEB" w14:textId="77777777" w:rsidTr="00414DEF">
        <w:tc>
          <w:tcPr>
            <w:tcW w:w="2411" w:type="dxa"/>
            <w:vMerge/>
            <w:shd w:val="clear" w:color="auto" w:fill="CCC0D9" w:themeFill="accent4" w:themeFillTint="66"/>
            <w:vAlign w:val="center"/>
          </w:tcPr>
          <w:p w14:paraId="35A3944D" w14:textId="77777777" w:rsidR="008C63E0" w:rsidRDefault="008C63E0" w:rsidP="00414DEF">
            <w:pPr>
              <w:jc w:val="center"/>
            </w:pPr>
          </w:p>
        </w:tc>
        <w:tc>
          <w:tcPr>
            <w:tcW w:w="1559" w:type="dxa"/>
            <w:shd w:val="clear" w:color="auto" w:fill="CCC0D9" w:themeFill="accent4" w:themeFillTint="66"/>
            <w:vAlign w:val="center"/>
          </w:tcPr>
          <w:p w14:paraId="5F7D25DD"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23. alapblokk</w:t>
            </w:r>
          </w:p>
        </w:tc>
        <w:tc>
          <w:tcPr>
            <w:tcW w:w="1701" w:type="dxa"/>
            <w:shd w:val="clear" w:color="auto" w:fill="CCC0D9" w:themeFill="accent4" w:themeFillTint="66"/>
            <w:vAlign w:val="center"/>
          </w:tcPr>
          <w:p w14:paraId="5F226B98" w14:textId="77777777" w:rsidR="008C63E0" w:rsidRPr="002C4D99" w:rsidRDefault="008C63E0" w:rsidP="00414DEF">
            <w:pPr>
              <w:keepNext/>
              <w:spacing w:before="40" w:after="40"/>
              <w:jc w:val="center"/>
              <w:rPr>
                <w:rFonts w:cs="Arial"/>
                <w:sz w:val="18"/>
                <w:szCs w:val="18"/>
              </w:rPr>
            </w:pPr>
            <w:r w:rsidRPr="002C4D99">
              <w:rPr>
                <w:rFonts w:cs="Arial"/>
                <w:sz w:val="18"/>
                <w:szCs w:val="18"/>
              </w:rPr>
              <w:t>25165-25193</w:t>
            </w:r>
          </w:p>
        </w:tc>
        <w:tc>
          <w:tcPr>
            <w:tcW w:w="1701" w:type="dxa"/>
            <w:shd w:val="clear" w:color="auto" w:fill="CCC0D9" w:themeFill="accent4" w:themeFillTint="66"/>
            <w:vAlign w:val="center"/>
          </w:tcPr>
          <w:p w14:paraId="46869E07" w14:textId="77777777" w:rsidR="008C63E0" w:rsidRPr="002C4D99" w:rsidRDefault="008C63E0" w:rsidP="00414DEF">
            <w:pPr>
              <w:keepNext/>
              <w:spacing w:before="40" w:after="40"/>
              <w:jc w:val="center"/>
              <w:rPr>
                <w:rFonts w:cs="Arial"/>
                <w:sz w:val="18"/>
                <w:szCs w:val="18"/>
              </w:rPr>
            </w:pPr>
            <w:r w:rsidRPr="002C4D99">
              <w:rPr>
                <w:rFonts w:cs="Arial"/>
                <w:sz w:val="18"/>
                <w:szCs w:val="18"/>
              </w:rPr>
              <w:t>26173-26201</w:t>
            </w:r>
          </w:p>
        </w:tc>
        <w:tc>
          <w:tcPr>
            <w:tcW w:w="2410" w:type="dxa"/>
            <w:vMerge/>
            <w:shd w:val="clear" w:color="auto" w:fill="CCC0D9" w:themeFill="accent4" w:themeFillTint="66"/>
            <w:vAlign w:val="center"/>
          </w:tcPr>
          <w:p w14:paraId="35695D64" w14:textId="77777777" w:rsidR="008C63E0" w:rsidRPr="000D44F7" w:rsidRDefault="008C63E0" w:rsidP="00414DEF">
            <w:pPr>
              <w:spacing w:before="40" w:after="40"/>
              <w:jc w:val="center"/>
              <w:rPr>
                <w:rFonts w:cs="Arial"/>
                <w:sz w:val="18"/>
                <w:szCs w:val="18"/>
              </w:rPr>
            </w:pPr>
          </w:p>
        </w:tc>
      </w:tr>
      <w:tr w:rsidR="008C63E0" w:rsidRPr="00E11348" w14:paraId="2C0C04FE" w14:textId="77777777" w:rsidTr="00414DEF">
        <w:tc>
          <w:tcPr>
            <w:tcW w:w="2411" w:type="dxa"/>
            <w:vMerge/>
            <w:shd w:val="clear" w:color="auto" w:fill="CCC0D9" w:themeFill="accent4" w:themeFillTint="66"/>
            <w:vAlign w:val="center"/>
          </w:tcPr>
          <w:p w14:paraId="3273C500" w14:textId="77777777" w:rsidR="008C63E0" w:rsidRDefault="008C63E0" w:rsidP="00414DEF">
            <w:pPr>
              <w:jc w:val="center"/>
            </w:pPr>
          </w:p>
        </w:tc>
        <w:tc>
          <w:tcPr>
            <w:tcW w:w="1559" w:type="dxa"/>
            <w:shd w:val="clear" w:color="auto" w:fill="CCC0D9" w:themeFill="accent4" w:themeFillTint="66"/>
            <w:vAlign w:val="center"/>
          </w:tcPr>
          <w:p w14:paraId="1E59678B"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24. alapblokk</w:t>
            </w:r>
          </w:p>
        </w:tc>
        <w:tc>
          <w:tcPr>
            <w:tcW w:w="1701" w:type="dxa"/>
            <w:shd w:val="clear" w:color="auto" w:fill="CCC0D9" w:themeFill="accent4" w:themeFillTint="66"/>
            <w:vAlign w:val="center"/>
          </w:tcPr>
          <w:p w14:paraId="66E61177" w14:textId="77777777" w:rsidR="008C63E0" w:rsidRPr="002C4D99" w:rsidRDefault="008C63E0" w:rsidP="00414DEF">
            <w:pPr>
              <w:keepNext/>
              <w:spacing w:before="40" w:after="40"/>
              <w:jc w:val="center"/>
              <w:rPr>
                <w:rFonts w:cs="Arial"/>
                <w:sz w:val="18"/>
                <w:szCs w:val="18"/>
              </w:rPr>
            </w:pPr>
            <w:r w:rsidRPr="002C4D99">
              <w:rPr>
                <w:rFonts w:cs="Arial"/>
                <w:sz w:val="18"/>
                <w:szCs w:val="18"/>
              </w:rPr>
              <w:t>25193-25221</w:t>
            </w:r>
          </w:p>
        </w:tc>
        <w:tc>
          <w:tcPr>
            <w:tcW w:w="1701" w:type="dxa"/>
            <w:shd w:val="clear" w:color="auto" w:fill="CCC0D9" w:themeFill="accent4" w:themeFillTint="66"/>
            <w:vAlign w:val="center"/>
          </w:tcPr>
          <w:p w14:paraId="2338F77F" w14:textId="77777777" w:rsidR="008C63E0" w:rsidRPr="002C4D99" w:rsidRDefault="008C63E0" w:rsidP="00414DEF">
            <w:pPr>
              <w:keepNext/>
              <w:spacing w:before="40" w:after="40"/>
              <w:jc w:val="center"/>
              <w:rPr>
                <w:rFonts w:cs="Arial"/>
                <w:sz w:val="18"/>
                <w:szCs w:val="18"/>
              </w:rPr>
            </w:pPr>
            <w:r w:rsidRPr="002C4D99">
              <w:rPr>
                <w:rFonts w:cs="Arial"/>
                <w:sz w:val="18"/>
                <w:szCs w:val="18"/>
              </w:rPr>
              <w:t>26201-26229</w:t>
            </w:r>
          </w:p>
        </w:tc>
        <w:tc>
          <w:tcPr>
            <w:tcW w:w="2410" w:type="dxa"/>
            <w:vMerge/>
            <w:shd w:val="clear" w:color="auto" w:fill="CCC0D9" w:themeFill="accent4" w:themeFillTint="66"/>
            <w:vAlign w:val="center"/>
          </w:tcPr>
          <w:p w14:paraId="5B7B80E0" w14:textId="77777777" w:rsidR="008C63E0" w:rsidRPr="000D44F7" w:rsidRDefault="008C63E0" w:rsidP="00414DEF">
            <w:pPr>
              <w:spacing w:before="40" w:after="40"/>
              <w:jc w:val="center"/>
              <w:rPr>
                <w:rFonts w:cs="Arial"/>
                <w:sz w:val="18"/>
                <w:szCs w:val="18"/>
              </w:rPr>
            </w:pPr>
          </w:p>
        </w:tc>
      </w:tr>
      <w:tr w:rsidR="008C63E0" w:rsidRPr="00E11348" w14:paraId="138EE5E7" w14:textId="77777777" w:rsidTr="00414DEF">
        <w:tc>
          <w:tcPr>
            <w:tcW w:w="2411" w:type="dxa"/>
            <w:shd w:val="clear" w:color="auto" w:fill="auto"/>
            <w:vAlign w:val="center"/>
          </w:tcPr>
          <w:p w14:paraId="6428422A" w14:textId="77777777" w:rsidR="008C63E0" w:rsidRPr="000D44F7" w:rsidRDefault="008C63E0" w:rsidP="00414DEF">
            <w:pPr>
              <w:spacing w:before="40" w:after="40"/>
              <w:jc w:val="center"/>
              <w:rPr>
                <w:rFonts w:cs="Arial"/>
                <w:bCs/>
                <w:spacing w:val="20"/>
                <w:sz w:val="18"/>
                <w:szCs w:val="18"/>
              </w:rPr>
            </w:pPr>
            <w:r w:rsidRPr="000D44F7">
              <w:rPr>
                <w:rFonts w:cs="Arial"/>
                <w:sz w:val="18"/>
                <w:szCs w:val="18"/>
              </w:rPr>
              <w:t>VÉDŐSÁV</w:t>
            </w:r>
          </w:p>
        </w:tc>
        <w:tc>
          <w:tcPr>
            <w:tcW w:w="1559" w:type="dxa"/>
            <w:shd w:val="clear" w:color="auto" w:fill="auto"/>
            <w:vAlign w:val="center"/>
          </w:tcPr>
          <w:p w14:paraId="777F2071"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25. alapblokk</w:t>
            </w:r>
          </w:p>
        </w:tc>
        <w:tc>
          <w:tcPr>
            <w:tcW w:w="1701" w:type="dxa"/>
            <w:shd w:val="clear" w:color="auto" w:fill="auto"/>
            <w:vAlign w:val="center"/>
          </w:tcPr>
          <w:p w14:paraId="630C916D" w14:textId="77777777" w:rsidR="008C63E0" w:rsidRPr="002C4D99" w:rsidRDefault="008C63E0" w:rsidP="00414DEF">
            <w:pPr>
              <w:keepNext/>
              <w:spacing w:before="40" w:after="40"/>
              <w:jc w:val="center"/>
              <w:rPr>
                <w:rFonts w:cs="Arial"/>
                <w:sz w:val="18"/>
                <w:szCs w:val="18"/>
              </w:rPr>
            </w:pPr>
            <w:r w:rsidRPr="002C4D99">
              <w:rPr>
                <w:rFonts w:cs="Arial"/>
                <w:sz w:val="18"/>
                <w:szCs w:val="18"/>
              </w:rPr>
              <w:t>25221-25249</w:t>
            </w:r>
          </w:p>
        </w:tc>
        <w:tc>
          <w:tcPr>
            <w:tcW w:w="1701" w:type="dxa"/>
            <w:shd w:val="clear" w:color="auto" w:fill="auto"/>
            <w:vAlign w:val="center"/>
          </w:tcPr>
          <w:p w14:paraId="7433DE88" w14:textId="77777777" w:rsidR="008C63E0" w:rsidRPr="002C4D99" w:rsidRDefault="008C63E0" w:rsidP="00414DEF">
            <w:pPr>
              <w:keepNext/>
              <w:spacing w:before="40" w:after="40"/>
              <w:jc w:val="center"/>
              <w:rPr>
                <w:rFonts w:cs="Arial"/>
                <w:sz w:val="18"/>
                <w:szCs w:val="18"/>
              </w:rPr>
            </w:pPr>
            <w:r w:rsidRPr="002C4D99">
              <w:rPr>
                <w:rFonts w:cs="Arial"/>
                <w:sz w:val="18"/>
                <w:szCs w:val="18"/>
              </w:rPr>
              <w:t>26229-26257</w:t>
            </w:r>
          </w:p>
        </w:tc>
        <w:tc>
          <w:tcPr>
            <w:tcW w:w="2410" w:type="dxa"/>
            <w:shd w:val="clear" w:color="auto" w:fill="auto"/>
            <w:vAlign w:val="center"/>
          </w:tcPr>
          <w:p w14:paraId="04ED02BE" w14:textId="77777777" w:rsidR="008C63E0" w:rsidRPr="000D44F7" w:rsidRDefault="008C63E0" w:rsidP="00414DEF">
            <w:pPr>
              <w:spacing w:before="40" w:after="40"/>
              <w:jc w:val="center"/>
              <w:rPr>
                <w:rFonts w:cs="Arial"/>
                <w:sz w:val="18"/>
                <w:szCs w:val="18"/>
              </w:rPr>
            </w:pPr>
          </w:p>
        </w:tc>
      </w:tr>
      <w:tr w:rsidR="008C63E0" w:rsidRPr="00E11348" w14:paraId="3AC38DCE" w14:textId="77777777" w:rsidTr="00414DEF">
        <w:tc>
          <w:tcPr>
            <w:tcW w:w="2411" w:type="dxa"/>
            <w:vMerge w:val="restart"/>
            <w:shd w:val="clear" w:color="auto" w:fill="FABF8F" w:themeFill="accent6" w:themeFillTint="99"/>
            <w:vAlign w:val="center"/>
          </w:tcPr>
          <w:p w14:paraId="71B8221D" w14:textId="15BEE11E" w:rsidR="008C63E0" w:rsidRPr="000D44F7" w:rsidRDefault="008C63E0" w:rsidP="006A18B0">
            <w:pPr>
              <w:spacing w:before="40" w:after="40"/>
              <w:jc w:val="center"/>
              <w:rPr>
                <w:rFonts w:cs="Arial"/>
                <w:bCs/>
                <w:spacing w:val="20"/>
                <w:sz w:val="18"/>
                <w:szCs w:val="18"/>
              </w:rPr>
            </w:pPr>
            <w:r w:rsidRPr="001F6A39">
              <w:rPr>
                <w:rFonts w:cs="Arial"/>
                <w:b/>
                <w:bCs/>
                <w:spacing w:val="20"/>
                <w:sz w:val="18"/>
                <w:szCs w:val="18"/>
              </w:rPr>
              <w:t xml:space="preserve">Magyarország Telekom </w:t>
            </w:r>
            <w:proofErr w:type="spellStart"/>
            <w:r w:rsidRPr="001F6A39">
              <w:rPr>
                <w:rFonts w:cs="Arial"/>
                <w:b/>
                <w:bCs/>
                <w:spacing w:val="20"/>
                <w:sz w:val="18"/>
                <w:szCs w:val="18"/>
              </w:rPr>
              <w:t>Nyrt</w:t>
            </w:r>
            <w:proofErr w:type="spellEnd"/>
            <w:r w:rsidRPr="001F6A39">
              <w:rPr>
                <w:rFonts w:cs="Arial"/>
                <w:b/>
                <w:sz w:val="18"/>
                <w:szCs w:val="18"/>
              </w:rPr>
              <w:t>.</w:t>
            </w:r>
          </w:p>
        </w:tc>
        <w:tc>
          <w:tcPr>
            <w:tcW w:w="1559" w:type="dxa"/>
            <w:shd w:val="clear" w:color="auto" w:fill="FABF8F" w:themeFill="accent6" w:themeFillTint="99"/>
            <w:vAlign w:val="center"/>
          </w:tcPr>
          <w:p w14:paraId="4001AC25" w14:textId="77777777" w:rsidR="008C63E0" w:rsidRPr="000D44F7" w:rsidRDefault="008C63E0" w:rsidP="00414DEF">
            <w:pPr>
              <w:spacing w:before="40" w:after="40"/>
              <w:jc w:val="center"/>
              <w:rPr>
                <w:rFonts w:cs="Arial"/>
                <w:color w:val="000000"/>
                <w:sz w:val="18"/>
                <w:szCs w:val="18"/>
              </w:rPr>
            </w:pPr>
            <w:r w:rsidRPr="000D44F7">
              <w:rPr>
                <w:rFonts w:cs="Arial"/>
                <w:color w:val="000000"/>
                <w:sz w:val="18"/>
                <w:szCs w:val="18"/>
              </w:rPr>
              <w:t>26. alapblokk</w:t>
            </w:r>
          </w:p>
        </w:tc>
        <w:tc>
          <w:tcPr>
            <w:tcW w:w="1701" w:type="dxa"/>
            <w:shd w:val="clear" w:color="auto" w:fill="FABF8F" w:themeFill="accent6" w:themeFillTint="99"/>
            <w:vAlign w:val="center"/>
          </w:tcPr>
          <w:p w14:paraId="1B35D9CA" w14:textId="77777777" w:rsidR="008C63E0" w:rsidRPr="002C4D99" w:rsidRDefault="008C63E0" w:rsidP="00414DEF">
            <w:pPr>
              <w:spacing w:before="40" w:after="40"/>
              <w:jc w:val="center"/>
              <w:rPr>
                <w:rFonts w:cs="Arial"/>
                <w:sz w:val="18"/>
                <w:szCs w:val="18"/>
              </w:rPr>
            </w:pPr>
            <w:r w:rsidRPr="002C4D99">
              <w:rPr>
                <w:rFonts w:cs="Arial"/>
                <w:sz w:val="18"/>
                <w:szCs w:val="18"/>
              </w:rPr>
              <w:t>25249-25277</w:t>
            </w:r>
          </w:p>
        </w:tc>
        <w:tc>
          <w:tcPr>
            <w:tcW w:w="1701" w:type="dxa"/>
            <w:shd w:val="clear" w:color="auto" w:fill="FABF8F" w:themeFill="accent6" w:themeFillTint="99"/>
            <w:vAlign w:val="center"/>
          </w:tcPr>
          <w:p w14:paraId="7BF0E5C2" w14:textId="77777777" w:rsidR="008C63E0" w:rsidRPr="002C4D99" w:rsidRDefault="008C63E0" w:rsidP="00414DEF">
            <w:pPr>
              <w:spacing w:before="40" w:after="40"/>
              <w:jc w:val="center"/>
              <w:rPr>
                <w:rFonts w:cs="Arial"/>
                <w:sz w:val="18"/>
                <w:szCs w:val="18"/>
              </w:rPr>
            </w:pPr>
            <w:r w:rsidRPr="002C4D99">
              <w:rPr>
                <w:rFonts w:cs="Arial"/>
                <w:sz w:val="18"/>
                <w:szCs w:val="18"/>
              </w:rPr>
              <w:t>26257-26285</w:t>
            </w:r>
          </w:p>
        </w:tc>
        <w:tc>
          <w:tcPr>
            <w:tcW w:w="2410" w:type="dxa"/>
            <w:shd w:val="clear" w:color="auto" w:fill="FABF8F" w:themeFill="accent6" w:themeFillTint="99"/>
            <w:vAlign w:val="center"/>
          </w:tcPr>
          <w:p w14:paraId="63AB3956" w14:textId="477F1B2B" w:rsidR="008C63E0" w:rsidRPr="001F6A39" w:rsidRDefault="008C63E0" w:rsidP="00175C1F">
            <w:pPr>
              <w:spacing w:before="40" w:after="40"/>
              <w:jc w:val="center"/>
              <w:rPr>
                <w:rFonts w:cs="Arial"/>
                <w:i/>
                <w:sz w:val="18"/>
                <w:szCs w:val="18"/>
              </w:rPr>
            </w:pPr>
            <w:r w:rsidRPr="001F6A39">
              <w:rPr>
                <w:rFonts w:cs="Arial"/>
                <w:i/>
                <w:sz w:val="18"/>
                <w:szCs w:val="18"/>
              </w:rPr>
              <w:t>2027</w:t>
            </w:r>
            <w:r w:rsidR="00175C1F">
              <w:rPr>
                <w:rFonts w:cs="Arial"/>
                <w:i/>
                <w:sz w:val="18"/>
                <w:szCs w:val="18"/>
              </w:rPr>
              <w:t xml:space="preserve">. 04. </w:t>
            </w:r>
            <w:r>
              <w:rPr>
                <w:rFonts w:cs="Arial"/>
                <w:i/>
                <w:sz w:val="18"/>
                <w:szCs w:val="18"/>
              </w:rPr>
              <w:t>05</w:t>
            </w:r>
            <w:r w:rsidR="00175C1F">
              <w:rPr>
                <w:rFonts w:cs="Arial"/>
                <w:i/>
                <w:sz w:val="18"/>
                <w:szCs w:val="18"/>
              </w:rPr>
              <w:t>.</w:t>
            </w:r>
          </w:p>
        </w:tc>
      </w:tr>
      <w:tr w:rsidR="008C63E0" w:rsidRPr="009F4F68" w14:paraId="43829CD4" w14:textId="77777777" w:rsidTr="00414DEF">
        <w:tc>
          <w:tcPr>
            <w:tcW w:w="2411" w:type="dxa"/>
            <w:vMerge/>
            <w:shd w:val="clear" w:color="auto" w:fill="FABF8F" w:themeFill="accent6" w:themeFillTint="99"/>
            <w:vAlign w:val="center"/>
          </w:tcPr>
          <w:p w14:paraId="7B23F172" w14:textId="77777777" w:rsidR="008C63E0" w:rsidRDefault="008C63E0" w:rsidP="00414DEF">
            <w:pPr>
              <w:jc w:val="center"/>
            </w:pPr>
          </w:p>
        </w:tc>
        <w:tc>
          <w:tcPr>
            <w:tcW w:w="1559" w:type="dxa"/>
            <w:shd w:val="clear" w:color="auto" w:fill="FABF8F" w:themeFill="accent6" w:themeFillTint="99"/>
            <w:vAlign w:val="center"/>
          </w:tcPr>
          <w:p w14:paraId="2CF2ABE9" w14:textId="77777777" w:rsidR="008C63E0" w:rsidRPr="002C4D99" w:rsidRDefault="008C63E0" w:rsidP="00414DEF">
            <w:pPr>
              <w:spacing w:before="40" w:after="40"/>
              <w:jc w:val="center"/>
              <w:rPr>
                <w:rFonts w:cs="Arial"/>
                <w:sz w:val="18"/>
                <w:szCs w:val="18"/>
              </w:rPr>
            </w:pPr>
            <w:r w:rsidRPr="002C4D99">
              <w:rPr>
                <w:rFonts w:cs="Arial"/>
                <w:sz w:val="18"/>
                <w:szCs w:val="18"/>
              </w:rPr>
              <w:t>27. alapblokk</w:t>
            </w:r>
          </w:p>
        </w:tc>
        <w:tc>
          <w:tcPr>
            <w:tcW w:w="1701" w:type="dxa"/>
            <w:shd w:val="clear" w:color="auto" w:fill="FABF8F" w:themeFill="accent6" w:themeFillTint="99"/>
            <w:vAlign w:val="center"/>
          </w:tcPr>
          <w:p w14:paraId="74B9C91B" w14:textId="77777777" w:rsidR="008C63E0" w:rsidRPr="002C4D99" w:rsidRDefault="008C63E0" w:rsidP="00414DEF">
            <w:pPr>
              <w:spacing w:before="40" w:after="40"/>
              <w:jc w:val="center"/>
              <w:rPr>
                <w:rFonts w:cs="Arial"/>
                <w:sz w:val="18"/>
                <w:szCs w:val="18"/>
              </w:rPr>
            </w:pPr>
            <w:r w:rsidRPr="002C4D99">
              <w:rPr>
                <w:rFonts w:cs="Arial"/>
                <w:sz w:val="18"/>
                <w:szCs w:val="18"/>
              </w:rPr>
              <w:t>25277-25305</w:t>
            </w:r>
          </w:p>
        </w:tc>
        <w:tc>
          <w:tcPr>
            <w:tcW w:w="1701" w:type="dxa"/>
            <w:shd w:val="clear" w:color="auto" w:fill="FABF8F" w:themeFill="accent6" w:themeFillTint="99"/>
            <w:vAlign w:val="center"/>
          </w:tcPr>
          <w:p w14:paraId="16650B3F" w14:textId="77777777" w:rsidR="008C63E0" w:rsidRPr="002C4D99" w:rsidRDefault="008C63E0" w:rsidP="00414DEF">
            <w:pPr>
              <w:spacing w:before="40" w:after="40"/>
              <w:jc w:val="center"/>
              <w:rPr>
                <w:rFonts w:cs="Arial"/>
                <w:sz w:val="18"/>
                <w:szCs w:val="18"/>
              </w:rPr>
            </w:pPr>
            <w:r w:rsidRPr="002C4D99">
              <w:rPr>
                <w:rFonts w:cs="Arial"/>
                <w:sz w:val="18"/>
                <w:szCs w:val="18"/>
              </w:rPr>
              <w:t>26285-26313</w:t>
            </w:r>
          </w:p>
        </w:tc>
        <w:tc>
          <w:tcPr>
            <w:tcW w:w="2410" w:type="dxa"/>
            <w:vMerge w:val="restart"/>
            <w:shd w:val="clear" w:color="auto" w:fill="FABF8F" w:themeFill="accent6" w:themeFillTint="99"/>
            <w:vAlign w:val="center"/>
          </w:tcPr>
          <w:p w14:paraId="1DD30564" w14:textId="1B89EDF9" w:rsidR="008C63E0" w:rsidRPr="001F6A39" w:rsidRDefault="00175C1F" w:rsidP="00175C1F">
            <w:pPr>
              <w:spacing w:before="40" w:after="40"/>
              <w:jc w:val="center"/>
              <w:rPr>
                <w:rFonts w:cs="Arial"/>
                <w:i/>
                <w:sz w:val="18"/>
                <w:szCs w:val="18"/>
              </w:rPr>
            </w:pPr>
            <w:r>
              <w:rPr>
                <w:rFonts w:cs="Arial"/>
                <w:i/>
                <w:sz w:val="18"/>
                <w:szCs w:val="18"/>
              </w:rPr>
              <w:t xml:space="preserve">2024. </w:t>
            </w:r>
            <w:r w:rsidR="008C63E0">
              <w:rPr>
                <w:rFonts w:cs="Arial"/>
                <w:i/>
                <w:sz w:val="18"/>
                <w:szCs w:val="18"/>
              </w:rPr>
              <w:t>05</w:t>
            </w:r>
            <w:r>
              <w:rPr>
                <w:rFonts w:cs="Arial"/>
                <w:i/>
                <w:sz w:val="18"/>
                <w:szCs w:val="18"/>
              </w:rPr>
              <w:t xml:space="preserve">. </w:t>
            </w:r>
            <w:r w:rsidR="008C63E0">
              <w:rPr>
                <w:rFonts w:cs="Arial"/>
                <w:i/>
                <w:sz w:val="18"/>
                <w:szCs w:val="18"/>
              </w:rPr>
              <w:t>15</w:t>
            </w:r>
            <w:r>
              <w:rPr>
                <w:rFonts w:cs="Arial"/>
                <w:i/>
                <w:sz w:val="18"/>
                <w:szCs w:val="18"/>
              </w:rPr>
              <w:t>.</w:t>
            </w:r>
          </w:p>
        </w:tc>
      </w:tr>
      <w:tr w:rsidR="008C63E0" w:rsidRPr="009F4F68" w14:paraId="0C1C89EA" w14:textId="77777777" w:rsidTr="00414DEF">
        <w:tc>
          <w:tcPr>
            <w:tcW w:w="2411" w:type="dxa"/>
            <w:vMerge/>
            <w:shd w:val="clear" w:color="auto" w:fill="FABF8F" w:themeFill="accent6" w:themeFillTint="99"/>
            <w:vAlign w:val="center"/>
          </w:tcPr>
          <w:p w14:paraId="04C74025" w14:textId="77777777" w:rsidR="008C63E0" w:rsidRDefault="008C63E0" w:rsidP="00414DEF">
            <w:pPr>
              <w:jc w:val="center"/>
            </w:pPr>
          </w:p>
        </w:tc>
        <w:tc>
          <w:tcPr>
            <w:tcW w:w="1559" w:type="dxa"/>
            <w:shd w:val="clear" w:color="auto" w:fill="FABF8F" w:themeFill="accent6" w:themeFillTint="99"/>
            <w:vAlign w:val="center"/>
          </w:tcPr>
          <w:p w14:paraId="6AF477B9" w14:textId="77777777" w:rsidR="008C63E0" w:rsidRPr="002C4D99" w:rsidRDefault="008C63E0" w:rsidP="00414DEF">
            <w:pPr>
              <w:spacing w:before="40" w:after="40"/>
              <w:jc w:val="center"/>
              <w:rPr>
                <w:rFonts w:cs="Arial"/>
                <w:sz w:val="18"/>
                <w:szCs w:val="18"/>
              </w:rPr>
            </w:pPr>
            <w:r w:rsidRPr="002C4D99">
              <w:rPr>
                <w:rFonts w:cs="Arial"/>
                <w:sz w:val="18"/>
                <w:szCs w:val="18"/>
              </w:rPr>
              <w:t>28. alapblokk</w:t>
            </w:r>
          </w:p>
        </w:tc>
        <w:tc>
          <w:tcPr>
            <w:tcW w:w="1701" w:type="dxa"/>
            <w:shd w:val="clear" w:color="auto" w:fill="FABF8F" w:themeFill="accent6" w:themeFillTint="99"/>
            <w:vAlign w:val="center"/>
          </w:tcPr>
          <w:p w14:paraId="3FA1DB75" w14:textId="77777777" w:rsidR="008C63E0" w:rsidRPr="002C4D99" w:rsidRDefault="008C63E0" w:rsidP="00414DEF">
            <w:pPr>
              <w:spacing w:before="40" w:after="40"/>
              <w:jc w:val="center"/>
              <w:rPr>
                <w:rFonts w:cs="Arial"/>
                <w:sz w:val="18"/>
                <w:szCs w:val="18"/>
              </w:rPr>
            </w:pPr>
            <w:r w:rsidRPr="002C4D99">
              <w:rPr>
                <w:rFonts w:cs="Arial"/>
                <w:sz w:val="18"/>
                <w:szCs w:val="18"/>
              </w:rPr>
              <w:t>25305-25333</w:t>
            </w:r>
          </w:p>
        </w:tc>
        <w:tc>
          <w:tcPr>
            <w:tcW w:w="1701" w:type="dxa"/>
            <w:shd w:val="clear" w:color="auto" w:fill="FABF8F" w:themeFill="accent6" w:themeFillTint="99"/>
            <w:vAlign w:val="center"/>
          </w:tcPr>
          <w:p w14:paraId="3F6CFD08" w14:textId="77777777" w:rsidR="008C63E0" w:rsidRPr="002C4D99" w:rsidRDefault="008C63E0" w:rsidP="00414DEF">
            <w:pPr>
              <w:spacing w:before="40" w:after="40"/>
              <w:jc w:val="center"/>
              <w:rPr>
                <w:rFonts w:cs="Arial"/>
                <w:sz w:val="18"/>
                <w:szCs w:val="18"/>
              </w:rPr>
            </w:pPr>
            <w:r w:rsidRPr="002C4D99">
              <w:rPr>
                <w:rFonts w:cs="Arial"/>
                <w:sz w:val="18"/>
                <w:szCs w:val="18"/>
              </w:rPr>
              <w:t>26313-26341</w:t>
            </w:r>
          </w:p>
        </w:tc>
        <w:tc>
          <w:tcPr>
            <w:tcW w:w="2410" w:type="dxa"/>
            <w:vMerge/>
            <w:shd w:val="clear" w:color="auto" w:fill="FABF8F" w:themeFill="accent6" w:themeFillTint="99"/>
            <w:vAlign w:val="center"/>
          </w:tcPr>
          <w:p w14:paraId="5333FA77" w14:textId="77777777" w:rsidR="008C63E0" w:rsidRPr="002C4D99" w:rsidRDefault="008C63E0" w:rsidP="00414DEF">
            <w:pPr>
              <w:spacing w:before="40" w:after="40"/>
              <w:jc w:val="center"/>
              <w:rPr>
                <w:rFonts w:cs="Arial"/>
                <w:sz w:val="18"/>
                <w:szCs w:val="18"/>
              </w:rPr>
            </w:pPr>
          </w:p>
        </w:tc>
      </w:tr>
      <w:tr w:rsidR="008C63E0" w:rsidRPr="009F4F68" w14:paraId="2564D53B" w14:textId="77777777" w:rsidTr="00414DEF">
        <w:tc>
          <w:tcPr>
            <w:tcW w:w="2411" w:type="dxa"/>
            <w:vMerge/>
            <w:shd w:val="clear" w:color="auto" w:fill="FABF8F" w:themeFill="accent6" w:themeFillTint="99"/>
            <w:vAlign w:val="center"/>
          </w:tcPr>
          <w:p w14:paraId="3DE391F3" w14:textId="77777777" w:rsidR="008C63E0" w:rsidRDefault="008C63E0" w:rsidP="00414DEF">
            <w:pPr>
              <w:jc w:val="center"/>
            </w:pPr>
          </w:p>
        </w:tc>
        <w:tc>
          <w:tcPr>
            <w:tcW w:w="1559" w:type="dxa"/>
            <w:shd w:val="clear" w:color="auto" w:fill="FABF8F" w:themeFill="accent6" w:themeFillTint="99"/>
            <w:vAlign w:val="center"/>
          </w:tcPr>
          <w:p w14:paraId="5E62FD1A" w14:textId="77777777" w:rsidR="008C63E0" w:rsidRPr="002C4D99" w:rsidRDefault="008C63E0" w:rsidP="00414DEF">
            <w:pPr>
              <w:spacing w:before="40" w:after="40"/>
              <w:jc w:val="center"/>
              <w:rPr>
                <w:rFonts w:cs="Arial"/>
                <w:sz w:val="18"/>
                <w:szCs w:val="18"/>
              </w:rPr>
            </w:pPr>
            <w:r w:rsidRPr="002C4D99">
              <w:rPr>
                <w:rFonts w:cs="Arial"/>
                <w:sz w:val="18"/>
                <w:szCs w:val="18"/>
              </w:rPr>
              <w:t>29. alapblokk</w:t>
            </w:r>
          </w:p>
        </w:tc>
        <w:tc>
          <w:tcPr>
            <w:tcW w:w="1701" w:type="dxa"/>
            <w:shd w:val="clear" w:color="auto" w:fill="FABF8F" w:themeFill="accent6" w:themeFillTint="99"/>
            <w:vAlign w:val="center"/>
          </w:tcPr>
          <w:p w14:paraId="1694C8E2" w14:textId="77777777" w:rsidR="008C63E0" w:rsidRPr="002C4D99" w:rsidRDefault="008C63E0" w:rsidP="00414DEF">
            <w:pPr>
              <w:spacing w:before="40" w:after="40"/>
              <w:jc w:val="center"/>
              <w:rPr>
                <w:rFonts w:cs="Arial"/>
                <w:sz w:val="18"/>
                <w:szCs w:val="18"/>
              </w:rPr>
            </w:pPr>
            <w:r w:rsidRPr="002C4D99">
              <w:rPr>
                <w:rFonts w:cs="Arial"/>
                <w:sz w:val="18"/>
                <w:szCs w:val="18"/>
              </w:rPr>
              <w:t>25333-25361</w:t>
            </w:r>
          </w:p>
        </w:tc>
        <w:tc>
          <w:tcPr>
            <w:tcW w:w="1701" w:type="dxa"/>
            <w:shd w:val="clear" w:color="auto" w:fill="FABF8F" w:themeFill="accent6" w:themeFillTint="99"/>
            <w:vAlign w:val="center"/>
          </w:tcPr>
          <w:p w14:paraId="64EB31EF" w14:textId="77777777" w:rsidR="008C63E0" w:rsidRPr="002C4D99" w:rsidRDefault="008C63E0" w:rsidP="00414DEF">
            <w:pPr>
              <w:spacing w:before="40" w:after="40"/>
              <w:jc w:val="center"/>
              <w:rPr>
                <w:rFonts w:cs="Arial"/>
                <w:sz w:val="18"/>
                <w:szCs w:val="18"/>
              </w:rPr>
            </w:pPr>
            <w:r w:rsidRPr="002C4D99">
              <w:rPr>
                <w:rFonts w:cs="Arial"/>
                <w:sz w:val="18"/>
                <w:szCs w:val="18"/>
              </w:rPr>
              <w:t>26341-26369</w:t>
            </w:r>
          </w:p>
        </w:tc>
        <w:tc>
          <w:tcPr>
            <w:tcW w:w="2410" w:type="dxa"/>
            <w:vMerge/>
            <w:shd w:val="clear" w:color="auto" w:fill="FABF8F" w:themeFill="accent6" w:themeFillTint="99"/>
            <w:vAlign w:val="center"/>
          </w:tcPr>
          <w:p w14:paraId="2DE781A1" w14:textId="77777777" w:rsidR="008C63E0" w:rsidRPr="002C4D99" w:rsidRDefault="008C63E0" w:rsidP="00414DEF">
            <w:pPr>
              <w:spacing w:before="40" w:after="40"/>
              <w:jc w:val="center"/>
              <w:rPr>
                <w:rFonts w:cs="Arial"/>
                <w:sz w:val="18"/>
                <w:szCs w:val="18"/>
              </w:rPr>
            </w:pPr>
          </w:p>
        </w:tc>
      </w:tr>
      <w:tr w:rsidR="008C63E0" w:rsidRPr="00E11348" w14:paraId="19FF4B47" w14:textId="77777777" w:rsidTr="00414DEF">
        <w:tc>
          <w:tcPr>
            <w:tcW w:w="2411" w:type="dxa"/>
            <w:shd w:val="clear" w:color="auto" w:fill="auto"/>
            <w:vAlign w:val="center"/>
          </w:tcPr>
          <w:p w14:paraId="285506CF" w14:textId="77777777" w:rsidR="008C63E0" w:rsidRPr="000D44F7" w:rsidRDefault="008C63E0" w:rsidP="00414DEF">
            <w:pPr>
              <w:spacing w:before="40" w:after="40"/>
              <w:jc w:val="center"/>
              <w:rPr>
                <w:rFonts w:cs="Arial"/>
                <w:bCs/>
                <w:spacing w:val="20"/>
                <w:sz w:val="18"/>
                <w:szCs w:val="18"/>
              </w:rPr>
            </w:pPr>
            <w:r w:rsidRPr="000D44F7">
              <w:rPr>
                <w:rFonts w:cs="Arial"/>
                <w:sz w:val="18"/>
                <w:szCs w:val="18"/>
              </w:rPr>
              <w:t>VÉDŐSÁV</w:t>
            </w:r>
          </w:p>
        </w:tc>
        <w:tc>
          <w:tcPr>
            <w:tcW w:w="1559" w:type="dxa"/>
            <w:shd w:val="clear" w:color="auto" w:fill="auto"/>
            <w:vAlign w:val="center"/>
          </w:tcPr>
          <w:p w14:paraId="60F30CE3" w14:textId="77777777" w:rsidR="008C63E0" w:rsidRPr="000D44F7" w:rsidRDefault="008C63E0" w:rsidP="00414DEF">
            <w:pPr>
              <w:keepNext/>
              <w:spacing w:before="40" w:after="40"/>
              <w:jc w:val="center"/>
              <w:rPr>
                <w:rFonts w:cs="Arial"/>
                <w:color w:val="000000"/>
                <w:sz w:val="18"/>
                <w:szCs w:val="18"/>
              </w:rPr>
            </w:pPr>
            <w:r w:rsidRPr="000D44F7">
              <w:rPr>
                <w:rFonts w:cs="Arial"/>
                <w:color w:val="000000"/>
                <w:sz w:val="18"/>
                <w:szCs w:val="18"/>
              </w:rPr>
              <w:t>30. alapblokk</w:t>
            </w:r>
          </w:p>
        </w:tc>
        <w:tc>
          <w:tcPr>
            <w:tcW w:w="1701" w:type="dxa"/>
            <w:shd w:val="clear" w:color="auto" w:fill="auto"/>
            <w:vAlign w:val="center"/>
          </w:tcPr>
          <w:p w14:paraId="67424A90" w14:textId="77777777" w:rsidR="008C63E0" w:rsidRPr="002C4D99" w:rsidRDefault="008C63E0" w:rsidP="00414DEF">
            <w:pPr>
              <w:keepNext/>
              <w:spacing w:before="40" w:after="40"/>
              <w:jc w:val="center"/>
              <w:rPr>
                <w:rFonts w:cs="Arial"/>
                <w:sz w:val="18"/>
                <w:szCs w:val="18"/>
              </w:rPr>
            </w:pPr>
            <w:r w:rsidRPr="002C4D99">
              <w:rPr>
                <w:rFonts w:cs="Arial"/>
                <w:sz w:val="18"/>
                <w:szCs w:val="18"/>
              </w:rPr>
              <w:t>25361-25389</w:t>
            </w:r>
          </w:p>
        </w:tc>
        <w:tc>
          <w:tcPr>
            <w:tcW w:w="1701" w:type="dxa"/>
            <w:shd w:val="clear" w:color="auto" w:fill="auto"/>
            <w:vAlign w:val="center"/>
          </w:tcPr>
          <w:p w14:paraId="753357F1" w14:textId="77777777" w:rsidR="008C63E0" w:rsidRPr="002C4D99" w:rsidRDefault="008C63E0" w:rsidP="00414DEF">
            <w:pPr>
              <w:keepNext/>
              <w:spacing w:before="40" w:after="40"/>
              <w:jc w:val="center"/>
              <w:rPr>
                <w:rFonts w:cs="Arial"/>
                <w:sz w:val="18"/>
                <w:szCs w:val="18"/>
              </w:rPr>
            </w:pPr>
            <w:r w:rsidRPr="002C4D99">
              <w:rPr>
                <w:rFonts w:cs="Arial"/>
                <w:sz w:val="18"/>
                <w:szCs w:val="18"/>
              </w:rPr>
              <w:t>26369-26397</w:t>
            </w:r>
          </w:p>
        </w:tc>
        <w:tc>
          <w:tcPr>
            <w:tcW w:w="2410" w:type="dxa"/>
            <w:shd w:val="clear" w:color="auto" w:fill="auto"/>
            <w:vAlign w:val="center"/>
          </w:tcPr>
          <w:p w14:paraId="4DC1AC64" w14:textId="77777777" w:rsidR="008C63E0" w:rsidRPr="000D44F7" w:rsidRDefault="008C63E0" w:rsidP="00414DEF">
            <w:pPr>
              <w:spacing w:before="40" w:after="40"/>
              <w:jc w:val="center"/>
              <w:rPr>
                <w:rFonts w:cs="Arial"/>
                <w:sz w:val="18"/>
                <w:szCs w:val="18"/>
              </w:rPr>
            </w:pPr>
          </w:p>
        </w:tc>
      </w:tr>
      <w:tr w:rsidR="008C63E0" w14:paraId="4BBBE260" w14:textId="77777777" w:rsidTr="00295A10">
        <w:tc>
          <w:tcPr>
            <w:tcW w:w="2411" w:type="dxa"/>
            <w:vMerge w:val="restart"/>
            <w:shd w:val="clear" w:color="auto" w:fill="DDD9C3" w:themeFill="background2" w:themeFillShade="E6"/>
            <w:vAlign w:val="center"/>
          </w:tcPr>
          <w:p w14:paraId="42BCC1B2" w14:textId="0458E7A8" w:rsidR="008C63E0" w:rsidRPr="002C4D99" w:rsidRDefault="008C63E0" w:rsidP="006A18B0">
            <w:pPr>
              <w:spacing w:before="40" w:after="40"/>
              <w:jc w:val="center"/>
              <w:rPr>
                <w:rFonts w:cs="Arial"/>
                <w:bCs/>
                <w:spacing w:val="20"/>
                <w:sz w:val="18"/>
                <w:szCs w:val="18"/>
              </w:rPr>
            </w:pPr>
            <w:proofErr w:type="spellStart"/>
            <w:r>
              <w:rPr>
                <w:rFonts w:cs="Arial"/>
                <w:b/>
                <w:sz w:val="18"/>
                <w:szCs w:val="18"/>
              </w:rPr>
              <w:t>Digi</w:t>
            </w:r>
            <w:proofErr w:type="spellEnd"/>
            <w:r>
              <w:rPr>
                <w:rFonts w:cs="Arial"/>
                <w:b/>
                <w:sz w:val="18"/>
                <w:szCs w:val="18"/>
              </w:rPr>
              <w:t xml:space="preserve"> Kft.</w:t>
            </w:r>
          </w:p>
        </w:tc>
        <w:tc>
          <w:tcPr>
            <w:tcW w:w="1559" w:type="dxa"/>
            <w:shd w:val="clear" w:color="auto" w:fill="DDD9C3" w:themeFill="background2" w:themeFillShade="E6"/>
            <w:vAlign w:val="center"/>
          </w:tcPr>
          <w:p w14:paraId="5E5F9BDC" w14:textId="77777777" w:rsidR="008C63E0" w:rsidRPr="002C4D99" w:rsidRDefault="008C63E0" w:rsidP="00414DEF">
            <w:pPr>
              <w:spacing w:before="40" w:after="40"/>
              <w:jc w:val="center"/>
              <w:rPr>
                <w:rFonts w:cs="Arial"/>
                <w:sz w:val="18"/>
                <w:szCs w:val="18"/>
              </w:rPr>
            </w:pPr>
            <w:r w:rsidRPr="002C4D99">
              <w:rPr>
                <w:rFonts w:cs="Arial"/>
                <w:sz w:val="18"/>
                <w:szCs w:val="18"/>
              </w:rPr>
              <w:t>31. alapblokk</w:t>
            </w:r>
          </w:p>
        </w:tc>
        <w:tc>
          <w:tcPr>
            <w:tcW w:w="1701" w:type="dxa"/>
            <w:shd w:val="clear" w:color="auto" w:fill="DDD9C3" w:themeFill="background2" w:themeFillShade="E6"/>
            <w:vAlign w:val="center"/>
          </w:tcPr>
          <w:p w14:paraId="14EB2ABB" w14:textId="77777777" w:rsidR="008C63E0" w:rsidRPr="002C4D99" w:rsidRDefault="008C63E0" w:rsidP="00414DEF">
            <w:pPr>
              <w:keepNext/>
              <w:spacing w:before="40" w:after="40"/>
              <w:jc w:val="center"/>
              <w:rPr>
                <w:rFonts w:cs="Arial"/>
                <w:sz w:val="18"/>
                <w:szCs w:val="18"/>
              </w:rPr>
            </w:pPr>
            <w:r w:rsidRPr="002C4D99">
              <w:rPr>
                <w:rFonts w:cs="Arial"/>
                <w:sz w:val="18"/>
                <w:szCs w:val="18"/>
              </w:rPr>
              <w:t>25389-25417</w:t>
            </w:r>
          </w:p>
        </w:tc>
        <w:tc>
          <w:tcPr>
            <w:tcW w:w="1701" w:type="dxa"/>
            <w:shd w:val="clear" w:color="auto" w:fill="DDD9C3" w:themeFill="background2" w:themeFillShade="E6"/>
            <w:vAlign w:val="center"/>
          </w:tcPr>
          <w:p w14:paraId="1CD2F950" w14:textId="77777777" w:rsidR="008C63E0" w:rsidRPr="002C4D99" w:rsidRDefault="008C63E0" w:rsidP="00414DEF">
            <w:pPr>
              <w:spacing w:before="40" w:after="40"/>
              <w:jc w:val="center"/>
              <w:rPr>
                <w:rFonts w:eastAsia="Arial Unicode MS" w:cs="Arial"/>
                <w:sz w:val="18"/>
                <w:szCs w:val="18"/>
              </w:rPr>
            </w:pPr>
            <w:r w:rsidRPr="002C4D99">
              <w:rPr>
                <w:rFonts w:cs="Arial"/>
                <w:sz w:val="18"/>
                <w:szCs w:val="18"/>
              </w:rPr>
              <w:t>26397-26425</w:t>
            </w:r>
          </w:p>
        </w:tc>
        <w:tc>
          <w:tcPr>
            <w:tcW w:w="2410" w:type="dxa"/>
            <w:vMerge w:val="restart"/>
            <w:shd w:val="clear" w:color="auto" w:fill="DDD9C3" w:themeFill="background2" w:themeFillShade="E6"/>
            <w:vAlign w:val="center"/>
          </w:tcPr>
          <w:p w14:paraId="64B34070" w14:textId="38777084" w:rsidR="008C63E0" w:rsidRPr="001F6A39" w:rsidRDefault="008C63E0" w:rsidP="00175C1F">
            <w:pPr>
              <w:spacing w:before="40" w:after="40"/>
              <w:jc w:val="center"/>
              <w:rPr>
                <w:rFonts w:cs="Arial"/>
                <w:i/>
                <w:sz w:val="18"/>
                <w:szCs w:val="18"/>
              </w:rPr>
            </w:pPr>
            <w:r w:rsidRPr="001F6A39">
              <w:rPr>
                <w:rFonts w:cs="Arial"/>
                <w:i/>
                <w:sz w:val="18"/>
                <w:szCs w:val="18"/>
              </w:rPr>
              <w:t>2027</w:t>
            </w:r>
            <w:r w:rsidR="00175C1F">
              <w:rPr>
                <w:rFonts w:cs="Arial"/>
                <w:i/>
                <w:sz w:val="18"/>
                <w:szCs w:val="18"/>
              </w:rPr>
              <w:t xml:space="preserve">. 04. </w:t>
            </w:r>
            <w:r>
              <w:rPr>
                <w:rFonts w:cs="Arial"/>
                <w:i/>
                <w:sz w:val="18"/>
                <w:szCs w:val="18"/>
              </w:rPr>
              <w:t>05</w:t>
            </w:r>
            <w:r w:rsidR="00175C1F">
              <w:rPr>
                <w:rFonts w:cs="Arial"/>
                <w:i/>
                <w:sz w:val="18"/>
                <w:szCs w:val="18"/>
              </w:rPr>
              <w:t>.</w:t>
            </w:r>
          </w:p>
        </w:tc>
      </w:tr>
      <w:tr w:rsidR="008C63E0" w14:paraId="45A4538E" w14:textId="77777777" w:rsidTr="00414DEF">
        <w:tc>
          <w:tcPr>
            <w:tcW w:w="2411" w:type="dxa"/>
            <w:vMerge/>
            <w:shd w:val="clear" w:color="auto" w:fill="DDD9C3" w:themeFill="background2" w:themeFillShade="E6"/>
            <w:vAlign w:val="center"/>
          </w:tcPr>
          <w:p w14:paraId="01E866FA" w14:textId="77777777" w:rsidR="008C63E0" w:rsidRPr="002C4D99" w:rsidRDefault="008C63E0" w:rsidP="00414DEF">
            <w:pPr>
              <w:spacing w:before="40" w:after="40"/>
              <w:jc w:val="center"/>
              <w:rPr>
                <w:rFonts w:cs="Arial"/>
                <w:bCs/>
                <w:spacing w:val="20"/>
                <w:sz w:val="18"/>
                <w:szCs w:val="18"/>
              </w:rPr>
            </w:pPr>
          </w:p>
        </w:tc>
        <w:tc>
          <w:tcPr>
            <w:tcW w:w="1559" w:type="dxa"/>
            <w:shd w:val="clear" w:color="auto" w:fill="DDD9C3" w:themeFill="background2" w:themeFillShade="E6"/>
            <w:vAlign w:val="center"/>
          </w:tcPr>
          <w:p w14:paraId="4BC34017" w14:textId="77777777" w:rsidR="008C63E0" w:rsidRPr="002C4D99" w:rsidRDefault="008C63E0" w:rsidP="00414DEF">
            <w:pPr>
              <w:spacing w:before="40" w:after="40"/>
              <w:jc w:val="center"/>
              <w:rPr>
                <w:rFonts w:cs="Arial"/>
                <w:sz w:val="18"/>
                <w:szCs w:val="18"/>
              </w:rPr>
            </w:pPr>
            <w:r w:rsidRPr="002C4D99">
              <w:rPr>
                <w:rFonts w:cs="Arial"/>
                <w:sz w:val="18"/>
                <w:szCs w:val="18"/>
              </w:rPr>
              <w:t>32. alapblokk</w:t>
            </w:r>
          </w:p>
        </w:tc>
        <w:tc>
          <w:tcPr>
            <w:tcW w:w="1701" w:type="dxa"/>
            <w:shd w:val="clear" w:color="auto" w:fill="DDD9C3" w:themeFill="background2" w:themeFillShade="E6"/>
            <w:vAlign w:val="center"/>
          </w:tcPr>
          <w:p w14:paraId="1C7E7FD6" w14:textId="77777777" w:rsidR="008C63E0" w:rsidRPr="002C4D99" w:rsidRDefault="008C63E0" w:rsidP="00414DEF">
            <w:pPr>
              <w:keepNext/>
              <w:spacing w:before="40" w:after="40"/>
              <w:jc w:val="center"/>
              <w:rPr>
                <w:rFonts w:cs="Arial"/>
                <w:sz w:val="18"/>
                <w:szCs w:val="18"/>
              </w:rPr>
            </w:pPr>
            <w:r w:rsidRPr="002C4D99">
              <w:rPr>
                <w:rFonts w:cs="Arial"/>
                <w:sz w:val="18"/>
                <w:szCs w:val="18"/>
              </w:rPr>
              <w:t>25417-25445</w:t>
            </w:r>
          </w:p>
        </w:tc>
        <w:tc>
          <w:tcPr>
            <w:tcW w:w="1701" w:type="dxa"/>
            <w:shd w:val="clear" w:color="auto" w:fill="DDD9C3" w:themeFill="background2" w:themeFillShade="E6"/>
            <w:vAlign w:val="center"/>
          </w:tcPr>
          <w:p w14:paraId="3BFAF82E" w14:textId="77777777" w:rsidR="008C63E0" w:rsidRPr="002C4D99" w:rsidRDefault="008C63E0" w:rsidP="00414DEF">
            <w:pPr>
              <w:spacing w:before="40" w:after="40"/>
              <w:jc w:val="center"/>
              <w:rPr>
                <w:rFonts w:eastAsia="Arial Unicode MS" w:cs="Arial"/>
                <w:sz w:val="18"/>
                <w:szCs w:val="18"/>
              </w:rPr>
            </w:pPr>
            <w:r w:rsidRPr="002C4D99">
              <w:rPr>
                <w:rFonts w:cs="Arial"/>
                <w:sz w:val="18"/>
                <w:szCs w:val="18"/>
              </w:rPr>
              <w:t>26425-26453</w:t>
            </w:r>
          </w:p>
        </w:tc>
        <w:tc>
          <w:tcPr>
            <w:tcW w:w="2410" w:type="dxa"/>
            <w:vMerge/>
            <w:shd w:val="clear" w:color="auto" w:fill="DDD9C3" w:themeFill="background2" w:themeFillShade="E6"/>
            <w:vAlign w:val="center"/>
          </w:tcPr>
          <w:p w14:paraId="260FC279" w14:textId="77777777" w:rsidR="008C63E0" w:rsidRPr="002C4D99" w:rsidRDefault="008C63E0" w:rsidP="00414DEF">
            <w:pPr>
              <w:spacing w:before="40" w:after="40"/>
              <w:jc w:val="center"/>
              <w:rPr>
                <w:rFonts w:cs="Arial"/>
                <w:sz w:val="18"/>
                <w:szCs w:val="18"/>
              </w:rPr>
            </w:pPr>
          </w:p>
        </w:tc>
      </w:tr>
    </w:tbl>
    <w:p w14:paraId="726D9E03" w14:textId="0BD7A7CE" w:rsidR="008C63E0" w:rsidRDefault="008C63E0" w:rsidP="00702FCC">
      <w:pPr>
        <w:pStyle w:val="Behzottbekezdsnmhh"/>
        <w:spacing w:before="120"/>
      </w:pPr>
      <w:r>
        <w:t xml:space="preserve">A 12. és 13. alapblokkra vonatkozó </w:t>
      </w:r>
      <w:r w:rsidR="005E5163">
        <w:t>rádióspektrum-</w:t>
      </w:r>
      <w:r>
        <w:t>használati jogosultsá</w:t>
      </w:r>
      <w:r w:rsidR="001C0301">
        <w:t>g 2019-ben lejárt, a</w:t>
      </w:r>
      <w:r>
        <w:t xml:space="preserve"> jogosult </w:t>
      </w:r>
      <w:r w:rsidR="001C0301">
        <w:t>(</w:t>
      </w:r>
      <w:r>
        <w:t xml:space="preserve">Antenna Hungária </w:t>
      </w:r>
      <w:proofErr w:type="spellStart"/>
      <w:r>
        <w:t>Zrt</w:t>
      </w:r>
      <w:proofErr w:type="spellEnd"/>
      <w:r>
        <w:t>.</w:t>
      </w:r>
      <w:r w:rsidR="001C0301">
        <w:t>)</w:t>
      </w:r>
      <w:r>
        <w:t xml:space="preserve"> nem élt az 5 éves hosszabbítás lehetőségével, ezért ez a két alapblokk jelenleg </w:t>
      </w:r>
      <w:r>
        <w:lastRenderedPageBreak/>
        <w:t xml:space="preserve">nem elosztott, azaz üres. A Magyarország Telekom </w:t>
      </w:r>
      <w:proofErr w:type="spellStart"/>
      <w:r>
        <w:t>Nyrt</w:t>
      </w:r>
      <w:proofErr w:type="spellEnd"/>
      <w:r>
        <w:t xml:space="preserve">. 27-29. alapblokkjára vonatkozó </w:t>
      </w:r>
      <w:r w:rsidR="005E5163">
        <w:t>rádióspektrum-</w:t>
      </w:r>
      <w:r>
        <w:t xml:space="preserve">használati jogosultság szintén 2019-ben járt le, amely 5 évvel meghosszabbításra került, így az erre vonatkozó engedély 2024-ben jár le. A többi </w:t>
      </w:r>
      <w:r w:rsidR="005E5163">
        <w:t>rádióspektrum-</w:t>
      </w:r>
      <w:r>
        <w:t xml:space="preserve">használati jogosultság 2027-ben jár le. </w:t>
      </w:r>
    </w:p>
    <w:p w14:paraId="1017DA12" w14:textId="0FECCF36" w:rsidR="00D43693" w:rsidRDefault="00D43693" w:rsidP="00D43693">
      <w:pPr>
        <w:pStyle w:val="Behzottbekezdsnmhh"/>
      </w:pPr>
      <w:r>
        <w:t>A jelenlegi rádióspektrum-használati jogosultságok az alábbi spektrummennyiségek</w:t>
      </w:r>
      <w:r w:rsidR="00132507">
        <w:t xml:space="preserve"> </w:t>
      </w:r>
      <w:r w:rsidR="004F25E2">
        <w:t>szerint oszlanak meg</w:t>
      </w:r>
      <w:r w:rsidR="00132507">
        <w:t xml:space="preserve"> </w:t>
      </w:r>
      <w:r w:rsidR="004F25E2">
        <w:t>jogosultak között</w:t>
      </w:r>
      <w:r>
        <w:t>:</w:t>
      </w:r>
    </w:p>
    <w:p w14:paraId="7E15A98B" w14:textId="0765CA49" w:rsidR="00D43693" w:rsidRPr="0015072A" w:rsidRDefault="00172E2E" w:rsidP="00D43693">
      <w:pPr>
        <w:pStyle w:val="Listaszerbekezds"/>
        <w:numPr>
          <w:ilvl w:val="0"/>
          <w:numId w:val="36"/>
        </w:numPr>
        <w:spacing w:line="240" w:lineRule="auto"/>
        <w:rPr>
          <w:sz w:val="20"/>
          <w:szCs w:val="20"/>
        </w:rPr>
      </w:pPr>
      <w:r>
        <w:rPr>
          <w:sz w:val="20"/>
          <w:szCs w:val="20"/>
        </w:rPr>
        <w:t xml:space="preserve">Magyar Telekom </w:t>
      </w:r>
      <w:proofErr w:type="spellStart"/>
      <w:r>
        <w:rPr>
          <w:sz w:val="20"/>
          <w:szCs w:val="20"/>
        </w:rPr>
        <w:t>Nyrt</w:t>
      </w:r>
      <w:proofErr w:type="spellEnd"/>
      <w:proofErr w:type="gramStart"/>
      <w:r>
        <w:rPr>
          <w:sz w:val="20"/>
          <w:szCs w:val="20"/>
        </w:rPr>
        <w:t>.</w:t>
      </w:r>
      <w:r w:rsidR="00D43693">
        <w:rPr>
          <w:sz w:val="20"/>
          <w:szCs w:val="20"/>
        </w:rPr>
        <w:t>:</w:t>
      </w:r>
      <w:proofErr w:type="gramEnd"/>
      <w:r w:rsidR="00D43693">
        <w:rPr>
          <w:sz w:val="20"/>
          <w:szCs w:val="20"/>
        </w:rPr>
        <w:t xml:space="preserve"> 2×168 MHz összesen, amiből</w:t>
      </w:r>
      <w:r w:rsidR="00D43693" w:rsidRPr="0015072A">
        <w:rPr>
          <w:sz w:val="20"/>
          <w:szCs w:val="20"/>
        </w:rPr>
        <w:t xml:space="preserve"> 2×84</w:t>
      </w:r>
      <w:r w:rsidR="00D43693">
        <w:rPr>
          <w:sz w:val="20"/>
          <w:szCs w:val="20"/>
        </w:rPr>
        <w:t xml:space="preserve"> MHz jogosultság 2024-ben lejár</w:t>
      </w:r>
      <w:r w:rsidR="00796A84">
        <w:rPr>
          <w:sz w:val="20"/>
          <w:szCs w:val="20"/>
        </w:rPr>
        <w:t>.</w:t>
      </w:r>
    </w:p>
    <w:p w14:paraId="201644DD" w14:textId="06EAD038" w:rsidR="00D43693" w:rsidRPr="003F137A" w:rsidRDefault="00D43693" w:rsidP="00D43693">
      <w:pPr>
        <w:pStyle w:val="Listaszerbekezds"/>
        <w:numPr>
          <w:ilvl w:val="0"/>
          <w:numId w:val="36"/>
        </w:numPr>
        <w:spacing w:line="240" w:lineRule="auto"/>
        <w:rPr>
          <w:sz w:val="20"/>
          <w:szCs w:val="20"/>
        </w:rPr>
      </w:pPr>
      <w:proofErr w:type="spellStart"/>
      <w:r w:rsidRPr="003F137A">
        <w:rPr>
          <w:sz w:val="20"/>
          <w:szCs w:val="20"/>
        </w:rPr>
        <w:t>Telenor</w:t>
      </w:r>
      <w:proofErr w:type="spellEnd"/>
      <w:r w:rsidR="00172E2E">
        <w:rPr>
          <w:sz w:val="20"/>
          <w:szCs w:val="20"/>
        </w:rPr>
        <w:t xml:space="preserve"> Magyarország </w:t>
      </w:r>
      <w:proofErr w:type="spellStart"/>
      <w:r w:rsidR="00172E2E">
        <w:rPr>
          <w:sz w:val="20"/>
          <w:szCs w:val="20"/>
        </w:rPr>
        <w:t>Zrt</w:t>
      </w:r>
      <w:proofErr w:type="spellEnd"/>
      <w:proofErr w:type="gramStart"/>
      <w:r w:rsidR="00172E2E">
        <w:rPr>
          <w:sz w:val="20"/>
          <w:szCs w:val="20"/>
        </w:rPr>
        <w:t>.</w:t>
      </w:r>
      <w:r w:rsidRPr="003F137A">
        <w:rPr>
          <w:sz w:val="20"/>
          <w:szCs w:val="20"/>
        </w:rPr>
        <w:t>:</w:t>
      </w:r>
      <w:proofErr w:type="gramEnd"/>
      <w:r w:rsidRPr="003F137A">
        <w:rPr>
          <w:sz w:val="20"/>
          <w:szCs w:val="20"/>
        </w:rPr>
        <w:t xml:space="preserve"> 2×112 MHz</w:t>
      </w:r>
    </w:p>
    <w:p w14:paraId="115CA66F" w14:textId="136C267E" w:rsidR="00D43693" w:rsidRPr="003F137A" w:rsidRDefault="00D43693" w:rsidP="00D43693">
      <w:pPr>
        <w:pStyle w:val="Listaszerbekezds"/>
        <w:numPr>
          <w:ilvl w:val="0"/>
          <w:numId w:val="36"/>
        </w:numPr>
        <w:spacing w:line="240" w:lineRule="auto"/>
        <w:rPr>
          <w:sz w:val="20"/>
          <w:szCs w:val="20"/>
        </w:rPr>
      </w:pPr>
      <w:r w:rsidRPr="003F137A">
        <w:rPr>
          <w:sz w:val="20"/>
          <w:szCs w:val="20"/>
        </w:rPr>
        <w:t>Vodafone</w:t>
      </w:r>
      <w:r w:rsidR="00172E2E">
        <w:rPr>
          <w:sz w:val="20"/>
          <w:szCs w:val="20"/>
        </w:rPr>
        <w:t xml:space="preserve"> Magyarország </w:t>
      </w:r>
      <w:proofErr w:type="spellStart"/>
      <w:r w:rsidR="00172E2E">
        <w:rPr>
          <w:sz w:val="20"/>
          <w:szCs w:val="20"/>
        </w:rPr>
        <w:t>Zrt</w:t>
      </w:r>
      <w:proofErr w:type="spellEnd"/>
      <w:proofErr w:type="gramStart"/>
      <w:r w:rsidR="00172E2E">
        <w:rPr>
          <w:sz w:val="20"/>
          <w:szCs w:val="20"/>
        </w:rPr>
        <w:t>.</w:t>
      </w:r>
      <w:r w:rsidRPr="003F137A">
        <w:rPr>
          <w:sz w:val="20"/>
          <w:szCs w:val="20"/>
        </w:rPr>
        <w:t>:</w:t>
      </w:r>
      <w:proofErr w:type="gramEnd"/>
      <w:r w:rsidRPr="003F137A">
        <w:rPr>
          <w:sz w:val="20"/>
          <w:szCs w:val="20"/>
        </w:rPr>
        <w:t xml:space="preserve"> 2×168 MHz</w:t>
      </w:r>
    </w:p>
    <w:p w14:paraId="2A69A321" w14:textId="64975849" w:rsidR="00D43693" w:rsidRPr="003F137A" w:rsidRDefault="00D43693" w:rsidP="00D43693">
      <w:pPr>
        <w:pStyle w:val="Listaszerbekezds"/>
        <w:numPr>
          <w:ilvl w:val="0"/>
          <w:numId w:val="36"/>
        </w:numPr>
        <w:spacing w:line="240" w:lineRule="auto"/>
        <w:rPr>
          <w:sz w:val="20"/>
          <w:szCs w:val="20"/>
        </w:rPr>
      </w:pPr>
      <w:r>
        <w:rPr>
          <w:sz w:val="20"/>
          <w:szCs w:val="20"/>
        </w:rPr>
        <w:t>Antenna Hungária</w:t>
      </w:r>
      <w:r w:rsidR="00172E2E">
        <w:rPr>
          <w:sz w:val="20"/>
          <w:szCs w:val="20"/>
        </w:rPr>
        <w:t xml:space="preserve"> </w:t>
      </w:r>
      <w:proofErr w:type="spellStart"/>
      <w:r w:rsidR="00172E2E">
        <w:rPr>
          <w:sz w:val="20"/>
          <w:szCs w:val="20"/>
        </w:rPr>
        <w:t>Zrt</w:t>
      </w:r>
      <w:proofErr w:type="spellEnd"/>
      <w:proofErr w:type="gramStart"/>
      <w:r w:rsidR="00172E2E">
        <w:rPr>
          <w:sz w:val="20"/>
          <w:szCs w:val="20"/>
        </w:rPr>
        <w:t>.</w:t>
      </w:r>
      <w:r w:rsidRPr="003F137A">
        <w:rPr>
          <w:sz w:val="20"/>
          <w:szCs w:val="20"/>
        </w:rPr>
        <w:t>:</w:t>
      </w:r>
      <w:proofErr w:type="gramEnd"/>
      <w:r w:rsidRPr="003F137A">
        <w:rPr>
          <w:sz w:val="20"/>
          <w:szCs w:val="20"/>
        </w:rPr>
        <w:t xml:space="preserve"> 2×112 MHz</w:t>
      </w:r>
    </w:p>
    <w:p w14:paraId="31A3E24F" w14:textId="4BE4B03F" w:rsidR="00D43693" w:rsidRDefault="00D43693" w:rsidP="00D43693">
      <w:pPr>
        <w:pStyle w:val="Listaszerbekezds"/>
        <w:numPr>
          <w:ilvl w:val="0"/>
          <w:numId w:val="36"/>
        </w:numPr>
        <w:spacing w:line="240" w:lineRule="auto"/>
        <w:rPr>
          <w:sz w:val="20"/>
          <w:szCs w:val="20"/>
        </w:rPr>
      </w:pPr>
      <w:proofErr w:type="spellStart"/>
      <w:r w:rsidRPr="003F137A">
        <w:rPr>
          <w:sz w:val="20"/>
          <w:szCs w:val="20"/>
        </w:rPr>
        <w:t>Digi</w:t>
      </w:r>
      <w:proofErr w:type="spellEnd"/>
      <w:r w:rsidR="00172E2E">
        <w:rPr>
          <w:sz w:val="20"/>
          <w:szCs w:val="20"/>
        </w:rPr>
        <w:t xml:space="preserve"> Kft.</w:t>
      </w:r>
      <w:r w:rsidRPr="003F137A">
        <w:rPr>
          <w:sz w:val="20"/>
          <w:szCs w:val="20"/>
        </w:rPr>
        <w:t>: 2×56 MHz</w:t>
      </w:r>
    </w:p>
    <w:p w14:paraId="7253BBEB" w14:textId="77777777" w:rsidR="008C63E0" w:rsidRDefault="008C63E0" w:rsidP="00B4773E">
      <w:pPr>
        <w:pStyle w:val="Cmsor1szmozottnmhh"/>
        <w:pageBreakBefore w:val="0"/>
        <w:spacing w:before="360"/>
        <w:ind w:left="431" w:hanging="431"/>
      </w:pPr>
      <w:bookmarkStart w:id="43" w:name="_Toc473880728"/>
      <w:bookmarkStart w:id="44" w:name="_Toc26254673"/>
      <w:bookmarkStart w:id="45" w:name="_Toc92461626"/>
      <w:bookmarkStart w:id="46" w:name="_Toc96075609"/>
      <w:r>
        <w:t>Nemzeti szabályozási tervek</w:t>
      </w:r>
      <w:bookmarkEnd w:id="43"/>
      <w:bookmarkEnd w:id="44"/>
      <w:bookmarkEnd w:id="45"/>
      <w:bookmarkEnd w:id="46"/>
    </w:p>
    <w:p w14:paraId="3731E3E0" w14:textId="76080287" w:rsidR="00926AD6" w:rsidRDefault="008C63E0" w:rsidP="008C63E0">
      <w:pPr>
        <w:pStyle w:val="Behzottbekezdsnmhh"/>
        <w:rPr>
          <w:color w:val="000000"/>
          <w:shd w:val="clear" w:color="auto" w:fill="FFFFFF"/>
        </w:rPr>
      </w:pPr>
      <w:r w:rsidRPr="00990F8E">
        <w:t>A jövőbe</w:t>
      </w:r>
      <w:r w:rsidR="00B529FC">
        <w:t>n</w:t>
      </w:r>
      <w:r w:rsidRPr="00990F8E">
        <w:t>i használat</w:t>
      </w:r>
      <w:r w:rsidR="009F690B">
        <w:t>ra vonatkozó szabályozást</w:t>
      </w:r>
      <w:r w:rsidRPr="00990F8E">
        <w:t xml:space="preserve"> </w:t>
      </w:r>
      <w:r w:rsidR="004F04A4">
        <w:t>alapv</w:t>
      </w:r>
      <w:r w:rsidR="00926AD6">
        <w:t>etően befolyásoló uniós aktusok</w:t>
      </w:r>
      <w:r w:rsidRPr="00990F8E">
        <w:t xml:space="preserve"> </w:t>
      </w:r>
      <w:r>
        <w:t>a Kódex, valamint az (EU)</w:t>
      </w:r>
      <w:r w:rsidR="00B529FC">
        <w:t> </w:t>
      </w:r>
      <w:r w:rsidRPr="00990F8E">
        <w:t>2019/784 határozat</w:t>
      </w:r>
      <w:r w:rsidR="00177EA0">
        <w:t>. A</w:t>
      </w:r>
      <w:r w:rsidR="009F690B">
        <w:t>z uniós</w:t>
      </w:r>
      <w:r w:rsidR="00177EA0">
        <w:t xml:space="preserve"> szabályozás</w:t>
      </w:r>
      <w:r>
        <w:t xml:space="preserve"> értelmében </w:t>
      </w:r>
      <w:r>
        <w:rPr>
          <w:color w:val="000000"/>
          <w:shd w:val="clear" w:color="auto" w:fill="FFFFFF"/>
        </w:rPr>
        <w:t>vezetéknélküli szélessávú elektronikus hírközlési szolgáltatások nyújtására alkalmas földfelszíni rendszerek számára ki kell jelölni és rendelkezésre kell bocsátani – nem kizárólagos jelleggel – a 24,25–27,5 </w:t>
      </w:r>
      <w:proofErr w:type="spellStart"/>
      <w:r>
        <w:rPr>
          <w:color w:val="000000"/>
          <w:shd w:val="clear" w:color="auto" w:fill="FFFFFF"/>
        </w:rPr>
        <w:t>GHz</w:t>
      </w:r>
      <w:proofErr w:type="spellEnd"/>
      <w:r>
        <w:rPr>
          <w:color w:val="000000"/>
          <w:shd w:val="clear" w:color="auto" w:fill="FFFFFF"/>
        </w:rPr>
        <w:t xml:space="preserve"> frekvenciasávot, valamint </w:t>
      </w:r>
      <w:r w:rsidRPr="00DC714C">
        <w:rPr>
          <w:color w:val="000000"/>
          <w:shd w:val="clear" w:color="auto" w:fill="FFFFFF"/>
        </w:rPr>
        <w:t xml:space="preserve">a </w:t>
      </w:r>
      <w:r w:rsidR="00442017">
        <w:rPr>
          <w:color w:val="000000"/>
          <w:shd w:val="clear" w:color="auto" w:fill="FFFFFF"/>
        </w:rPr>
        <w:t>frekvencia</w:t>
      </w:r>
      <w:r w:rsidRPr="00DC714C">
        <w:rPr>
          <w:color w:val="000000"/>
          <w:shd w:val="clear" w:color="auto" w:fill="FFFFFF"/>
        </w:rPr>
        <w:t xml:space="preserve">sávból legalább 1 </w:t>
      </w:r>
      <w:proofErr w:type="spellStart"/>
      <w:r w:rsidRPr="00DC714C">
        <w:rPr>
          <w:color w:val="000000"/>
          <w:shd w:val="clear" w:color="auto" w:fill="FFFFFF"/>
        </w:rPr>
        <w:t>GHz</w:t>
      </w:r>
      <w:proofErr w:type="spellEnd"/>
      <w:r w:rsidRPr="00DC714C">
        <w:rPr>
          <w:color w:val="000000"/>
          <w:shd w:val="clear" w:color="auto" w:fill="FFFFFF"/>
        </w:rPr>
        <w:t xml:space="preserve"> használatát</w:t>
      </w:r>
      <w:r>
        <w:rPr>
          <w:color w:val="000000"/>
          <w:shd w:val="clear" w:color="auto" w:fill="FFFFFF"/>
        </w:rPr>
        <w:t xml:space="preserve"> kell lehetővé tenni</w:t>
      </w:r>
      <w:r w:rsidRPr="00DC714C">
        <w:rPr>
          <w:color w:val="000000"/>
          <w:shd w:val="clear" w:color="auto" w:fill="FFFFFF"/>
        </w:rPr>
        <w:t xml:space="preserve">, amennyiben egyértelműen igazolható, hogy van piaci kereslet, valamint hogy a meglévő </w:t>
      </w:r>
      <w:r w:rsidR="009F690B">
        <w:rPr>
          <w:color w:val="000000"/>
          <w:shd w:val="clear" w:color="auto" w:fill="FFFFFF"/>
        </w:rPr>
        <w:t>használat</w:t>
      </w:r>
      <w:r w:rsidR="009F690B" w:rsidRPr="00DC714C">
        <w:rPr>
          <w:color w:val="000000"/>
          <w:shd w:val="clear" w:color="auto" w:fill="FFFFFF"/>
        </w:rPr>
        <w:t xml:space="preserve"> </w:t>
      </w:r>
      <w:r w:rsidRPr="00DC714C">
        <w:rPr>
          <w:color w:val="000000"/>
          <w:shd w:val="clear" w:color="auto" w:fill="FFFFFF"/>
        </w:rPr>
        <w:t xml:space="preserve">migrációjának, illetve a </w:t>
      </w:r>
      <w:r w:rsidR="001E5FD0" w:rsidRPr="00426D01">
        <w:t>frekvencia</w:t>
      </w:r>
      <w:r w:rsidRPr="00DC714C">
        <w:rPr>
          <w:color w:val="000000"/>
          <w:shd w:val="clear" w:color="auto" w:fill="FFFFFF"/>
        </w:rPr>
        <w:t>sáv felszabadításának nincs jelentős akadálya</w:t>
      </w:r>
      <w:r w:rsidR="00D43693">
        <w:rPr>
          <w:color w:val="000000"/>
          <w:shd w:val="clear" w:color="auto" w:fill="FFFFFF"/>
        </w:rPr>
        <w:t xml:space="preserve">. </w:t>
      </w:r>
      <w:r>
        <w:rPr>
          <w:color w:val="000000"/>
          <w:shd w:val="clear" w:color="auto" w:fill="FFFFFF"/>
        </w:rPr>
        <w:t>A</w:t>
      </w:r>
      <w:r w:rsidR="004F04A4">
        <w:rPr>
          <w:color w:val="000000"/>
          <w:shd w:val="clear" w:color="auto" w:fill="FFFFFF"/>
        </w:rPr>
        <w:t xml:space="preserve"> tagállami implementációs feladatok között nem elégséges csak a jogszabályok kodifikációja, hanem a szükséges lépések közé tartozik a</w:t>
      </w:r>
      <w:r>
        <w:rPr>
          <w:color w:val="000000"/>
          <w:shd w:val="clear" w:color="auto" w:fill="FFFFFF"/>
        </w:rPr>
        <w:t xml:space="preserve"> meglevő </w:t>
      </w:r>
      <w:r w:rsidR="005E5163">
        <w:t>rádióspektrum-</w:t>
      </w:r>
      <w:r>
        <w:rPr>
          <w:color w:val="000000"/>
          <w:shd w:val="clear" w:color="auto" w:fill="FFFFFF"/>
        </w:rPr>
        <w:t>használati jogosultságok</w:t>
      </w:r>
      <w:r w:rsidR="004F04A4">
        <w:rPr>
          <w:color w:val="000000"/>
          <w:shd w:val="clear" w:color="auto" w:fill="FFFFFF"/>
        </w:rPr>
        <w:t xml:space="preserve"> áttekintése</w:t>
      </w:r>
      <w:r>
        <w:rPr>
          <w:color w:val="000000"/>
          <w:shd w:val="clear" w:color="auto" w:fill="FFFFFF"/>
        </w:rPr>
        <w:t>, valam</w:t>
      </w:r>
      <w:r w:rsidR="00D43693">
        <w:rPr>
          <w:color w:val="000000"/>
          <w:shd w:val="clear" w:color="auto" w:fill="FFFFFF"/>
        </w:rPr>
        <w:t xml:space="preserve">int a </w:t>
      </w:r>
      <w:r w:rsidR="004F04A4">
        <w:rPr>
          <w:color w:val="000000"/>
          <w:shd w:val="clear" w:color="auto" w:fill="FFFFFF"/>
        </w:rPr>
        <w:t>piaci</w:t>
      </w:r>
      <w:r w:rsidR="00D43693">
        <w:rPr>
          <w:color w:val="000000"/>
          <w:shd w:val="clear" w:color="auto" w:fill="FFFFFF"/>
        </w:rPr>
        <w:t xml:space="preserve"> igények</w:t>
      </w:r>
      <w:r w:rsidR="004F04A4">
        <w:rPr>
          <w:color w:val="000000"/>
          <w:shd w:val="clear" w:color="auto" w:fill="FFFFFF"/>
        </w:rPr>
        <w:t xml:space="preserve"> felmérése. Az NMHH </w:t>
      </w:r>
      <w:r>
        <w:rPr>
          <w:color w:val="000000"/>
          <w:shd w:val="clear" w:color="auto" w:fill="FFFFFF"/>
        </w:rPr>
        <w:t>vizsgál</w:t>
      </w:r>
      <w:r w:rsidR="004F04A4">
        <w:rPr>
          <w:color w:val="000000"/>
          <w:shd w:val="clear" w:color="auto" w:fill="FFFFFF"/>
        </w:rPr>
        <w:t xml:space="preserve">ja </w:t>
      </w:r>
      <w:r>
        <w:rPr>
          <w:color w:val="000000"/>
          <w:shd w:val="clear" w:color="auto" w:fill="FFFFFF"/>
        </w:rPr>
        <w:t xml:space="preserve">a jelenlegi </w:t>
      </w:r>
      <w:r w:rsidR="00F77911">
        <w:rPr>
          <w:color w:val="000000"/>
          <w:shd w:val="clear" w:color="auto" w:fill="FFFFFF"/>
        </w:rPr>
        <w:t>rádióspektrum-</w:t>
      </w:r>
      <w:r>
        <w:rPr>
          <w:color w:val="000000"/>
          <w:shd w:val="clear" w:color="auto" w:fill="FFFFFF"/>
        </w:rPr>
        <w:t>használók</w:t>
      </w:r>
      <w:r w:rsidR="004F04A4">
        <w:rPr>
          <w:color w:val="000000"/>
          <w:shd w:val="clear" w:color="auto" w:fill="FFFFFF"/>
        </w:rPr>
        <w:t xml:space="preserve"> lehetőségeit,</w:t>
      </w:r>
      <w:r>
        <w:rPr>
          <w:color w:val="000000"/>
          <w:shd w:val="clear" w:color="auto" w:fill="FFFFFF"/>
        </w:rPr>
        <w:t xml:space="preserve"> elképzeléseit, és az érdeklődők </w:t>
      </w:r>
      <w:r w:rsidR="004F04A4">
        <w:rPr>
          <w:color w:val="000000"/>
          <w:shd w:val="clear" w:color="auto" w:fill="FFFFFF"/>
        </w:rPr>
        <w:t xml:space="preserve">igényeit, azok megalapozottságát, a már megfogalmazott </w:t>
      </w:r>
      <w:r>
        <w:rPr>
          <w:color w:val="000000"/>
          <w:shd w:val="clear" w:color="auto" w:fill="FFFFFF"/>
        </w:rPr>
        <w:t>terve</w:t>
      </w:r>
      <w:r w:rsidR="004F04A4">
        <w:rPr>
          <w:color w:val="000000"/>
          <w:shd w:val="clear" w:color="auto" w:fill="FFFFFF"/>
        </w:rPr>
        <w:t>ke</w:t>
      </w:r>
      <w:r>
        <w:rPr>
          <w:color w:val="000000"/>
          <w:shd w:val="clear" w:color="auto" w:fill="FFFFFF"/>
        </w:rPr>
        <w:t xml:space="preserve">t, </w:t>
      </w:r>
      <w:r w:rsidR="004F04A4">
        <w:rPr>
          <w:color w:val="000000"/>
          <w:shd w:val="clear" w:color="auto" w:fill="FFFFFF"/>
        </w:rPr>
        <w:t xml:space="preserve">és a megvalósítás </w:t>
      </w:r>
      <w:r>
        <w:rPr>
          <w:color w:val="000000"/>
          <w:shd w:val="clear" w:color="auto" w:fill="FFFFFF"/>
        </w:rPr>
        <w:t xml:space="preserve">lehetőségeit. Amennyiben piaci igény mutatkozik </w:t>
      </w:r>
      <w:r w:rsidR="00926AD6" w:rsidRPr="00926AD6">
        <w:rPr>
          <w:color w:val="000000"/>
          <w:shd w:val="clear" w:color="auto" w:fill="FFFFFF"/>
        </w:rPr>
        <w:t xml:space="preserve">vezetéknélküli szélessávú elektronikus hírközlési szolgáltatások nyújtására alkalmas földfelszíni rendszerek </w:t>
      </w:r>
      <w:r>
        <w:rPr>
          <w:color w:val="000000"/>
          <w:shd w:val="clear" w:color="auto" w:fill="FFFFFF"/>
        </w:rPr>
        <w:t>bevezetésére,</w:t>
      </w:r>
      <w:r w:rsidR="00926AD6">
        <w:rPr>
          <w:color w:val="000000"/>
          <w:shd w:val="clear" w:color="auto" w:fill="FFFFFF"/>
        </w:rPr>
        <w:t xml:space="preserve"> az NMHH a meglevő használat és az azzal kapcsolatos elképzelések tükrében vizsgálja, hogy az igények miként viszonyulnak a rendelkezésre álló rádióspektrum mennyiségéhez és mindezt a jogosultságok lejárati idejével is összeveti.</w:t>
      </w:r>
      <w:r>
        <w:rPr>
          <w:color w:val="000000"/>
          <w:shd w:val="clear" w:color="auto" w:fill="FFFFFF"/>
        </w:rPr>
        <w:t xml:space="preserve"> </w:t>
      </w:r>
    </w:p>
    <w:p w14:paraId="604C59C5" w14:textId="4CB5CD2C" w:rsidR="00926AD6" w:rsidRPr="00926AD6" w:rsidRDefault="00926AD6" w:rsidP="00926AD6">
      <w:pPr>
        <w:pStyle w:val="Behzottbekezdsnmhh"/>
        <w:rPr>
          <w:color w:val="000000"/>
          <w:shd w:val="clear" w:color="auto" w:fill="FFFFFF"/>
        </w:rPr>
      </w:pPr>
      <w:r>
        <w:rPr>
          <w:color w:val="000000"/>
          <w:shd w:val="clear" w:color="auto" w:fill="FFFFFF"/>
        </w:rPr>
        <w:t xml:space="preserve">A Kódex </w:t>
      </w:r>
      <w:r w:rsidRPr="00B4773E">
        <w:rPr>
          <w:color w:val="000000"/>
          <w:shd w:val="clear" w:color="auto" w:fill="FFFFFF"/>
        </w:rPr>
        <w:t xml:space="preserve">implementálásával az </w:t>
      </w:r>
      <w:proofErr w:type="spellStart"/>
      <w:r w:rsidRPr="00B4773E">
        <w:rPr>
          <w:color w:val="000000"/>
          <w:shd w:val="clear" w:color="auto" w:fill="FFFFFF"/>
        </w:rPr>
        <w:t>Eht</w:t>
      </w:r>
      <w:proofErr w:type="spellEnd"/>
      <w:r w:rsidRPr="00B4773E">
        <w:rPr>
          <w:color w:val="000000"/>
          <w:shd w:val="clear" w:color="auto" w:fill="FFFFFF"/>
        </w:rPr>
        <w:t>. 55/</w:t>
      </w:r>
      <w:r w:rsidR="001B0569" w:rsidRPr="00B4773E">
        <w:rPr>
          <w:color w:val="000000"/>
          <w:shd w:val="clear" w:color="auto" w:fill="FFFFFF"/>
        </w:rPr>
        <w:t>B</w:t>
      </w:r>
      <w:r w:rsidRPr="00B4773E">
        <w:rPr>
          <w:color w:val="000000"/>
          <w:shd w:val="clear" w:color="auto" w:fill="FFFFFF"/>
        </w:rPr>
        <w:t>. § (4) bekezdése</w:t>
      </w:r>
      <w:r>
        <w:rPr>
          <w:color w:val="000000"/>
          <w:shd w:val="clear" w:color="auto" w:fill="FFFFFF"/>
        </w:rPr>
        <w:t xml:space="preserve"> alapján lehetőség nyílt arra is, hogy</w:t>
      </w:r>
      <w:r w:rsidRPr="00926AD6">
        <w:t xml:space="preserve"> </w:t>
      </w:r>
      <w:r>
        <w:t>az</w:t>
      </w:r>
      <w:r w:rsidRPr="00926AD6">
        <w:rPr>
          <w:color w:val="000000"/>
          <w:shd w:val="clear" w:color="auto" w:fill="FFFFFF"/>
        </w:rPr>
        <w:t xml:space="preserve"> </w:t>
      </w:r>
      <w:r>
        <w:rPr>
          <w:color w:val="000000"/>
          <w:shd w:val="clear" w:color="auto" w:fill="FFFFFF"/>
        </w:rPr>
        <w:t>NMHH</w:t>
      </w:r>
      <w:r w:rsidRPr="00926AD6">
        <w:rPr>
          <w:color w:val="000000"/>
          <w:shd w:val="clear" w:color="auto" w:fill="FFFFFF"/>
        </w:rPr>
        <w:t xml:space="preserve"> átmeneti időre, de legfeljebb három évre engedélyez</w:t>
      </w:r>
      <w:r>
        <w:rPr>
          <w:color w:val="000000"/>
          <w:shd w:val="clear" w:color="auto" w:fill="FFFFFF"/>
        </w:rPr>
        <w:t>ze</w:t>
      </w:r>
      <w:r w:rsidRPr="00926AD6">
        <w:rPr>
          <w:color w:val="000000"/>
          <w:shd w:val="clear" w:color="auto" w:fill="FFFFFF"/>
        </w:rPr>
        <w:t xml:space="preserve"> az Elnök rendeletében meghatározott </w:t>
      </w:r>
      <w:r w:rsidR="00F77911">
        <w:rPr>
          <w:color w:val="000000"/>
          <w:shd w:val="clear" w:color="auto" w:fill="FFFFFF"/>
        </w:rPr>
        <w:t>frekvencia</w:t>
      </w:r>
      <w:r w:rsidRPr="00926AD6">
        <w:rPr>
          <w:color w:val="000000"/>
          <w:shd w:val="clear" w:color="auto" w:fill="FFFFFF"/>
        </w:rPr>
        <w:t>sávokban a rádióspektrum-használati jogosultsággal érintett rádióspektrum egészének vagy részének harmonizált használata helyett más, alternatív használati mód alkalmazását</w:t>
      </w:r>
      <w:r>
        <w:rPr>
          <w:color w:val="000000"/>
          <w:shd w:val="clear" w:color="auto" w:fill="FFFFFF"/>
        </w:rPr>
        <w:t xml:space="preserve"> (mely lehet akár a meglevő használat is). Az alternatív használat engedélyezésének feltétele, hogy</w:t>
      </w:r>
    </w:p>
    <w:p w14:paraId="6C1CD705" w14:textId="49C08295" w:rsidR="00926AD6" w:rsidRPr="00926AD6" w:rsidRDefault="00926AD6" w:rsidP="00926AD6">
      <w:pPr>
        <w:pStyle w:val="Behzottbekezdsnmhh"/>
        <w:rPr>
          <w:color w:val="000000"/>
          <w:shd w:val="clear" w:color="auto" w:fill="FFFFFF"/>
        </w:rPr>
      </w:pPr>
      <w:proofErr w:type="gramStart"/>
      <w:r w:rsidRPr="00926AD6">
        <w:rPr>
          <w:color w:val="000000"/>
          <w:shd w:val="clear" w:color="auto" w:fill="FFFFFF"/>
        </w:rPr>
        <w:t>a</w:t>
      </w:r>
      <w:proofErr w:type="gramEnd"/>
      <w:r w:rsidRPr="00926AD6">
        <w:rPr>
          <w:color w:val="000000"/>
          <w:shd w:val="clear" w:color="auto" w:fill="FFFFFF"/>
        </w:rPr>
        <w:t xml:space="preserve">) a rádióspektrum használatára vonatkozó piaci kereslet, igény </w:t>
      </w:r>
      <w:proofErr w:type="spellStart"/>
      <w:r w:rsidRPr="00926AD6">
        <w:rPr>
          <w:color w:val="000000"/>
          <w:shd w:val="clear" w:color="auto" w:fill="FFFFFF"/>
        </w:rPr>
        <w:t>előretekintő</w:t>
      </w:r>
      <w:proofErr w:type="spellEnd"/>
      <w:r w:rsidRPr="00926AD6">
        <w:rPr>
          <w:color w:val="000000"/>
          <w:shd w:val="clear" w:color="auto" w:fill="FFFFFF"/>
        </w:rPr>
        <w:t xml:space="preserve"> felmérése érdekében nyilvános meghallgatásra sor kerül és a rádióspektrum harmonizált használatára nem merül fel piaci igény és</w:t>
      </w:r>
    </w:p>
    <w:p w14:paraId="5FE75369" w14:textId="2971CFB5" w:rsidR="00926AD6" w:rsidRDefault="00926AD6" w:rsidP="00926AD6">
      <w:pPr>
        <w:pStyle w:val="Behzottbekezdsnmhh"/>
        <w:rPr>
          <w:color w:val="000000"/>
          <w:shd w:val="clear" w:color="auto" w:fill="FFFFFF"/>
        </w:rPr>
      </w:pPr>
      <w:r w:rsidRPr="00926AD6">
        <w:rPr>
          <w:color w:val="000000"/>
          <w:shd w:val="clear" w:color="auto" w:fill="FFFFFF"/>
        </w:rPr>
        <w:t>b) a rádióspektrum alternatív felhasználása nem akadályozza más tagállamokban a harmonizált használatot.</w:t>
      </w:r>
    </w:p>
    <w:p w14:paraId="4FD63206" w14:textId="0B10E99B" w:rsidR="00941E4B" w:rsidRDefault="00941E4B" w:rsidP="008C63E0">
      <w:pPr>
        <w:pStyle w:val="Behzottbekezdsnmhh"/>
        <w:rPr>
          <w:color w:val="000000"/>
          <w:shd w:val="clear" w:color="auto" w:fill="FFFFFF"/>
        </w:rPr>
      </w:pPr>
      <w:r>
        <w:rPr>
          <w:color w:val="000000"/>
          <w:shd w:val="clear" w:color="auto" w:fill="FFFFFF"/>
        </w:rPr>
        <w:t>A</w:t>
      </w:r>
      <w:r w:rsidR="008C63E0">
        <w:rPr>
          <w:color w:val="000000"/>
          <w:shd w:val="clear" w:color="auto" w:fill="FFFFFF"/>
        </w:rPr>
        <w:t xml:space="preserve">z 5G rendszerekre vonatkozó </w:t>
      </w:r>
      <w:r>
        <w:rPr>
          <w:color w:val="000000"/>
          <w:shd w:val="clear" w:color="auto" w:fill="FFFFFF"/>
        </w:rPr>
        <w:t>uniós kötelezettségek és piaci igények tükrében</w:t>
      </w:r>
      <w:r w:rsidR="008C63E0">
        <w:rPr>
          <w:color w:val="000000"/>
          <w:shd w:val="clear" w:color="auto" w:fill="FFFFFF"/>
        </w:rPr>
        <w:t xml:space="preserve"> szükségessé válik </w:t>
      </w:r>
      <w:r>
        <w:rPr>
          <w:color w:val="000000"/>
          <w:shd w:val="clear" w:color="auto" w:fill="FFFFFF"/>
        </w:rPr>
        <w:t>a meglevő rendszerek migrációjához a 26</w:t>
      </w:r>
      <w:r w:rsidR="00886386">
        <w:rPr>
          <w:color w:val="000000"/>
          <w:shd w:val="clear" w:color="auto" w:fill="FFFFFF"/>
        </w:rPr>
        <w:t> </w:t>
      </w:r>
      <w:proofErr w:type="spellStart"/>
      <w:r>
        <w:rPr>
          <w:color w:val="000000"/>
          <w:shd w:val="clear" w:color="auto" w:fill="FFFFFF"/>
        </w:rPr>
        <w:t>GHz-től</w:t>
      </w:r>
      <w:proofErr w:type="spellEnd"/>
      <w:r>
        <w:rPr>
          <w:color w:val="000000"/>
          <w:shd w:val="clear" w:color="auto" w:fill="FFFFFF"/>
        </w:rPr>
        <w:t xml:space="preserve"> eltérő, de műszaki szempontból megfelelő másik</w:t>
      </w:r>
      <w:r w:rsidR="008C63E0">
        <w:rPr>
          <w:color w:val="000000"/>
          <w:shd w:val="clear" w:color="auto" w:fill="FFFFFF"/>
        </w:rPr>
        <w:t xml:space="preserve"> </w:t>
      </w:r>
      <w:r w:rsidR="001E5FD0" w:rsidRPr="00426D01">
        <w:t>frekvencia</w:t>
      </w:r>
      <w:r w:rsidR="008C63E0">
        <w:rPr>
          <w:color w:val="000000"/>
          <w:shd w:val="clear" w:color="auto" w:fill="FFFFFF"/>
        </w:rPr>
        <w:t xml:space="preserve">sáv </w:t>
      </w:r>
      <w:r>
        <w:rPr>
          <w:color w:val="000000"/>
          <w:shd w:val="clear" w:color="auto" w:fill="FFFFFF"/>
        </w:rPr>
        <w:t>elérhetővé tétele</w:t>
      </w:r>
      <w:r w:rsidR="008C63E0">
        <w:rPr>
          <w:color w:val="000000"/>
          <w:shd w:val="clear" w:color="auto" w:fill="FFFFFF"/>
        </w:rPr>
        <w:t xml:space="preserve">, amely a felhordóhálózati összeköttetések további működését biztosítani tudja. </w:t>
      </w:r>
      <w:r w:rsidR="00FC1FD9">
        <w:rPr>
          <w:color w:val="000000"/>
          <w:shd w:val="clear" w:color="auto" w:fill="FFFFFF"/>
        </w:rPr>
        <w:t>Erre a célra a</w:t>
      </w:r>
      <w:r>
        <w:rPr>
          <w:color w:val="000000"/>
          <w:shd w:val="clear" w:color="auto" w:fill="FFFFFF"/>
        </w:rPr>
        <w:t xml:space="preserve"> 32</w:t>
      </w:r>
      <w:r w:rsidR="00886386">
        <w:rPr>
          <w:color w:val="000000"/>
          <w:shd w:val="clear" w:color="auto" w:fill="FFFFFF"/>
        </w:rPr>
        <w:t> </w:t>
      </w:r>
      <w:proofErr w:type="spellStart"/>
      <w:r>
        <w:rPr>
          <w:color w:val="000000"/>
          <w:shd w:val="clear" w:color="auto" w:fill="FFFFFF"/>
        </w:rPr>
        <w:t>GHz</w:t>
      </w:r>
      <w:proofErr w:type="spellEnd"/>
      <w:r>
        <w:rPr>
          <w:color w:val="000000"/>
          <w:shd w:val="clear" w:color="auto" w:fill="FFFFFF"/>
        </w:rPr>
        <w:t>-es frekvenciasáv</w:t>
      </w:r>
      <w:r w:rsidR="00FC1FD9">
        <w:rPr>
          <w:color w:val="000000"/>
          <w:shd w:val="clear" w:color="auto" w:fill="FFFFFF"/>
        </w:rPr>
        <w:t xml:space="preserve"> került azonosításra. A 32</w:t>
      </w:r>
      <w:r w:rsidR="00886386">
        <w:rPr>
          <w:color w:val="000000"/>
          <w:shd w:val="clear" w:color="auto" w:fill="FFFFFF"/>
        </w:rPr>
        <w:t> </w:t>
      </w:r>
      <w:proofErr w:type="spellStart"/>
      <w:r w:rsidR="00FC1FD9">
        <w:rPr>
          <w:color w:val="000000"/>
          <w:shd w:val="clear" w:color="auto" w:fill="FFFFFF"/>
        </w:rPr>
        <w:t>GHz</w:t>
      </w:r>
      <w:proofErr w:type="spellEnd"/>
      <w:r w:rsidR="00FC1FD9">
        <w:rPr>
          <w:color w:val="000000"/>
          <w:shd w:val="clear" w:color="auto" w:fill="FFFFFF"/>
        </w:rPr>
        <w:t>-es frekvenciasáv</w:t>
      </w:r>
      <w:r>
        <w:rPr>
          <w:color w:val="000000"/>
          <w:shd w:val="clear" w:color="auto" w:fill="FFFFFF"/>
        </w:rPr>
        <w:t xml:space="preserve"> tervezett használatának műszaki feltételei az NFFF-</w:t>
      </w:r>
      <w:proofErr w:type="spellStart"/>
      <w:r>
        <w:rPr>
          <w:color w:val="000000"/>
          <w:shd w:val="clear" w:color="auto" w:fill="FFFFFF"/>
        </w:rPr>
        <w:t>ben</w:t>
      </w:r>
      <w:proofErr w:type="spellEnd"/>
      <w:r>
        <w:rPr>
          <w:color w:val="000000"/>
          <w:shd w:val="clear" w:color="auto" w:fill="FFFFFF"/>
        </w:rPr>
        <w:t xml:space="preserve"> már kihirdetésre kerültek és a tervezett versenyez</w:t>
      </w:r>
      <w:r w:rsidR="00487B2A">
        <w:rPr>
          <w:color w:val="000000"/>
          <w:shd w:val="clear" w:color="auto" w:fill="FFFFFF"/>
        </w:rPr>
        <w:t>t</w:t>
      </w:r>
      <w:r>
        <w:rPr>
          <w:color w:val="000000"/>
          <w:shd w:val="clear" w:color="auto" w:fill="FFFFFF"/>
        </w:rPr>
        <w:t xml:space="preserve">etési eljárással kapcsolatos további részletek a műszaki </w:t>
      </w:r>
      <w:proofErr w:type="spellStart"/>
      <w:r>
        <w:rPr>
          <w:color w:val="000000"/>
          <w:shd w:val="clear" w:color="auto" w:fill="FFFFFF"/>
        </w:rPr>
        <w:t>notifikácós</w:t>
      </w:r>
      <w:proofErr w:type="spellEnd"/>
      <w:r>
        <w:rPr>
          <w:color w:val="000000"/>
          <w:shd w:val="clear" w:color="auto" w:fill="FFFFFF"/>
        </w:rPr>
        <w:t xml:space="preserve"> eljárás</w:t>
      </w:r>
      <w:r w:rsidR="00FC1FD9">
        <w:rPr>
          <w:color w:val="000000"/>
          <w:shd w:val="clear" w:color="auto" w:fill="FFFFFF"/>
        </w:rPr>
        <w:t xml:space="preserve"> a</w:t>
      </w:r>
      <w:r>
        <w:rPr>
          <w:color w:val="000000"/>
          <w:shd w:val="clear" w:color="auto" w:fill="FFFFFF"/>
        </w:rPr>
        <w:t>latt levő NFFF módosítás terve</w:t>
      </w:r>
      <w:r w:rsidR="00FC1FD9">
        <w:rPr>
          <w:color w:val="000000"/>
          <w:shd w:val="clear" w:color="auto" w:fill="FFFFFF"/>
        </w:rPr>
        <w:t>zetében már szerepelnek.</w:t>
      </w:r>
    </w:p>
    <w:p w14:paraId="093DE897" w14:textId="410F397C" w:rsidR="003C53E6" w:rsidRDefault="008C63E0" w:rsidP="003C53E6">
      <w:pPr>
        <w:pStyle w:val="Behzottbekezdsnmhh"/>
        <w:rPr>
          <w:color w:val="000000"/>
          <w:shd w:val="clear" w:color="auto" w:fill="FFFFFF"/>
        </w:rPr>
      </w:pPr>
      <w:r>
        <w:rPr>
          <w:color w:val="000000"/>
          <w:shd w:val="clear" w:color="auto" w:fill="FFFFFF"/>
        </w:rPr>
        <w:lastRenderedPageBreak/>
        <w:t xml:space="preserve">A </w:t>
      </w:r>
      <w:r w:rsidR="00FC1FD9">
        <w:rPr>
          <w:color w:val="000000"/>
          <w:shd w:val="clear" w:color="auto" w:fill="FFFFFF"/>
        </w:rPr>
        <w:t>26</w:t>
      </w:r>
      <w:r>
        <w:rPr>
          <w:color w:val="000000"/>
          <w:shd w:val="clear" w:color="auto" w:fill="FFFFFF"/>
        </w:rPr>
        <w:t xml:space="preserve"> </w:t>
      </w:r>
      <w:proofErr w:type="spellStart"/>
      <w:r>
        <w:rPr>
          <w:color w:val="000000"/>
          <w:shd w:val="clear" w:color="auto" w:fill="FFFFFF"/>
        </w:rPr>
        <w:t>GHz</w:t>
      </w:r>
      <w:proofErr w:type="spellEnd"/>
      <w:r w:rsidR="00FC1FD9">
        <w:rPr>
          <w:color w:val="000000"/>
          <w:shd w:val="clear" w:color="auto" w:fill="FFFFFF"/>
        </w:rPr>
        <w:t>-es</w:t>
      </w:r>
      <w:r>
        <w:rPr>
          <w:color w:val="000000"/>
          <w:shd w:val="clear" w:color="auto" w:fill="FFFFFF"/>
        </w:rPr>
        <w:t xml:space="preserve"> frekvenciasáv különböző részsávjai különböző mértékben hasznosíthatók a jövőbeli 5G spektrumigények kielégítésének céljából.</w:t>
      </w:r>
    </w:p>
    <w:p w14:paraId="555ED360" w14:textId="3B9DE6DE" w:rsidR="008C63E0" w:rsidRPr="00B45181" w:rsidRDefault="004942E2" w:rsidP="004942E2">
      <w:pPr>
        <w:pStyle w:val="Cmsor2szmozottnmhh"/>
        <w:rPr>
          <w:shd w:val="clear" w:color="auto" w:fill="FFFFFF"/>
        </w:rPr>
      </w:pPr>
      <w:bookmarkStart w:id="47" w:name="_Toc92461627"/>
      <w:bookmarkStart w:id="48" w:name="_Toc96075610"/>
      <w:r>
        <w:rPr>
          <w:shd w:val="clear" w:color="auto" w:fill="FFFFFF"/>
        </w:rPr>
        <w:t xml:space="preserve">24,25-24,5 </w:t>
      </w:r>
      <w:proofErr w:type="spellStart"/>
      <w:r>
        <w:rPr>
          <w:shd w:val="clear" w:color="auto" w:fill="FFFFFF"/>
        </w:rPr>
        <w:t>GHz</w:t>
      </w:r>
      <w:proofErr w:type="spellEnd"/>
      <w:r>
        <w:rPr>
          <w:shd w:val="clear" w:color="auto" w:fill="FFFFFF"/>
        </w:rPr>
        <w:t xml:space="preserve"> sávrész</w:t>
      </w:r>
      <w:bookmarkEnd w:id="47"/>
      <w:bookmarkEnd w:id="48"/>
    </w:p>
    <w:p w14:paraId="75C80E4C" w14:textId="40767085" w:rsidR="008C63E0" w:rsidRDefault="008C63E0" w:rsidP="008C63E0">
      <w:pPr>
        <w:pStyle w:val="Behzottbekezdsnmhh"/>
        <w:rPr>
          <w:color w:val="000000"/>
          <w:shd w:val="clear" w:color="auto" w:fill="FFFFFF"/>
        </w:rPr>
      </w:pPr>
      <w:r>
        <w:rPr>
          <w:color w:val="000000"/>
          <w:shd w:val="clear" w:color="auto" w:fill="FFFFFF"/>
        </w:rPr>
        <w:t>Figyelembe véve, hogy ez a részsáv jelenleg nem használt és a jövőben sem várható MFCN-</w:t>
      </w:r>
      <w:proofErr w:type="spellStart"/>
      <w:r>
        <w:rPr>
          <w:color w:val="000000"/>
          <w:shd w:val="clear" w:color="auto" w:fill="FFFFFF"/>
        </w:rPr>
        <w:t>től</w:t>
      </w:r>
      <w:proofErr w:type="spellEnd"/>
      <w:r>
        <w:rPr>
          <w:color w:val="000000"/>
          <w:shd w:val="clear" w:color="auto" w:fill="FFFFFF"/>
        </w:rPr>
        <w:t xml:space="preserve"> eltérő használat, ezért ennek a 250 MHz-es </w:t>
      </w:r>
      <w:r w:rsidR="00E9113D">
        <w:t>frekvencia</w:t>
      </w:r>
      <w:r>
        <w:rPr>
          <w:color w:val="000000"/>
          <w:shd w:val="clear" w:color="auto" w:fill="FFFFFF"/>
        </w:rPr>
        <w:t xml:space="preserve">tartománynak az 5G rendszerek </w:t>
      </w:r>
      <w:r w:rsidR="00086DCE">
        <w:rPr>
          <w:color w:val="000000"/>
          <w:shd w:val="clear" w:color="auto" w:fill="FFFFFF"/>
        </w:rPr>
        <w:t>általi</w:t>
      </w:r>
      <w:r>
        <w:rPr>
          <w:color w:val="000000"/>
          <w:shd w:val="clear" w:color="auto" w:fill="FFFFFF"/>
        </w:rPr>
        <w:t xml:space="preserve"> </w:t>
      </w:r>
      <w:r w:rsidR="00086DCE">
        <w:rPr>
          <w:color w:val="000000"/>
          <w:shd w:val="clear" w:color="auto" w:fill="FFFFFF"/>
        </w:rPr>
        <w:t>használata jelenleg is elérhetővé tehető</w:t>
      </w:r>
      <w:r>
        <w:rPr>
          <w:color w:val="000000"/>
          <w:shd w:val="clear" w:color="auto" w:fill="FFFFFF"/>
        </w:rPr>
        <w:t>.</w:t>
      </w:r>
    </w:p>
    <w:p w14:paraId="16D95EC4" w14:textId="68FAE09C" w:rsidR="008C63E0" w:rsidRPr="00B45181" w:rsidRDefault="004942E2" w:rsidP="00C44441">
      <w:pPr>
        <w:pStyle w:val="Cmsor2szmozottnmhh"/>
        <w:spacing w:before="240"/>
        <w:ind w:left="578" w:hanging="578"/>
        <w:rPr>
          <w:shd w:val="clear" w:color="auto" w:fill="FFFFFF"/>
        </w:rPr>
      </w:pPr>
      <w:bookmarkStart w:id="49" w:name="_Toc92461628"/>
      <w:bookmarkStart w:id="50" w:name="_Toc96075611"/>
      <w:r>
        <w:rPr>
          <w:shd w:val="clear" w:color="auto" w:fill="FFFFFF"/>
        </w:rPr>
        <w:t xml:space="preserve">24,5-26,5 </w:t>
      </w:r>
      <w:proofErr w:type="spellStart"/>
      <w:r>
        <w:rPr>
          <w:shd w:val="clear" w:color="auto" w:fill="FFFFFF"/>
        </w:rPr>
        <w:t>GHz</w:t>
      </w:r>
      <w:proofErr w:type="spellEnd"/>
      <w:r>
        <w:rPr>
          <w:shd w:val="clear" w:color="auto" w:fill="FFFFFF"/>
        </w:rPr>
        <w:t xml:space="preserve"> sávrész</w:t>
      </w:r>
      <w:bookmarkEnd w:id="49"/>
      <w:bookmarkEnd w:id="50"/>
    </w:p>
    <w:p w14:paraId="2C154113" w14:textId="7BF84307" w:rsidR="008C63E0" w:rsidRDefault="008C63E0" w:rsidP="008C63E0">
      <w:pPr>
        <w:pStyle w:val="Behzottbekezdsnmhh"/>
        <w:rPr>
          <w:color w:val="000000"/>
          <w:shd w:val="clear" w:color="auto" w:fill="FFFFFF"/>
        </w:rPr>
      </w:pPr>
      <w:r>
        <w:rPr>
          <w:color w:val="000000"/>
          <w:shd w:val="clear" w:color="auto" w:fill="FFFFFF"/>
        </w:rPr>
        <w:t>Amennyiben a 24,5-26,5 </w:t>
      </w:r>
      <w:proofErr w:type="spellStart"/>
      <w:r>
        <w:rPr>
          <w:color w:val="000000"/>
          <w:shd w:val="clear" w:color="auto" w:fill="FFFFFF"/>
        </w:rPr>
        <w:t>GHz</w:t>
      </w:r>
      <w:proofErr w:type="spellEnd"/>
      <w:r>
        <w:rPr>
          <w:color w:val="000000"/>
          <w:shd w:val="clear" w:color="auto" w:fill="FFFFFF"/>
        </w:rPr>
        <w:t xml:space="preserve"> frekvenciasáv</w:t>
      </w:r>
      <w:r w:rsidR="00086DCE">
        <w:rPr>
          <w:color w:val="000000"/>
          <w:shd w:val="clear" w:color="auto" w:fill="FFFFFF"/>
        </w:rPr>
        <w:t xml:space="preserve"> elérhetővé válik</w:t>
      </w:r>
      <w:r>
        <w:rPr>
          <w:color w:val="000000"/>
          <w:shd w:val="clear" w:color="auto" w:fill="FFFFFF"/>
        </w:rPr>
        <w:t xml:space="preserve"> az újgenerációs MFCN rendszerek számára, a jelenlegi jogosultságok alapján működő állandóhelyű rendszerek számára biztosítani kell egy másik </w:t>
      </w:r>
      <w:r w:rsidR="001E5FD0" w:rsidRPr="00426D01">
        <w:t>frekvencia</w:t>
      </w:r>
      <w:r>
        <w:rPr>
          <w:color w:val="000000"/>
          <w:shd w:val="clear" w:color="auto" w:fill="FFFFFF"/>
        </w:rPr>
        <w:t xml:space="preserve">sávot </w:t>
      </w:r>
      <w:r w:rsidR="00086DCE">
        <w:rPr>
          <w:color w:val="000000"/>
          <w:shd w:val="clear" w:color="auto" w:fill="FFFFFF"/>
        </w:rPr>
        <w:t>a</w:t>
      </w:r>
      <w:r>
        <w:rPr>
          <w:color w:val="000000"/>
          <w:shd w:val="clear" w:color="auto" w:fill="FFFFFF"/>
        </w:rPr>
        <w:t xml:space="preserve"> felhordóhálózati összeköttetések létesítésére, </w:t>
      </w:r>
      <w:r w:rsidR="00086DCE">
        <w:rPr>
          <w:color w:val="000000"/>
          <w:shd w:val="clear" w:color="auto" w:fill="FFFFFF"/>
        </w:rPr>
        <w:t>amely</w:t>
      </w:r>
      <w:r>
        <w:rPr>
          <w:color w:val="000000"/>
          <w:shd w:val="clear" w:color="auto" w:fill="FFFFFF"/>
        </w:rPr>
        <w:t>:</w:t>
      </w:r>
    </w:p>
    <w:p w14:paraId="466E2E66" w14:textId="77777777" w:rsidR="008C63E0" w:rsidRDefault="008C63E0" w:rsidP="008C63E0">
      <w:pPr>
        <w:pStyle w:val="Behzottbekezdsnmhh"/>
        <w:numPr>
          <w:ilvl w:val="0"/>
          <w:numId w:val="62"/>
        </w:numPr>
        <w:rPr>
          <w:color w:val="000000"/>
          <w:shd w:val="clear" w:color="auto" w:fill="FFFFFF"/>
        </w:rPr>
      </w:pPr>
      <w:r>
        <w:rPr>
          <w:color w:val="000000"/>
          <w:shd w:val="clear" w:color="auto" w:fill="FFFFFF"/>
        </w:rPr>
        <w:t>jelenleg nem használt, tehát nem kell számolni összeférhetőségi problémákkal,</w:t>
      </w:r>
    </w:p>
    <w:p w14:paraId="0BF6D740" w14:textId="5708E319" w:rsidR="008C63E0" w:rsidRDefault="008C63E0" w:rsidP="008C63E0">
      <w:pPr>
        <w:pStyle w:val="Behzottbekezdsnmhh"/>
        <w:numPr>
          <w:ilvl w:val="0"/>
          <w:numId w:val="62"/>
        </w:numPr>
        <w:rPr>
          <w:color w:val="000000"/>
          <w:shd w:val="clear" w:color="auto" w:fill="FFFFFF"/>
        </w:rPr>
      </w:pPr>
      <w:r>
        <w:rPr>
          <w:color w:val="000000"/>
          <w:shd w:val="clear" w:color="auto" w:fill="FFFFFF"/>
        </w:rPr>
        <w:t xml:space="preserve">alkalmas nagykapacitású állandóhelyű rendszerek használatára, rendelkezésre állnak a harmonizált műszaki feltételek a </w:t>
      </w:r>
      <w:r w:rsidR="001E5FD0" w:rsidRPr="00426D01">
        <w:t>frekvencia</w:t>
      </w:r>
      <w:r>
        <w:rPr>
          <w:color w:val="000000"/>
          <w:shd w:val="clear" w:color="auto" w:fill="FFFFFF"/>
        </w:rPr>
        <w:t>sáv használatára, csatornaelrendezésre vonatkozóan,</w:t>
      </w:r>
    </w:p>
    <w:p w14:paraId="17AC5DB6" w14:textId="7E304B9D" w:rsidR="008C63E0" w:rsidRDefault="008C63E0" w:rsidP="008C63E0">
      <w:pPr>
        <w:pStyle w:val="Behzottbekezdsnmhh"/>
        <w:numPr>
          <w:ilvl w:val="0"/>
          <w:numId w:val="62"/>
        </w:numPr>
        <w:rPr>
          <w:color w:val="000000"/>
          <w:shd w:val="clear" w:color="auto" w:fill="FFFFFF"/>
        </w:rPr>
      </w:pPr>
      <w:r>
        <w:rPr>
          <w:color w:val="000000"/>
          <w:shd w:val="clear" w:color="auto" w:fill="FFFFFF"/>
        </w:rPr>
        <w:t xml:space="preserve">hasonló hullámterjedési tulajdonságokkal </w:t>
      </w:r>
      <w:r w:rsidR="00420452">
        <w:rPr>
          <w:color w:val="000000"/>
          <w:shd w:val="clear" w:color="auto" w:fill="FFFFFF"/>
        </w:rPr>
        <w:t>rendelkezik</w:t>
      </w:r>
      <w:r>
        <w:rPr>
          <w:color w:val="000000"/>
          <w:shd w:val="clear" w:color="auto" w:fill="FFFFFF"/>
        </w:rPr>
        <w:t>, mint a 26 </w:t>
      </w:r>
      <w:proofErr w:type="spellStart"/>
      <w:r>
        <w:rPr>
          <w:color w:val="000000"/>
          <w:shd w:val="clear" w:color="auto" w:fill="FFFFFF"/>
        </w:rPr>
        <w:t>GHz</w:t>
      </w:r>
      <w:proofErr w:type="spellEnd"/>
      <w:r>
        <w:rPr>
          <w:color w:val="000000"/>
          <w:shd w:val="clear" w:color="auto" w:fill="FFFFFF"/>
        </w:rPr>
        <w:t xml:space="preserve">-es </w:t>
      </w:r>
      <w:r w:rsidR="001E5FD0" w:rsidRPr="00426D01">
        <w:t>frekvencia</w:t>
      </w:r>
      <w:r>
        <w:rPr>
          <w:color w:val="000000"/>
          <w:shd w:val="clear" w:color="auto" w:fill="FFFFFF"/>
        </w:rPr>
        <w:t>sáv (hasonló szakasztávolságú összeköttetések tervezhetők),</w:t>
      </w:r>
    </w:p>
    <w:p w14:paraId="4A93D014" w14:textId="449EC19C" w:rsidR="008C63E0" w:rsidRDefault="008C63E0" w:rsidP="008C63E0">
      <w:pPr>
        <w:pStyle w:val="Behzottbekezdsnmhh"/>
        <w:numPr>
          <w:ilvl w:val="0"/>
          <w:numId w:val="62"/>
        </w:numPr>
        <w:rPr>
          <w:color w:val="000000"/>
          <w:shd w:val="clear" w:color="auto" w:fill="FFFFFF"/>
        </w:rPr>
      </w:pPr>
      <w:r>
        <w:rPr>
          <w:color w:val="000000"/>
          <w:shd w:val="clear" w:color="auto" w:fill="FFFFFF"/>
        </w:rPr>
        <w:t>hasonló folytonos spektrummennyiség áll rendelkezésre, mint a 26 </w:t>
      </w:r>
      <w:proofErr w:type="spellStart"/>
      <w:r>
        <w:rPr>
          <w:color w:val="000000"/>
          <w:shd w:val="clear" w:color="auto" w:fill="FFFFFF"/>
        </w:rPr>
        <w:t>GHz</w:t>
      </w:r>
      <w:proofErr w:type="spellEnd"/>
      <w:r>
        <w:rPr>
          <w:color w:val="000000"/>
          <w:shd w:val="clear" w:color="auto" w:fill="FFFFFF"/>
        </w:rPr>
        <w:t xml:space="preserve">-es </w:t>
      </w:r>
      <w:r w:rsidR="001E5FD0" w:rsidRPr="00426D01">
        <w:t>frekvencia</w:t>
      </w:r>
      <w:r>
        <w:rPr>
          <w:color w:val="000000"/>
          <w:shd w:val="clear" w:color="auto" w:fill="FFFFFF"/>
        </w:rPr>
        <w:t>sávban,</w:t>
      </w:r>
    </w:p>
    <w:p w14:paraId="23A27B9D" w14:textId="77777777" w:rsidR="008C63E0" w:rsidRDefault="008C63E0" w:rsidP="008C63E0">
      <w:pPr>
        <w:pStyle w:val="Behzottbekezdsnmhh"/>
        <w:numPr>
          <w:ilvl w:val="0"/>
          <w:numId w:val="62"/>
        </w:numPr>
        <w:rPr>
          <w:color w:val="000000"/>
          <w:shd w:val="clear" w:color="auto" w:fill="FFFFFF"/>
        </w:rPr>
      </w:pPr>
      <w:r>
        <w:rPr>
          <w:color w:val="000000"/>
          <w:shd w:val="clear" w:color="auto" w:fill="FFFFFF"/>
        </w:rPr>
        <w:t>blokkgazdálkodás keretében üzemeltethetők a rendszerek,</w:t>
      </w:r>
    </w:p>
    <w:p w14:paraId="2B6D028A" w14:textId="77777777" w:rsidR="008C63E0" w:rsidRDefault="008C63E0" w:rsidP="008C63E0">
      <w:pPr>
        <w:pStyle w:val="Behzottbekezdsnmhh"/>
        <w:numPr>
          <w:ilvl w:val="0"/>
          <w:numId w:val="62"/>
        </w:numPr>
        <w:rPr>
          <w:color w:val="000000"/>
          <w:shd w:val="clear" w:color="auto" w:fill="FFFFFF"/>
        </w:rPr>
      </w:pPr>
      <w:r>
        <w:rPr>
          <w:color w:val="000000"/>
          <w:shd w:val="clear" w:color="auto" w:fill="FFFFFF"/>
        </w:rPr>
        <w:t>elérhetők a piacon nagykapacitású, az újgenerációs bázisállomásokat kiszolgálni képes eszközök.</w:t>
      </w:r>
    </w:p>
    <w:p w14:paraId="10072D12" w14:textId="3F497EED" w:rsidR="008C63E0" w:rsidRDefault="008C63E0" w:rsidP="008C63E0">
      <w:pPr>
        <w:pStyle w:val="Behzottbekezdsnmhh"/>
      </w:pPr>
      <w:r w:rsidDel="002306E4">
        <w:t xml:space="preserve">Adott mennyiségű felhordóhálózati összeköttetés átcsoportosítható lehet más mikrohullámú </w:t>
      </w:r>
      <w:r w:rsidR="001E5FD0" w:rsidRPr="00426D01">
        <w:t>frekvencia</w:t>
      </w:r>
      <w:r w:rsidDel="002306E4">
        <w:t xml:space="preserve">sávokba, vagy kiváltható optikai összeköttetéssel, de ez nem minden esetben lehetséges, így </w:t>
      </w:r>
      <w:r w:rsidR="00086DCE">
        <w:t>szükséges</w:t>
      </w:r>
      <w:r w:rsidDel="002306E4">
        <w:t xml:space="preserve"> új </w:t>
      </w:r>
      <w:r w:rsidR="001E5FD0" w:rsidRPr="00426D01">
        <w:t>frekvencia</w:t>
      </w:r>
      <w:r w:rsidDel="002306E4">
        <w:t xml:space="preserve">sáv </w:t>
      </w:r>
      <w:r w:rsidR="00886386">
        <w:t>elérhetővé tétele</w:t>
      </w:r>
      <w:r>
        <w:t>.</w:t>
      </w:r>
    </w:p>
    <w:p w14:paraId="74D114E7" w14:textId="5B3AD978" w:rsidR="00F942AA" w:rsidRPr="00A56D0C" w:rsidRDefault="00F942AA" w:rsidP="00C44441">
      <w:pPr>
        <w:pStyle w:val="Cmsor3szmozottnmhh"/>
        <w:spacing w:before="240"/>
        <w:ind w:left="1996"/>
      </w:pPr>
      <w:bookmarkStart w:id="51" w:name="_Toc96075612"/>
      <w:r>
        <w:t xml:space="preserve">A </w:t>
      </w:r>
      <w:r w:rsidRPr="00A56D0C">
        <w:t>24,5-26,5 </w:t>
      </w:r>
      <w:proofErr w:type="spellStart"/>
      <w:r w:rsidRPr="00A56D0C">
        <w:t>GHz</w:t>
      </w:r>
      <w:proofErr w:type="spellEnd"/>
      <w:r w:rsidRPr="00A56D0C">
        <w:t xml:space="preserve"> frekvenciasávú rendszerek kiváltásának lehetősége</w:t>
      </w:r>
      <w:bookmarkEnd w:id="51"/>
    </w:p>
    <w:p w14:paraId="7E58C335" w14:textId="2A5780D4" w:rsidR="008C63E0" w:rsidRDefault="008C63E0" w:rsidP="008C63E0">
      <w:pPr>
        <w:pStyle w:val="Behzottbekezdsnmhh"/>
        <w:rPr>
          <w:color w:val="000000"/>
          <w:shd w:val="clear" w:color="auto" w:fill="FFFFFF"/>
        </w:rPr>
      </w:pPr>
      <w:r>
        <w:rPr>
          <w:color w:val="000000"/>
          <w:shd w:val="clear" w:color="auto" w:fill="FFFFFF"/>
        </w:rPr>
        <w:t>A</w:t>
      </w:r>
      <w:r w:rsidRPr="00F24AD5">
        <w:rPr>
          <w:color w:val="000000"/>
          <w:shd w:val="clear" w:color="auto" w:fill="FFFFFF"/>
        </w:rPr>
        <w:t xml:space="preserve"> </w:t>
      </w:r>
      <w:r>
        <w:rPr>
          <w:color w:val="000000"/>
          <w:shd w:val="clear" w:color="auto" w:fill="FFFFFF"/>
        </w:rPr>
        <w:t xml:space="preserve">fenti </w:t>
      </w:r>
      <w:r w:rsidRPr="00F24AD5">
        <w:rPr>
          <w:color w:val="000000"/>
          <w:shd w:val="clear" w:color="auto" w:fill="FFFFFF"/>
        </w:rPr>
        <w:t>feltételeknek a 32 </w:t>
      </w:r>
      <w:proofErr w:type="spellStart"/>
      <w:r w:rsidRPr="00F24AD5">
        <w:rPr>
          <w:color w:val="000000"/>
          <w:shd w:val="clear" w:color="auto" w:fill="FFFFFF"/>
        </w:rPr>
        <w:t>GHz</w:t>
      </w:r>
      <w:proofErr w:type="spellEnd"/>
      <w:r w:rsidRPr="00F24AD5">
        <w:rPr>
          <w:color w:val="000000"/>
          <w:shd w:val="clear" w:color="auto" w:fill="FFFFFF"/>
        </w:rPr>
        <w:t xml:space="preserve">-es frekvenciasáv </w:t>
      </w:r>
      <w:r w:rsidR="00D43693">
        <w:rPr>
          <w:color w:val="000000"/>
          <w:shd w:val="clear" w:color="auto" w:fill="FFFFFF"/>
        </w:rPr>
        <w:t>a legmegfelelőbb</w:t>
      </w:r>
      <w:r>
        <w:rPr>
          <w:color w:val="000000"/>
          <w:shd w:val="clear" w:color="auto" w:fill="FFFFFF"/>
        </w:rPr>
        <w:t xml:space="preserve"> a szóba jöhető frekvenciasávok közül</w:t>
      </w:r>
      <w:r w:rsidRPr="00F24AD5">
        <w:rPr>
          <w:color w:val="000000"/>
          <w:shd w:val="clear" w:color="auto" w:fill="FFFFFF"/>
        </w:rPr>
        <w:t>. A 28 </w:t>
      </w:r>
      <w:proofErr w:type="spellStart"/>
      <w:r w:rsidRPr="00F24AD5">
        <w:rPr>
          <w:color w:val="000000"/>
          <w:shd w:val="clear" w:color="auto" w:fill="FFFFFF"/>
        </w:rPr>
        <w:t>GHz</w:t>
      </w:r>
      <w:proofErr w:type="spellEnd"/>
      <w:r w:rsidRPr="00F24AD5">
        <w:rPr>
          <w:color w:val="000000"/>
          <w:shd w:val="clear" w:color="auto" w:fill="FFFFFF"/>
        </w:rPr>
        <w:t xml:space="preserve">-es </w:t>
      </w:r>
      <w:r w:rsidR="001E5FD0" w:rsidRPr="00426D01">
        <w:t>frekvencia</w:t>
      </w:r>
      <w:r w:rsidRPr="00F24AD5">
        <w:rPr>
          <w:color w:val="000000"/>
          <w:shd w:val="clear" w:color="auto" w:fill="FFFFFF"/>
        </w:rPr>
        <w:t>sáv merül</w:t>
      </w:r>
      <w:r>
        <w:rPr>
          <w:color w:val="000000"/>
          <w:shd w:val="clear" w:color="auto" w:fill="FFFFFF"/>
        </w:rPr>
        <w:t>t</w:t>
      </w:r>
      <w:r w:rsidRPr="00F24AD5">
        <w:rPr>
          <w:color w:val="000000"/>
          <w:shd w:val="clear" w:color="auto" w:fill="FFFFFF"/>
        </w:rPr>
        <w:t xml:space="preserve"> még </w:t>
      </w:r>
      <w:r w:rsidR="00487B2A">
        <w:rPr>
          <w:color w:val="000000"/>
          <w:shd w:val="clear" w:color="auto" w:fill="FFFFFF"/>
        </w:rPr>
        <w:t>fel</w:t>
      </w:r>
      <w:r w:rsidRPr="00F24AD5">
        <w:rPr>
          <w:color w:val="000000"/>
          <w:shd w:val="clear" w:color="auto" w:fill="FFFFFF"/>
        </w:rPr>
        <w:t xml:space="preserve">, mint </w:t>
      </w:r>
      <w:r w:rsidR="00487B2A">
        <w:rPr>
          <w:color w:val="000000"/>
          <w:shd w:val="clear" w:color="auto" w:fill="FFFFFF"/>
        </w:rPr>
        <w:t>lehetőség</w:t>
      </w:r>
      <w:r w:rsidRPr="00F24AD5">
        <w:rPr>
          <w:color w:val="000000"/>
          <w:shd w:val="clear" w:color="auto" w:fill="FFFFFF"/>
        </w:rPr>
        <w:t xml:space="preserve">, de ez a </w:t>
      </w:r>
      <w:r w:rsidR="001E5FD0" w:rsidRPr="00426D01">
        <w:t>frekvencia</w:t>
      </w:r>
      <w:r w:rsidRPr="00F24AD5">
        <w:rPr>
          <w:color w:val="000000"/>
          <w:shd w:val="clear" w:color="auto" w:fill="FFFFFF"/>
        </w:rPr>
        <w:t xml:space="preserve">sáv kevésbé alkalmas a célra, mert egyrészt </w:t>
      </w:r>
      <w:r w:rsidR="00487B2A">
        <w:rPr>
          <w:color w:val="000000"/>
          <w:shd w:val="clear" w:color="auto" w:fill="FFFFFF"/>
        </w:rPr>
        <w:t>töredezett</w:t>
      </w:r>
      <w:r w:rsidR="00487B2A" w:rsidRPr="00F24AD5">
        <w:rPr>
          <w:color w:val="000000"/>
          <w:shd w:val="clear" w:color="auto" w:fill="FFFFFF"/>
        </w:rPr>
        <w:t xml:space="preserve"> </w:t>
      </w:r>
      <w:r w:rsidRPr="00F24AD5">
        <w:rPr>
          <w:color w:val="000000"/>
          <w:shd w:val="clear" w:color="auto" w:fill="FFFFFF"/>
        </w:rPr>
        <w:t xml:space="preserve">(egyes részei műholdas állandóhelyű szolgálat, más részei </w:t>
      </w:r>
      <w:r w:rsidR="00487B2A">
        <w:rPr>
          <w:color w:val="000000"/>
          <w:shd w:val="clear" w:color="auto" w:fill="FFFFFF"/>
        </w:rPr>
        <w:t xml:space="preserve">az </w:t>
      </w:r>
      <w:r w:rsidRPr="00F24AD5">
        <w:rPr>
          <w:color w:val="000000"/>
          <w:shd w:val="clear" w:color="auto" w:fill="FFFFFF"/>
        </w:rPr>
        <w:t>állandóhelyű szolgálat keretében működő rendszerek számára elérhető), ami nem teszi lehetővé a folytonos spektrumhasználatot, sáv</w:t>
      </w:r>
      <w:r>
        <w:rPr>
          <w:color w:val="000000"/>
          <w:shd w:val="clear" w:color="auto" w:fill="FFFFFF"/>
        </w:rPr>
        <w:t>el</w:t>
      </w:r>
      <w:r w:rsidRPr="00F24AD5">
        <w:rPr>
          <w:color w:val="000000"/>
          <w:shd w:val="clear" w:color="auto" w:fill="FFFFFF"/>
        </w:rPr>
        <w:t xml:space="preserve">osztást, másrészt állandóhelyű szolgálati alkalmazások részére csak kb. 1 </w:t>
      </w:r>
      <w:proofErr w:type="spellStart"/>
      <w:r w:rsidRPr="00F24AD5">
        <w:rPr>
          <w:color w:val="000000"/>
          <w:shd w:val="clear" w:color="auto" w:fill="FFFFFF"/>
        </w:rPr>
        <w:t>GHz</w:t>
      </w:r>
      <w:proofErr w:type="spellEnd"/>
      <w:r w:rsidRPr="00F24AD5">
        <w:rPr>
          <w:color w:val="000000"/>
          <w:shd w:val="clear" w:color="auto" w:fill="FFFFFF"/>
        </w:rPr>
        <w:t xml:space="preserve"> spektrum áll rendelkezésre</w:t>
      </w:r>
      <w:r>
        <w:rPr>
          <w:color w:val="000000"/>
          <w:shd w:val="clear" w:color="auto" w:fill="FFFFFF"/>
        </w:rPr>
        <w:t xml:space="preserve"> (beleértve a párosított sáv</w:t>
      </w:r>
      <w:r w:rsidR="001E5FD0">
        <w:rPr>
          <w:color w:val="000000"/>
          <w:shd w:val="clear" w:color="auto" w:fill="FFFFFF"/>
        </w:rPr>
        <w:t>rész</w:t>
      </w:r>
      <w:r>
        <w:rPr>
          <w:color w:val="000000"/>
          <w:shd w:val="clear" w:color="auto" w:fill="FFFFFF"/>
        </w:rPr>
        <w:t xml:space="preserve"> mindkét felét)</w:t>
      </w:r>
      <w:r w:rsidRPr="00F24AD5">
        <w:rPr>
          <w:color w:val="000000"/>
          <w:shd w:val="clear" w:color="auto" w:fill="FFFFFF"/>
        </w:rPr>
        <w:t>.</w:t>
      </w:r>
    </w:p>
    <w:p w14:paraId="2E45C6E2" w14:textId="4ADB6712" w:rsidR="008C63E0" w:rsidRDefault="008C63E0" w:rsidP="008C63E0">
      <w:pPr>
        <w:pStyle w:val="Behzottbekezdsnmhh"/>
      </w:pPr>
      <w:r w:rsidRPr="00F24AD5">
        <w:t>A 32</w:t>
      </w:r>
      <w:r w:rsidR="00886386">
        <w:t> </w:t>
      </w:r>
      <w:proofErr w:type="spellStart"/>
      <w:r w:rsidRPr="00F24AD5">
        <w:t>GHz</w:t>
      </w:r>
      <w:proofErr w:type="spellEnd"/>
      <w:r w:rsidRPr="00F24AD5">
        <w:t xml:space="preserve">-es </w:t>
      </w:r>
      <w:r w:rsidR="001E5FD0" w:rsidRPr="00426D01">
        <w:t>frekvencia</w:t>
      </w:r>
      <w:r w:rsidRPr="00F24AD5">
        <w:t xml:space="preserve">sáv jelenleg állandóhelyű pont-pont és pont-többpont rendszerek számára </w:t>
      </w:r>
      <w:r>
        <w:t>kijelölt</w:t>
      </w:r>
      <w:r w:rsidRPr="00F24AD5">
        <w:t xml:space="preserve"> az ERC/REC/(01</w:t>
      </w:r>
      <w:proofErr w:type="gramStart"/>
      <w:r w:rsidRPr="00F24AD5">
        <w:t>)02</w:t>
      </w:r>
      <w:proofErr w:type="gramEnd"/>
      <w:r w:rsidRPr="00F24AD5">
        <w:t xml:space="preserve"> </w:t>
      </w:r>
      <w:r w:rsidR="00487B2A">
        <w:t>A</w:t>
      </w:r>
      <w:r w:rsidRPr="00F24AD5">
        <w:t xml:space="preserve">jánlás alapján. </w:t>
      </w:r>
      <w:r>
        <w:t xml:space="preserve">Ennek megfelelően a sávhasználati szabályok is </w:t>
      </w:r>
      <w:r w:rsidR="00487B2A">
        <w:t>szerepelnek</w:t>
      </w:r>
      <w:r>
        <w:t xml:space="preserve"> az NFFF vonatkozó részében. </w:t>
      </w:r>
      <w:r w:rsidRPr="00F24AD5">
        <w:t xml:space="preserve">A </w:t>
      </w:r>
      <w:r w:rsidR="001E5FD0" w:rsidRPr="00426D01">
        <w:t>frekvencia</w:t>
      </w:r>
      <w:r w:rsidRPr="00F24AD5">
        <w:t xml:space="preserve">sáv ezen kívül kijelölt rádiónavigációs szolgálat keretében működő gurítóradarok számára együttes célú használatra, de </w:t>
      </w:r>
      <w:r w:rsidR="00487B2A">
        <w:t xml:space="preserve">nincs </w:t>
      </w:r>
      <w:r w:rsidRPr="00F24AD5">
        <w:t xml:space="preserve">ilyen jellegű </w:t>
      </w:r>
      <w:r w:rsidR="00487B2A">
        <w:t xml:space="preserve">gyakorlati használat </w:t>
      </w:r>
      <w:r w:rsidR="00922E0D">
        <w:t xml:space="preserve">sem </w:t>
      </w:r>
      <w:r w:rsidR="00487B2A">
        <w:t xml:space="preserve">a </w:t>
      </w:r>
      <w:r w:rsidRPr="00F24AD5">
        <w:t xml:space="preserve">polgári, </w:t>
      </w:r>
      <w:r w:rsidR="00922E0D">
        <w:t>sem a</w:t>
      </w:r>
      <w:r w:rsidRPr="00F24AD5">
        <w:t xml:space="preserve"> nem polgári</w:t>
      </w:r>
      <w:r w:rsidR="00922E0D">
        <w:t xml:space="preserve"> területen</w:t>
      </w:r>
      <w:r w:rsidRPr="00F24AD5">
        <w:t>. Ezen felül a 31,8-32,3 </w:t>
      </w:r>
      <w:proofErr w:type="spellStart"/>
      <w:r w:rsidRPr="00F24AD5">
        <w:t>GHz</w:t>
      </w:r>
      <w:proofErr w:type="spellEnd"/>
      <w:r w:rsidRPr="00F24AD5">
        <w:t xml:space="preserve"> sávrész tervezett űrkutatás céljára (távoli űr, űr-Föld irány), de ilyen jellegű használat </w:t>
      </w:r>
      <w:r w:rsidR="00922E0D" w:rsidRPr="00F24AD5">
        <w:t xml:space="preserve">a közeljövőben </w:t>
      </w:r>
      <w:r w:rsidRPr="00F24AD5">
        <w:t>nem várható</w:t>
      </w:r>
      <w:r w:rsidR="00922E0D">
        <w:t xml:space="preserve"> Magyarországon</w:t>
      </w:r>
      <w:r w:rsidRPr="00F24AD5">
        <w:t>. A CEPT szinten harmonizált műszaki feltételek és a csatornaelrendezésre vonatkozó szabályok rendelkezésre állnak az ERC/REC/(01</w:t>
      </w:r>
      <w:proofErr w:type="gramStart"/>
      <w:r w:rsidRPr="00F24AD5">
        <w:t>)02</w:t>
      </w:r>
      <w:proofErr w:type="gramEnd"/>
      <w:r w:rsidRPr="00F24AD5">
        <w:t xml:space="preserve"> </w:t>
      </w:r>
      <w:r w:rsidR="00922E0D">
        <w:t>A</w:t>
      </w:r>
      <w:r w:rsidRPr="00F24AD5">
        <w:t>jánlásban</w:t>
      </w:r>
      <w:r>
        <w:t>, amelye</w:t>
      </w:r>
      <w:r w:rsidR="00922E0D">
        <w:t>k</w:t>
      </w:r>
      <w:r>
        <w:t xml:space="preserve"> </w:t>
      </w:r>
      <w:r w:rsidR="00922E0D">
        <w:t xml:space="preserve">már beépültek </w:t>
      </w:r>
      <w:r w:rsidR="00596217">
        <w:t>az NFFF-be</w:t>
      </w:r>
      <w:r w:rsidR="00922E0D">
        <w:t>.</w:t>
      </w:r>
      <w:r w:rsidRPr="00F24AD5">
        <w:t xml:space="preserve"> </w:t>
      </w:r>
      <w:r w:rsidRPr="00F77911">
        <w:rPr>
          <w:b/>
        </w:rPr>
        <w:lastRenderedPageBreak/>
        <w:t>A 32</w:t>
      </w:r>
      <w:r w:rsidR="00886386" w:rsidRPr="00F77911">
        <w:rPr>
          <w:b/>
        </w:rPr>
        <w:t> </w:t>
      </w:r>
      <w:proofErr w:type="spellStart"/>
      <w:r w:rsidRPr="00F77911">
        <w:rPr>
          <w:b/>
        </w:rPr>
        <w:t>GHz</w:t>
      </w:r>
      <w:proofErr w:type="spellEnd"/>
      <w:r w:rsidRPr="00F77911">
        <w:rPr>
          <w:b/>
        </w:rPr>
        <w:t xml:space="preserve">-es </w:t>
      </w:r>
      <w:r w:rsidR="001E5FD0" w:rsidRPr="00F77911">
        <w:rPr>
          <w:b/>
        </w:rPr>
        <w:t>frekvencia</w:t>
      </w:r>
      <w:r w:rsidRPr="00F77911">
        <w:rPr>
          <w:b/>
        </w:rPr>
        <w:t>sávra vonatkozó részletes információkat a 32</w:t>
      </w:r>
      <w:r w:rsidR="00886386" w:rsidRPr="00F77911">
        <w:rPr>
          <w:b/>
        </w:rPr>
        <w:t> </w:t>
      </w:r>
      <w:proofErr w:type="spellStart"/>
      <w:r w:rsidRPr="00F77911">
        <w:rPr>
          <w:b/>
        </w:rPr>
        <w:t>GHz</w:t>
      </w:r>
      <w:proofErr w:type="spellEnd"/>
      <w:r w:rsidRPr="00F77911">
        <w:rPr>
          <w:b/>
        </w:rPr>
        <w:t>-es sávismertető tartalmazza.</w:t>
      </w:r>
      <w:r>
        <w:t xml:space="preserve"> </w:t>
      </w:r>
    </w:p>
    <w:p w14:paraId="0696950F" w14:textId="5A9F3ACC" w:rsidR="00086DCE" w:rsidRDefault="009D432E" w:rsidP="00C44441">
      <w:pPr>
        <w:pStyle w:val="Cmsor3szmozottnmhh"/>
        <w:spacing w:before="240"/>
        <w:ind w:left="1996"/>
      </w:pPr>
      <w:bookmarkStart w:id="52" w:name="_Toc96075613"/>
      <w:r>
        <w:t xml:space="preserve">A 24,5-26,5 </w:t>
      </w:r>
      <w:proofErr w:type="spellStart"/>
      <w:r>
        <w:t>GHz</w:t>
      </w:r>
      <w:proofErr w:type="spellEnd"/>
      <w:r>
        <w:t xml:space="preserve"> sáv </w:t>
      </w:r>
      <w:r w:rsidR="00F942AA">
        <w:t>részbeni</w:t>
      </w:r>
      <w:r w:rsidR="00AA47DC">
        <w:t xml:space="preserve"> elérhetővé tétele </w:t>
      </w:r>
      <w:r>
        <w:t>MFCN cél</w:t>
      </w:r>
      <w:r w:rsidR="00AA47DC">
        <w:t>ra</w:t>
      </w:r>
      <w:bookmarkEnd w:id="52"/>
      <w:r>
        <w:t xml:space="preserve"> </w:t>
      </w:r>
    </w:p>
    <w:p w14:paraId="7C2761C5" w14:textId="2AC1E2AA" w:rsidR="008C63E0" w:rsidRDefault="008C63E0" w:rsidP="008C63E0">
      <w:pPr>
        <w:pStyle w:val="Behzottbekezdsnmhh"/>
      </w:pPr>
      <w:r w:rsidRPr="005833AB">
        <w:t>A</w:t>
      </w:r>
      <w:r w:rsidR="00596217">
        <w:t xml:space="preserve"> </w:t>
      </w:r>
      <w:r w:rsidRPr="005833AB">
        <w:t>jelenlegi jogosultságokat és sávelosztást figyelembe véve</w:t>
      </w:r>
      <w:r w:rsidR="00156550">
        <w:t xml:space="preserve"> különböző opciók merülnek fel. A</w:t>
      </w:r>
      <w:r w:rsidRPr="005833AB">
        <w:t xml:space="preserve"> </w:t>
      </w:r>
      <w:r w:rsidR="001E5FD0" w:rsidRPr="005833AB">
        <w:t>frekvencia</w:t>
      </w:r>
      <w:r w:rsidRPr="005833AB">
        <w:t>sáv alsó részén elhelyezkedő első felhasználói blokk 24</w:t>
      </w:r>
      <w:r w:rsidR="00922E0D">
        <w:t> </w:t>
      </w:r>
      <w:r w:rsidRPr="005833AB">
        <w:t xml:space="preserve">633 </w:t>
      </w:r>
      <w:proofErr w:type="spellStart"/>
      <w:r w:rsidRPr="005833AB">
        <w:t>MHz-től</w:t>
      </w:r>
      <w:proofErr w:type="spellEnd"/>
      <w:r w:rsidRPr="005833AB">
        <w:t xml:space="preserve"> indul, ami azt jelenti, hogy a párosított (FDD) elrendezésű 24,5-26,5 </w:t>
      </w:r>
      <w:proofErr w:type="spellStart"/>
      <w:r w:rsidRPr="005833AB">
        <w:t>GHz</w:t>
      </w:r>
      <w:proofErr w:type="spellEnd"/>
      <w:r w:rsidRPr="005833AB">
        <w:t xml:space="preserve"> </w:t>
      </w:r>
      <w:r w:rsidR="00E9113D" w:rsidRPr="005833AB">
        <w:t>frekvencia</w:t>
      </w:r>
      <w:r w:rsidRPr="005833AB">
        <w:t xml:space="preserve">tartomány alsó részén 133 MHz szabad spektrum áll rendelkezésre. </w:t>
      </w:r>
      <w:r w:rsidR="00156550">
        <w:t>A</w:t>
      </w:r>
      <w:r w:rsidRPr="005833AB">
        <w:t xml:space="preserve">z alsó szabad sávrész </w:t>
      </w:r>
      <w:proofErr w:type="spellStart"/>
      <w:r w:rsidRPr="005833AB">
        <w:t>párosítatlan</w:t>
      </w:r>
      <w:proofErr w:type="spellEnd"/>
      <w:r w:rsidRPr="005833AB">
        <w:t xml:space="preserve"> elrendezésűvé alakít</w:t>
      </w:r>
      <w:r w:rsidR="00156550">
        <w:t>ásával</w:t>
      </w:r>
      <w:r w:rsidRPr="005833AB">
        <w:t xml:space="preserve"> és </w:t>
      </w:r>
      <w:r w:rsidR="00156550">
        <w:t>az alatta lévő</w:t>
      </w:r>
      <w:r w:rsidR="00442017">
        <w:t xml:space="preserve"> </w:t>
      </w:r>
      <w:r w:rsidRPr="005833AB">
        <w:t xml:space="preserve">24,25-24,5 </w:t>
      </w:r>
      <w:proofErr w:type="spellStart"/>
      <w:r w:rsidRPr="005833AB">
        <w:t>GHz</w:t>
      </w:r>
      <w:proofErr w:type="spellEnd"/>
      <w:r w:rsidRPr="005833AB">
        <w:t xml:space="preserve"> sávrésszel</w:t>
      </w:r>
      <w:r w:rsidR="00156550">
        <w:t xml:space="preserve"> történő összevonásával</w:t>
      </w:r>
      <w:r w:rsidRPr="005833AB">
        <w:t xml:space="preserve"> 383 MHz összefüggő TDD spektrum</w:t>
      </w:r>
      <w:r w:rsidR="00156550">
        <w:t xml:space="preserve"> adódhat. </w:t>
      </w:r>
      <w:r w:rsidRPr="005833AB">
        <w:t>Ebből valamennyit a szomszédos FDD felhasználói blokk miatt fel kellene használni frekvenciaelválasztás céljára, amennyiben a területi elválasztás, illetve egyéb zavarcsökkentő technikák alkalmazása nem biztosít elegendő védelmet az eltérő típusú és üzemmódú rendszerek zavarmentes működéséhez</w:t>
      </w:r>
      <w:r w:rsidR="00301E0E">
        <w:t>.</w:t>
      </w:r>
      <w:r w:rsidR="00301E0E" w:rsidRPr="006E5C5B">
        <w:t xml:space="preserve"> Felmerülhet </w:t>
      </w:r>
      <w:r w:rsidR="00FD5791" w:rsidRPr="006E5C5B">
        <w:t xml:space="preserve">olyan </w:t>
      </w:r>
      <w:r w:rsidRPr="006E5C5B">
        <w:t>a lehetőség</w:t>
      </w:r>
      <w:r w:rsidR="00301E0E" w:rsidRPr="006E5C5B">
        <w:t xml:space="preserve"> is</w:t>
      </w:r>
      <w:r w:rsidRPr="006E5C5B">
        <w:t xml:space="preserve">, hogy a </w:t>
      </w:r>
      <w:r w:rsidR="00156550" w:rsidRPr="006E5C5B">
        <w:t xml:space="preserve">különböző lejárati idejű </w:t>
      </w:r>
      <w:r w:rsidRPr="006E5C5B">
        <w:t>felhasználói blokk</w:t>
      </w:r>
      <w:r w:rsidR="00156550" w:rsidRPr="006E5C5B">
        <w:t>ok</w:t>
      </w:r>
      <w:r w:rsidRPr="006E5C5B">
        <w:t xml:space="preserve"> megcserélésével</w:t>
      </w:r>
      <w:r w:rsidR="008B1574" w:rsidRPr="006E5C5B">
        <w:t>, sávátrendezéssel</w:t>
      </w:r>
      <w:r w:rsidRPr="006E5C5B">
        <w:t xml:space="preserve"> a </w:t>
      </w:r>
      <w:r w:rsidR="001E5FD0" w:rsidRPr="006E5C5B">
        <w:t>frekvencia</w:t>
      </w:r>
      <w:r w:rsidRPr="006E5C5B">
        <w:t>sáv</w:t>
      </w:r>
      <w:r w:rsidR="008B1574" w:rsidRPr="006E5C5B">
        <w:t>ban egy csoportba</w:t>
      </w:r>
      <w:r w:rsidRPr="006E5C5B">
        <w:t xml:space="preserve"> </w:t>
      </w:r>
      <w:r w:rsidR="00301E0E" w:rsidRPr="006E5C5B">
        <w:t>kerülhet</w:t>
      </w:r>
      <w:r w:rsidR="008B1574" w:rsidRPr="006E5C5B">
        <w:t>nek</w:t>
      </w:r>
      <w:r w:rsidR="00301E0E" w:rsidRPr="006E5C5B">
        <w:t xml:space="preserve"> </w:t>
      </w:r>
      <w:r w:rsidRPr="006E5C5B">
        <w:t>a 2024-</w:t>
      </w:r>
      <w:r w:rsidR="008B1574" w:rsidRPr="006E5C5B">
        <w:t>ben</w:t>
      </w:r>
      <w:r w:rsidRPr="006E5C5B">
        <w:t xml:space="preserve"> lejár</w:t>
      </w:r>
      <w:r w:rsidR="008B1574" w:rsidRPr="006E5C5B">
        <w:t>ó frekvenciahasználati jogosultságú</w:t>
      </w:r>
      <w:r w:rsidRPr="006E5C5B">
        <w:t xml:space="preserve"> felhasználói blokk. </w:t>
      </w:r>
      <w:r w:rsidR="00301E0E" w:rsidRPr="006E5C5B">
        <w:t>Ennek eredményeképpen</w:t>
      </w:r>
      <w:r w:rsidRPr="006E5C5B">
        <w:t xml:space="preserve"> 2024 után </w:t>
      </w:r>
      <w:r w:rsidR="00FD5791" w:rsidRPr="006E5C5B">
        <w:t>nagyobb, egybefüggő,</w:t>
      </w:r>
      <w:r w:rsidRPr="006E5C5B">
        <w:t xml:space="preserve"> </w:t>
      </w:r>
      <w:r w:rsidR="00FD5791" w:rsidRPr="006E5C5B">
        <w:t>nem használt</w:t>
      </w:r>
      <w:r w:rsidRPr="006E5C5B">
        <w:t xml:space="preserve"> </w:t>
      </w:r>
      <w:r w:rsidR="00FD5791" w:rsidRPr="006E5C5B">
        <w:t>rádió</w:t>
      </w:r>
      <w:r w:rsidRPr="006E5C5B">
        <w:t>spektrum</w:t>
      </w:r>
      <w:r w:rsidR="00FD5791" w:rsidRPr="006E5C5B">
        <w:t>mennyiség állna rendelkezésre</w:t>
      </w:r>
      <w:r w:rsidR="00064DDA" w:rsidRPr="006E5C5B">
        <w:t xml:space="preserve"> </w:t>
      </w:r>
      <w:r w:rsidRPr="006E5C5B">
        <w:t xml:space="preserve">TDD </w:t>
      </w:r>
      <w:r w:rsidR="00F77911" w:rsidRPr="006E5C5B">
        <w:t>felhasználás</w:t>
      </w:r>
      <w:r w:rsidR="00301E0E" w:rsidRPr="006E5C5B">
        <w:t xml:space="preserve"> </w:t>
      </w:r>
      <w:r w:rsidR="00F77911" w:rsidRPr="006E5C5B">
        <w:t>céljára</w:t>
      </w:r>
      <w:r w:rsidRPr="006E5C5B">
        <w:t xml:space="preserve"> (a frekvenciaelválasztásra vonatkozó </w:t>
      </w:r>
      <w:r w:rsidR="00301E0E" w:rsidRPr="006E5C5B">
        <w:t xml:space="preserve">megfontolásokat </w:t>
      </w:r>
      <w:r w:rsidRPr="006E5C5B">
        <w:t xml:space="preserve">ebben az esetben is </w:t>
      </w:r>
      <w:r w:rsidR="00301E0E" w:rsidRPr="006E5C5B">
        <w:t>figyelembe kell venni</w:t>
      </w:r>
      <w:r w:rsidRPr="006E5C5B">
        <w:t>).</w:t>
      </w:r>
    </w:p>
    <w:p w14:paraId="1CD9F089" w14:textId="77777777" w:rsidR="00133E39" w:rsidRPr="005833AB" w:rsidRDefault="00133E39" w:rsidP="008C63E0">
      <w:pPr>
        <w:pStyle w:val="Behzottbekezdsnmhh"/>
      </w:pPr>
    </w:p>
    <w:p w14:paraId="0DDECD69" w14:textId="6173CC7B" w:rsidR="008C63E0" w:rsidRDefault="008C63E0" w:rsidP="004942E2">
      <w:pPr>
        <w:pStyle w:val="Cmsor2szmozottnmhh"/>
        <w:rPr>
          <w:shd w:val="clear" w:color="auto" w:fill="FFFFFF"/>
        </w:rPr>
      </w:pPr>
      <w:bookmarkStart w:id="53" w:name="_Toc92461629"/>
      <w:bookmarkStart w:id="54" w:name="_Toc96075614"/>
      <w:r>
        <w:rPr>
          <w:shd w:val="clear" w:color="auto" w:fill="FFFFFF"/>
        </w:rPr>
        <w:t>26</w:t>
      </w:r>
      <w:r w:rsidRPr="00B45181">
        <w:rPr>
          <w:shd w:val="clear" w:color="auto" w:fill="FFFFFF"/>
        </w:rPr>
        <w:t>,</w:t>
      </w:r>
      <w:r>
        <w:rPr>
          <w:shd w:val="clear" w:color="auto" w:fill="FFFFFF"/>
        </w:rPr>
        <w:t>5-27</w:t>
      </w:r>
      <w:r w:rsidR="004942E2">
        <w:rPr>
          <w:shd w:val="clear" w:color="auto" w:fill="FFFFFF"/>
        </w:rPr>
        <w:t xml:space="preserve">,5 </w:t>
      </w:r>
      <w:proofErr w:type="spellStart"/>
      <w:r w:rsidR="004942E2">
        <w:rPr>
          <w:shd w:val="clear" w:color="auto" w:fill="FFFFFF"/>
        </w:rPr>
        <w:t>GHz</w:t>
      </w:r>
      <w:proofErr w:type="spellEnd"/>
      <w:r w:rsidR="004942E2">
        <w:rPr>
          <w:shd w:val="clear" w:color="auto" w:fill="FFFFFF"/>
        </w:rPr>
        <w:t xml:space="preserve"> sávrész</w:t>
      </w:r>
      <w:bookmarkEnd w:id="53"/>
      <w:bookmarkEnd w:id="54"/>
    </w:p>
    <w:p w14:paraId="377AFEF3" w14:textId="048B4CEF" w:rsidR="008C63E0" w:rsidRPr="008C7D61" w:rsidRDefault="008C63E0" w:rsidP="008C63E0">
      <w:pPr>
        <w:pStyle w:val="Behzottbekezdsnmhh"/>
        <w:rPr>
          <w:color w:val="000000"/>
          <w:shd w:val="clear" w:color="auto" w:fill="FFFFFF"/>
        </w:rPr>
      </w:pPr>
      <w:r>
        <w:rPr>
          <w:color w:val="000000"/>
          <w:shd w:val="clear" w:color="auto" w:fill="FFFFFF"/>
        </w:rPr>
        <w:t xml:space="preserve">Ez a sávrész jelenleg nem polgári célra </w:t>
      </w:r>
      <w:r w:rsidR="001E4194">
        <w:rPr>
          <w:color w:val="000000"/>
          <w:shd w:val="clear" w:color="auto" w:fill="FFFFFF"/>
        </w:rPr>
        <w:t>kijelölt</w:t>
      </w:r>
      <w:r w:rsidR="00900816">
        <w:rPr>
          <w:color w:val="000000"/>
          <w:shd w:val="clear" w:color="auto" w:fill="FFFFFF"/>
        </w:rPr>
        <w:t>, jelenleg NATO harmonizált sáv</w:t>
      </w:r>
      <w:r w:rsidR="00900816">
        <w:rPr>
          <w:rStyle w:val="Lbjegyzet-hivatkozs"/>
          <w:color w:val="000000"/>
          <w:shd w:val="clear" w:color="auto" w:fill="FFFFFF"/>
        </w:rPr>
        <w:footnoteReference w:id="44"/>
      </w:r>
      <w:r w:rsidR="00064DDA">
        <w:rPr>
          <w:color w:val="000000"/>
          <w:shd w:val="clear" w:color="auto" w:fill="FFFFFF"/>
        </w:rPr>
        <w:t xml:space="preserve">. </w:t>
      </w:r>
      <w:r>
        <w:t xml:space="preserve">A 26,5-27,5 </w:t>
      </w:r>
      <w:proofErr w:type="spellStart"/>
      <w:r>
        <w:t>GHz</w:t>
      </w:r>
      <w:proofErr w:type="spellEnd"/>
      <w:r>
        <w:t xml:space="preserve"> </w:t>
      </w:r>
      <w:r w:rsidR="00E9113D">
        <w:t>frekvencia</w:t>
      </w:r>
      <w:r>
        <w:t>tartományban nem polgári célú használat esetén r</w:t>
      </w:r>
      <w:r w:rsidRPr="00631CBF">
        <w:t>ádióspektrum-használati jog a polgári és a nem polgári rádióspektrum-gazdálkodási szempontok összehangolása után szerezhető.</w:t>
      </w:r>
      <w:r>
        <w:t xml:space="preserve"> </w:t>
      </w:r>
      <w:r w:rsidR="00064DDA">
        <w:t xml:space="preserve">A jelenlegi szabályozás szerint a </w:t>
      </w:r>
      <w:r w:rsidR="00064DDA">
        <w:rPr>
          <w:shd w:val="clear" w:color="auto" w:fill="FFFFFF"/>
        </w:rPr>
        <w:t>26</w:t>
      </w:r>
      <w:r w:rsidR="00064DDA" w:rsidRPr="00B45181">
        <w:rPr>
          <w:shd w:val="clear" w:color="auto" w:fill="FFFFFF"/>
        </w:rPr>
        <w:t>,</w:t>
      </w:r>
      <w:r w:rsidR="00120DBD">
        <w:rPr>
          <w:shd w:val="clear" w:color="auto" w:fill="FFFFFF"/>
        </w:rPr>
        <w:t xml:space="preserve">5-27,5 </w:t>
      </w:r>
      <w:proofErr w:type="spellStart"/>
      <w:r w:rsidR="00120DBD">
        <w:rPr>
          <w:shd w:val="clear" w:color="auto" w:fill="FFFFFF"/>
        </w:rPr>
        <w:t>GHz</w:t>
      </w:r>
      <w:proofErr w:type="spellEnd"/>
      <w:r w:rsidR="00120DBD">
        <w:rPr>
          <w:shd w:val="clear" w:color="auto" w:fill="FFFFFF"/>
        </w:rPr>
        <w:t xml:space="preserve"> </w:t>
      </w:r>
      <w:r w:rsidR="00064DDA">
        <w:rPr>
          <w:shd w:val="clear" w:color="auto" w:fill="FFFFFF"/>
        </w:rPr>
        <w:t xml:space="preserve">sávrész polgári célra tervezett </w:t>
      </w:r>
      <w:r w:rsidR="00064DDA" w:rsidRPr="00631CBF">
        <w:t>az (EU) 2019/784 határozat</w:t>
      </w:r>
      <w:r w:rsidR="00064DDA">
        <w:t xml:space="preserve"> alapján</w:t>
      </w:r>
      <w:r w:rsidR="00594FCC">
        <w:t>. A</w:t>
      </w:r>
      <w:r w:rsidR="00064DDA">
        <w:rPr>
          <w:shd w:val="clear" w:color="auto" w:fill="FFFFFF"/>
        </w:rPr>
        <w:t xml:space="preserve"> sáv</w:t>
      </w:r>
      <w:r w:rsidR="00120DBD">
        <w:rPr>
          <w:shd w:val="clear" w:color="auto" w:fill="FFFFFF"/>
        </w:rPr>
        <w:t>rész</w:t>
      </w:r>
      <w:r w:rsidR="00064DDA">
        <w:rPr>
          <w:shd w:val="clear" w:color="auto" w:fill="FFFFFF"/>
        </w:rPr>
        <w:t xml:space="preserve"> jövőbeni használata a </w:t>
      </w:r>
      <w:r>
        <w:t>nem polgári oldallal történő egyeztetésektől és a nem polgári célú felhasználással kapcsolatos tervektől</w:t>
      </w:r>
      <w:r w:rsidR="008B5767">
        <w:t xml:space="preserve"> is</w:t>
      </w:r>
      <w:r w:rsidR="00064DDA">
        <w:t xml:space="preserve"> függ. </w:t>
      </w:r>
    </w:p>
    <w:p w14:paraId="29C8D9B0" w14:textId="19F3790C" w:rsidR="006159D3" w:rsidRPr="00E9176B" w:rsidRDefault="000F2E37" w:rsidP="000F2E37">
      <w:pPr>
        <w:pStyle w:val="Behzottbekezdsnmhh"/>
      </w:pPr>
      <w:r w:rsidRPr="00120DBD">
        <w:t>A</w:t>
      </w:r>
      <w:r w:rsidR="00120DBD">
        <w:t>z</w:t>
      </w:r>
      <w:r w:rsidRPr="00120DBD">
        <w:t xml:space="preserve"> </w:t>
      </w:r>
      <w:r w:rsidR="009D2D9F">
        <w:t>uniós kötelezettségek alapján</w:t>
      </w:r>
      <w:r w:rsidR="006159D3">
        <w:t>,</w:t>
      </w:r>
      <w:r w:rsidR="009D2D9F">
        <w:t xml:space="preserve"> </w:t>
      </w:r>
      <w:r w:rsidR="00F92470">
        <w:t xml:space="preserve">a tagállamoknak 2020. december 31-ig lehetővé kell tenniük a 26 </w:t>
      </w:r>
      <w:proofErr w:type="spellStart"/>
      <w:r w:rsidR="00F92470">
        <w:t>GHz</w:t>
      </w:r>
      <w:proofErr w:type="spellEnd"/>
      <w:r w:rsidR="00F92470">
        <w:t xml:space="preserve">-es frekvenciasáv legalább 1 </w:t>
      </w:r>
      <w:proofErr w:type="spellStart"/>
      <w:r w:rsidR="00F92470">
        <w:t>GHz</w:t>
      </w:r>
      <w:proofErr w:type="spellEnd"/>
      <w:r w:rsidR="00F92470">
        <w:t>-es tartományának használatát az 5G-s hálózatok kiépítésének megkönnyítése érdekében</w:t>
      </w:r>
      <w:r w:rsidR="006159D3">
        <w:t>,</w:t>
      </w:r>
      <w:r w:rsidR="009D2D9F">
        <w:t xml:space="preserve"> megalapozott piaci igény esetén</w:t>
      </w:r>
      <w:r w:rsidR="00F92470">
        <w:t>.</w:t>
      </w:r>
      <w:r w:rsidR="006159D3">
        <w:t xml:space="preserve"> </w:t>
      </w:r>
      <w:r w:rsidR="009D2D9F">
        <w:t>Ez</w:t>
      </w:r>
      <w:r w:rsidR="009D2D9F" w:rsidRPr="00120DBD">
        <w:t xml:space="preserve"> </w:t>
      </w:r>
      <w:r w:rsidRPr="00120DBD">
        <w:t>a</w:t>
      </w:r>
      <w:r w:rsidR="00011730" w:rsidRPr="00120DBD">
        <w:t xml:space="preserve"> felső 1 </w:t>
      </w:r>
      <w:proofErr w:type="spellStart"/>
      <w:r w:rsidR="00011730" w:rsidRPr="00120DBD">
        <w:t>GHz</w:t>
      </w:r>
      <w:proofErr w:type="spellEnd"/>
      <w:r w:rsidR="00011730" w:rsidRPr="00120DBD">
        <w:t xml:space="preserve"> sávrész</w:t>
      </w:r>
      <w:r w:rsidR="009D2D9F">
        <w:t xml:space="preserve"> kínálkozik megoldásnak az uniós kötelezettség teljesítésére, hisz</w:t>
      </w:r>
      <w:r w:rsidRPr="00120DBD">
        <w:t xml:space="preserve"> </w:t>
      </w:r>
      <w:r w:rsidR="00964EC1" w:rsidRPr="00120DBD">
        <w:t>jelenleg</w:t>
      </w:r>
      <w:r w:rsidRPr="00120DBD">
        <w:t xml:space="preserve"> nem használt</w:t>
      </w:r>
      <w:r w:rsidR="009D2D9F">
        <w:t>. De</w:t>
      </w:r>
      <w:r w:rsidR="008B5767">
        <w:t xml:space="preserve"> </w:t>
      </w:r>
      <w:r w:rsidR="00011730" w:rsidRPr="00120DBD">
        <w:t>ezt a kérdést is rendkívül körültekintően kell kezelni, hiszen, ha</w:t>
      </w:r>
      <w:r w:rsidRPr="00120DBD">
        <w:t xml:space="preserve"> </w:t>
      </w:r>
      <w:r w:rsidR="001C3EC9">
        <w:t>a tényleges igények felmérése</w:t>
      </w:r>
      <w:r w:rsidR="006159D3">
        <w:t>/jelentkezése</w:t>
      </w:r>
      <w:r w:rsidR="001C3EC9">
        <w:t xml:space="preserve"> előtt</w:t>
      </w:r>
      <w:r w:rsidRPr="00120DBD">
        <w:t xml:space="preserve"> </w:t>
      </w:r>
      <w:r w:rsidR="00964EC1" w:rsidRPr="00120DBD">
        <w:t>elosztanánk</w:t>
      </w:r>
      <w:r w:rsidRPr="00120DBD">
        <w:t xml:space="preserve"> </w:t>
      </w:r>
      <w:r w:rsidR="006159D3">
        <w:t xml:space="preserve">ezt a mennyiséget, majd később rendeznénk az egész sáv sorsát </w:t>
      </w:r>
      <w:r w:rsidRPr="00120DBD">
        <w:t xml:space="preserve">nem biztos, hogy optimális lenne a piac számára. </w:t>
      </w:r>
      <w:r w:rsidR="006159D3">
        <w:t>Abból a feltételezésből indulunk ki, hogy</w:t>
      </w:r>
      <w:r w:rsidR="006159D3" w:rsidRPr="00120DBD">
        <w:t xml:space="preserve"> </w:t>
      </w:r>
      <w:r w:rsidRPr="00120DBD">
        <w:t xml:space="preserve">egy szolgáltatónak ténylegesen </w:t>
      </w:r>
      <w:r w:rsidR="006159D3">
        <w:t>800-</w:t>
      </w:r>
      <w:r w:rsidRPr="00120DBD">
        <w:t xml:space="preserve">1000 MHz </w:t>
      </w:r>
      <w:r w:rsidRPr="00E9176B">
        <w:t xml:space="preserve">szükséges </w:t>
      </w:r>
      <w:r w:rsidR="006159D3" w:rsidRPr="00E9176B">
        <w:t xml:space="preserve">jó minőségő 5G szolgáltatás nyújtására. Ebben az esetben az 1 </w:t>
      </w:r>
      <w:proofErr w:type="spellStart"/>
      <w:r w:rsidR="006159D3" w:rsidRPr="00E9176B">
        <w:t>GHz</w:t>
      </w:r>
      <w:proofErr w:type="spellEnd"/>
      <w:r w:rsidR="006159D3" w:rsidRPr="00E9176B">
        <w:t xml:space="preserve"> elosztásával két út körvonalazódik:</w:t>
      </w:r>
      <w:r w:rsidR="00F92470" w:rsidRPr="00E9176B">
        <w:t xml:space="preserve"> </w:t>
      </w:r>
    </w:p>
    <w:p w14:paraId="78D51920" w14:textId="6F9D46B4" w:rsidR="006159D3" w:rsidRPr="00E9176B" w:rsidRDefault="00F92470" w:rsidP="0013034F">
      <w:pPr>
        <w:pStyle w:val="Behzottbekezdsnmhh"/>
        <w:numPr>
          <w:ilvl w:val="0"/>
          <w:numId w:val="85"/>
        </w:numPr>
      </w:pPr>
      <w:r w:rsidRPr="00E9176B">
        <w:t xml:space="preserve">egy </w:t>
      </w:r>
      <w:r w:rsidR="00E9176B">
        <w:t xml:space="preserve">nagyobb egybefüggő blokk kialakításával egy </w:t>
      </w:r>
      <w:r w:rsidR="00E9176B" w:rsidRPr="00E9176B">
        <w:t xml:space="preserve">jogosult </w:t>
      </w:r>
      <w:r w:rsidR="00E9176B">
        <w:t xml:space="preserve">szerezhet rádióspektrumot </w:t>
      </w:r>
      <w:r w:rsidR="006159D3" w:rsidRPr="00E9176B">
        <w:t xml:space="preserve">első körben és </w:t>
      </w:r>
      <w:r w:rsidR="0005360D" w:rsidRPr="00E9176B">
        <w:t xml:space="preserve">egy </w:t>
      </w:r>
      <w:r w:rsidR="00E9176B" w:rsidRPr="00E9176B">
        <w:t xml:space="preserve">szolgáltatónak </w:t>
      </w:r>
      <w:r w:rsidR="0005360D" w:rsidRPr="00E9176B">
        <w:t xml:space="preserve">tudja </w:t>
      </w:r>
      <w:r w:rsidR="006159D3" w:rsidRPr="00E9176B">
        <w:t xml:space="preserve">az igazán jó 5G </w:t>
      </w:r>
      <w:r w:rsidR="0005360D" w:rsidRPr="00E9176B">
        <w:t>szolgáltatást megvalósítani</w:t>
      </w:r>
      <w:r w:rsidR="006159D3" w:rsidRPr="00E9176B">
        <w:t xml:space="preserve">, vagy </w:t>
      </w:r>
    </w:p>
    <w:p w14:paraId="05678221" w14:textId="005449F0" w:rsidR="006159D3" w:rsidRDefault="00E9176B" w:rsidP="0013034F">
      <w:pPr>
        <w:pStyle w:val="Behzottbekezdsnmhh"/>
        <w:numPr>
          <w:ilvl w:val="0"/>
          <w:numId w:val="85"/>
        </w:numPr>
      </w:pPr>
      <w:r>
        <w:t xml:space="preserve">első körben </w:t>
      </w:r>
      <w:r w:rsidR="006159D3" w:rsidRPr="00E9176B">
        <w:t>több felhasználói blokk</w:t>
      </w:r>
      <w:r w:rsidR="0005360D" w:rsidRPr="00E9176B">
        <w:t xml:space="preserve"> kialakításával,</w:t>
      </w:r>
      <w:r w:rsidR="006159D3" w:rsidRPr="00E9176B">
        <w:t xml:space="preserve"> alacsonyabb megszerezhető spektrum</w:t>
      </w:r>
      <w:r>
        <w:t xml:space="preserve"> maximum mennyiségi értékekkel</w:t>
      </w:r>
      <w:r w:rsidR="006159D3" w:rsidRPr="00E9176B">
        <w:t xml:space="preserve"> több jogosult jelenhet meg, </w:t>
      </w:r>
      <w:r>
        <w:t>azaz</w:t>
      </w:r>
      <w:r w:rsidR="006159D3" w:rsidRPr="00E9176B">
        <w:t xml:space="preserve"> kisebbek a felhasználói blokkok az optimálisnál, majd egy későbbi időpontban</w:t>
      </w:r>
      <w:r>
        <w:t>, egy második körben</w:t>
      </w:r>
      <w:r w:rsidR="006159D3" w:rsidRPr="00E9176B">
        <w:t xml:space="preserve"> </w:t>
      </w:r>
      <w:r w:rsidR="0005360D" w:rsidRPr="00E9176B">
        <w:t>válik</w:t>
      </w:r>
      <w:r w:rsidR="006159D3" w:rsidRPr="00E9176B">
        <w:t xml:space="preserve"> elérhetővé az egész 26 </w:t>
      </w:r>
      <w:proofErr w:type="spellStart"/>
      <w:r w:rsidR="006159D3" w:rsidRPr="00E9176B">
        <w:t>GHz</w:t>
      </w:r>
      <w:proofErr w:type="spellEnd"/>
      <w:r w:rsidR="006159D3" w:rsidRPr="00E9176B">
        <w:t xml:space="preserve">-es frekvenciasáv 5G </w:t>
      </w:r>
      <w:r>
        <w:t>lehetőséggel,</w:t>
      </w:r>
      <w:r w:rsidR="000F2E37" w:rsidRPr="00E9176B">
        <w:t xml:space="preserve"> </w:t>
      </w:r>
      <w:r w:rsidR="00CA6B29" w:rsidRPr="00E9176B">
        <w:t>ezzel megoldva a mennyiségi kérdést</w:t>
      </w:r>
      <w:r w:rsidR="00CA6B29">
        <w:t xml:space="preserve">, </w:t>
      </w:r>
      <w:r w:rsidR="00CA6B29">
        <w:lastRenderedPageBreak/>
        <w:t xml:space="preserve">de </w:t>
      </w:r>
      <w:r>
        <w:t>ezt követően</w:t>
      </w:r>
      <w:r w:rsidR="00CA6B29">
        <w:t xml:space="preserve"> sávátrendezés lesz szükséges a nagyobb egybefüggő blokkok kialakítása érdekében</w:t>
      </w:r>
      <w:r>
        <w:t>.</w:t>
      </w:r>
    </w:p>
    <w:p w14:paraId="61E0F446" w14:textId="068D5A55" w:rsidR="0005034B" w:rsidRDefault="00E9176B" w:rsidP="00E9176B">
      <w:pPr>
        <w:pStyle w:val="Behzottbekezdsnmhh"/>
        <w:ind w:firstLine="0"/>
      </w:pPr>
      <w:r>
        <w:t>T</w:t>
      </w:r>
      <w:r w:rsidR="0005034B">
        <w:t xml:space="preserve">ovábbi kérdés a nem polgári célú igény későbbi kompenzálása a fent maradó 2 </w:t>
      </w:r>
      <w:proofErr w:type="spellStart"/>
      <w:r w:rsidR="0005034B">
        <w:t>GHz-ből</w:t>
      </w:r>
      <w:proofErr w:type="spellEnd"/>
      <w:r w:rsidR="0005034B">
        <w:t xml:space="preserve">. </w:t>
      </w:r>
    </w:p>
    <w:p w14:paraId="509904D6" w14:textId="2C65A04B" w:rsidR="000F2E37" w:rsidRDefault="00011730" w:rsidP="009D3535">
      <w:pPr>
        <w:pStyle w:val="Behzottbekezdsnmhh"/>
        <w:ind w:firstLine="0"/>
      </w:pPr>
      <w:r w:rsidRPr="00120DBD">
        <w:t xml:space="preserve">A </w:t>
      </w:r>
      <w:r w:rsidR="001C3EC9">
        <w:t>frekvencia</w:t>
      </w:r>
      <w:r w:rsidRPr="00120DBD">
        <w:t>sáv hasznosítása szempontjából fontos</w:t>
      </w:r>
      <w:r w:rsidR="000F2E37" w:rsidRPr="00120DBD">
        <w:t xml:space="preserve"> kérdés, hogy mekkora </w:t>
      </w:r>
      <w:r w:rsidRPr="00120DBD">
        <w:t xml:space="preserve">felhasználói blokkokban, illetve milyen valódi piaci igények figyelembe vételével </w:t>
      </w:r>
      <w:r w:rsidR="000F2E37" w:rsidRPr="00120DBD">
        <w:t>kell gondolkodni</w:t>
      </w:r>
      <w:r w:rsidRPr="00120DBD">
        <w:t>. A sáv 5G célú hasznosítása során fontos szempont annak elkerülése</w:t>
      </w:r>
      <w:r w:rsidR="008D550A" w:rsidRPr="00120DBD">
        <w:t xml:space="preserve"> is</w:t>
      </w:r>
      <w:r w:rsidRPr="00120DBD">
        <w:t xml:space="preserve">, hogy a használatba vételt követően </w:t>
      </w:r>
      <w:r w:rsidR="008D550A" w:rsidRPr="00120DBD">
        <w:t>rövidesen</w:t>
      </w:r>
      <w:r w:rsidR="000F2E37" w:rsidRPr="00120DBD">
        <w:t xml:space="preserve"> át kelljen rendezni a sávot</w:t>
      </w:r>
      <w:r w:rsidRPr="00120DBD">
        <w:t xml:space="preserve">, ezért </w:t>
      </w:r>
      <w:r w:rsidR="008D550A" w:rsidRPr="00120DBD">
        <w:t>a részletes szabályozás kialakítása előtt</w:t>
      </w:r>
      <w:r w:rsidR="00F92470">
        <w:t xml:space="preserve"> </w:t>
      </w:r>
      <w:r w:rsidR="008D550A" w:rsidRPr="00120DBD">
        <w:t>fel kell mérni</w:t>
      </w:r>
      <w:r w:rsidR="000F2E37" w:rsidRPr="00120DBD">
        <w:t xml:space="preserve"> az igény</w:t>
      </w:r>
      <w:r w:rsidR="00594FCC" w:rsidRPr="00120DBD">
        <w:t>eket</w:t>
      </w:r>
      <w:r w:rsidR="000F2E37" w:rsidRPr="00120DBD">
        <w:t>, szakmai</w:t>
      </w:r>
      <w:r w:rsidR="008D550A" w:rsidRPr="00120DBD">
        <w:t xml:space="preserve"> és felhasználói</w:t>
      </w:r>
      <w:r w:rsidR="000F2E37" w:rsidRPr="00120DBD">
        <w:t xml:space="preserve"> </w:t>
      </w:r>
      <w:r w:rsidR="00964EC1" w:rsidRPr="00120DBD">
        <w:t xml:space="preserve">szempontokat, </w:t>
      </w:r>
      <w:r w:rsidR="00D44A3A" w:rsidRPr="00120DBD">
        <w:t>engedélyezési módokat.</w:t>
      </w:r>
      <w:r w:rsidR="000F2E37" w:rsidRPr="00120DBD">
        <w:t xml:space="preserve"> </w:t>
      </w:r>
    </w:p>
    <w:p w14:paraId="7FD7FDF1" w14:textId="77777777" w:rsidR="006E5C5B" w:rsidRPr="000F2E37" w:rsidRDefault="006E5C5B" w:rsidP="009D3535">
      <w:pPr>
        <w:pStyle w:val="Behzottbekezdsnmhh"/>
        <w:ind w:firstLine="0"/>
      </w:pPr>
    </w:p>
    <w:p w14:paraId="316499AC" w14:textId="63762C55" w:rsidR="009D432E" w:rsidRDefault="00A56D0C" w:rsidP="009D432E">
      <w:pPr>
        <w:pStyle w:val="Cmsor2szmozottnmhh"/>
        <w:rPr>
          <w:shd w:val="clear" w:color="auto" w:fill="FFFFFF"/>
        </w:rPr>
      </w:pPr>
      <w:bookmarkStart w:id="55" w:name="_Toc96075615"/>
      <w:r>
        <w:rPr>
          <w:shd w:val="clear" w:color="auto" w:fill="FFFFFF"/>
        </w:rPr>
        <w:t>S</w:t>
      </w:r>
      <w:r w:rsidR="009D432E">
        <w:rPr>
          <w:shd w:val="clear" w:color="auto" w:fill="FFFFFF"/>
        </w:rPr>
        <w:t>zabályozási lépések</w:t>
      </w:r>
      <w:bookmarkEnd w:id="55"/>
    </w:p>
    <w:p w14:paraId="72395469" w14:textId="1F4782A2" w:rsidR="007F518E" w:rsidRPr="004E52FB" w:rsidRDefault="007F518E" w:rsidP="007F518E">
      <w:pPr>
        <w:pStyle w:val="Behzottbekezdsnmhh"/>
      </w:pPr>
      <w:r>
        <w:rPr>
          <w:rFonts w:eastAsia="Calibri"/>
        </w:rPr>
        <w:t xml:space="preserve">A </w:t>
      </w:r>
      <w:r w:rsidR="00CA6B29">
        <w:rPr>
          <w:rFonts w:eastAsia="Calibri"/>
        </w:rPr>
        <w:t xml:space="preserve">26 </w:t>
      </w:r>
      <w:proofErr w:type="spellStart"/>
      <w:r w:rsidR="00CA6B29">
        <w:rPr>
          <w:rFonts w:eastAsia="Calibri"/>
        </w:rPr>
        <w:t>GHz</w:t>
      </w:r>
      <w:proofErr w:type="spellEnd"/>
      <w:r w:rsidR="00CA6B29">
        <w:rPr>
          <w:rFonts w:eastAsia="Calibri"/>
        </w:rPr>
        <w:t>-es frekvencia</w:t>
      </w:r>
      <w:r>
        <w:rPr>
          <w:rFonts w:eastAsia="Calibri"/>
        </w:rPr>
        <w:t>sáv mobil célú hasznosításával kapcsolatos részletes szabályoz</w:t>
      </w:r>
      <w:r w:rsidR="00CA6B29">
        <w:rPr>
          <w:rFonts w:eastAsia="Calibri"/>
        </w:rPr>
        <w:t>ói lépésekre (</w:t>
      </w:r>
      <w:r>
        <w:rPr>
          <w:rFonts w:eastAsia="Calibri"/>
        </w:rPr>
        <w:t>NFFF módosítás</w:t>
      </w:r>
      <w:r w:rsidR="00CA6B29">
        <w:rPr>
          <w:rFonts w:eastAsia="Calibri"/>
        </w:rPr>
        <w:t xml:space="preserve">, versenyeztetési eljárás esetén Dokumentáció kidolgozása) </w:t>
      </w:r>
      <w:r>
        <w:rPr>
          <w:rFonts w:eastAsia="Calibri"/>
        </w:rPr>
        <w:t xml:space="preserve">az igények felmérését és a szükséges </w:t>
      </w:r>
      <w:r w:rsidR="00CA6B29">
        <w:rPr>
          <w:rFonts w:eastAsia="Calibri"/>
        </w:rPr>
        <w:t xml:space="preserve">szakpolitikai, koncepcionális </w:t>
      </w:r>
      <w:r>
        <w:rPr>
          <w:rFonts w:eastAsia="Calibri"/>
        </w:rPr>
        <w:t>döntések meghoz</w:t>
      </w:r>
      <w:r w:rsidR="00CA6B29">
        <w:rPr>
          <w:rFonts w:eastAsia="Calibri"/>
        </w:rPr>
        <w:t>atalát</w:t>
      </w:r>
      <w:r>
        <w:rPr>
          <w:rFonts w:eastAsia="Calibri"/>
        </w:rPr>
        <w:t xml:space="preserve"> követően kerül</w:t>
      </w:r>
      <w:r w:rsidR="009D432E">
        <w:rPr>
          <w:rFonts w:eastAsia="Calibri"/>
        </w:rPr>
        <w:t>het</w:t>
      </w:r>
      <w:r>
        <w:rPr>
          <w:rFonts w:eastAsia="Calibri"/>
        </w:rPr>
        <w:t xml:space="preserve"> sor</w:t>
      </w:r>
      <w:r w:rsidR="00D44A3A">
        <w:rPr>
          <w:rFonts w:eastAsia="Calibri"/>
        </w:rPr>
        <w:t xml:space="preserve">, </w:t>
      </w:r>
      <w:r w:rsidR="009D432E">
        <w:rPr>
          <w:rFonts w:eastAsia="Calibri"/>
        </w:rPr>
        <w:t>az alábbi szempontok figyelembevételével</w:t>
      </w:r>
      <w:r w:rsidR="00D44A3A">
        <w:rPr>
          <w:rFonts w:eastAsia="Calibri"/>
        </w:rPr>
        <w:t>:</w:t>
      </w:r>
    </w:p>
    <w:p w14:paraId="77325B21" w14:textId="2DAFD611" w:rsidR="008C63E0" w:rsidRDefault="008C63E0" w:rsidP="008C63E0">
      <w:pPr>
        <w:pStyle w:val="Behzottbekezdsnmhh"/>
        <w:numPr>
          <w:ilvl w:val="0"/>
          <w:numId w:val="64"/>
        </w:numPr>
      </w:pPr>
      <w:r w:rsidDel="002306E4">
        <w:t xml:space="preserve">műszaki feltételek </w:t>
      </w:r>
      <w:r>
        <w:t xml:space="preserve">részletes meghatározása a nemzetközi szabályozási </w:t>
      </w:r>
      <w:r w:rsidR="00D44A3A">
        <w:t xml:space="preserve">eredmények </w:t>
      </w:r>
      <w:r>
        <w:t>figyelembe vételével,</w:t>
      </w:r>
    </w:p>
    <w:p w14:paraId="61DEE577" w14:textId="63DF88D8" w:rsidR="008C63E0" w:rsidRDefault="008C63E0" w:rsidP="008C63E0">
      <w:pPr>
        <w:pStyle w:val="Behzottbekezdsnmhh"/>
        <w:numPr>
          <w:ilvl w:val="0"/>
          <w:numId w:val="64"/>
        </w:numPr>
      </w:pPr>
      <w:r>
        <w:t xml:space="preserve">az elosztási mód meghatározása (mint egyedi engedélymentes, egyszerűsített engedély, érkezési sorrendben történő értékesítés vagy versenyeztetési eljárás) a 26 </w:t>
      </w:r>
      <w:proofErr w:type="spellStart"/>
      <w:r>
        <w:t>GHz</w:t>
      </w:r>
      <w:proofErr w:type="spellEnd"/>
      <w:r>
        <w:t>-es frekvenciasáv egészére egységesen vagy egyes részeire eltérő módon, valamint</w:t>
      </w:r>
    </w:p>
    <w:p w14:paraId="3F15F666" w14:textId="50BDBAAE" w:rsidR="008C63E0" w:rsidRDefault="001C3EC9" w:rsidP="008C63E0">
      <w:pPr>
        <w:pStyle w:val="Behzottbekezdsnmhh"/>
        <w:numPr>
          <w:ilvl w:val="0"/>
          <w:numId w:val="64"/>
        </w:numPr>
      </w:pPr>
      <w:r>
        <w:t>rádió</w:t>
      </w:r>
      <w:r w:rsidR="00D44A3A">
        <w:t>spektrum</w:t>
      </w:r>
      <w:r>
        <w:t>-használati jog szerzési feltételeinek</w:t>
      </w:r>
      <w:r w:rsidR="008C63E0">
        <w:t xml:space="preserve"> szabályozása (pl. minimum, maximum szerzési szabályok, sávátrendezés megengedése, másodlagos kereskedelmi szabályok).</w:t>
      </w:r>
    </w:p>
    <w:p w14:paraId="489A7DAC" w14:textId="19E1B0BB" w:rsidR="007357FF" w:rsidRDefault="007357FF">
      <w:pPr>
        <w:spacing w:after="200"/>
        <w:jc w:val="left"/>
        <w:rPr>
          <w:i/>
          <w:sz w:val="20"/>
          <w:szCs w:val="20"/>
        </w:rPr>
      </w:pPr>
    </w:p>
    <w:p w14:paraId="69D4086C" w14:textId="63ED9501" w:rsidR="008C63E0" w:rsidRDefault="008C63E0" w:rsidP="008C63E0">
      <w:pPr>
        <w:pStyle w:val="Cmsor1szmozottnmhh"/>
        <w:pageBreakBefore w:val="0"/>
        <w:ind w:left="431" w:hanging="431"/>
      </w:pPr>
      <w:bookmarkStart w:id="56" w:name="_Toc26254674"/>
      <w:bookmarkStart w:id="57" w:name="_Toc92461630"/>
      <w:bookmarkStart w:id="58" w:name="_Toc96075616"/>
      <w:r>
        <w:t>Nemzetközi koordináció</w:t>
      </w:r>
      <w:bookmarkEnd w:id="56"/>
      <w:bookmarkEnd w:id="57"/>
      <w:bookmarkEnd w:id="58"/>
    </w:p>
    <w:p w14:paraId="06540861" w14:textId="04FF1E9A" w:rsidR="008C63E0" w:rsidRPr="00CD5192" w:rsidRDefault="008C63E0" w:rsidP="004942E2">
      <w:pPr>
        <w:pStyle w:val="Behzottbekezdsnmhh"/>
        <w:numPr>
          <w:ilvl w:val="1"/>
          <w:numId w:val="81"/>
        </w:numPr>
        <w:tabs>
          <w:tab w:val="left" w:pos="977"/>
        </w:tabs>
        <w:rPr>
          <w:rStyle w:val="Cmsor2szmozottnmhhChar"/>
          <w:b w:val="0"/>
        </w:rPr>
      </w:pPr>
      <w:bookmarkStart w:id="59" w:name="_Toc92461631"/>
      <w:bookmarkStart w:id="60" w:name="_Toc96075617"/>
      <w:r w:rsidRPr="0084746D">
        <w:rPr>
          <w:rStyle w:val="Cmsor2szmozottnmhhChar"/>
        </w:rPr>
        <w:t xml:space="preserve">Jelenlegi </w:t>
      </w:r>
      <w:r>
        <w:rPr>
          <w:rStyle w:val="Cmsor2szmozottnmhhChar"/>
        </w:rPr>
        <w:t xml:space="preserve">állandóhelyű </w:t>
      </w:r>
      <w:r w:rsidRPr="0084746D">
        <w:rPr>
          <w:rStyle w:val="Cmsor2szmozottnmhhChar"/>
        </w:rPr>
        <w:t>használ</w:t>
      </w:r>
      <w:r w:rsidR="000E2DC9">
        <w:rPr>
          <w:rStyle w:val="Cmsor2szmozottnmhhChar"/>
        </w:rPr>
        <w:t>at</w:t>
      </w:r>
      <w:r w:rsidRPr="0084746D">
        <w:rPr>
          <w:rStyle w:val="Cmsor2szmozottnmhhChar"/>
        </w:rPr>
        <w:t xml:space="preserve">ra vonatkozó </w:t>
      </w:r>
      <w:r w:rsidR="00CD5192">
        <w:rPr>
          <w:rStyle w:val="Cmsor2szmozottnmhhChar"/>
        </w:rPr>
        <w:t>rádióspektrum-</w:t>
      </w:r>
      <w:r w:rsidRPr="0084746D">
        <w:rPr>
          <w:rStyle w:val="Cmsor2szmozottnmhhChar"/>
        </w:rPr>
        <w:t>használat a határövezetekben</w:t>
      </w:r>
      <w:bookmarkEnd w:id="59"/>
      <w:bookmarkEnd w:id="60"/>
    </w:p>
    <w:p w14:paraId="60D22F5A" w14:textId="69D019D4" w:rsidR="008C63E0" w:rsidRDefault="008C63E0" w:rsidP="008C63E0">
      <w:pPr>
        <w:pStyle w:val="Behzottbekezdsnmhh"/>
        <w:tabs>
          <w:tab w:val="left" w:pos="977"/>
        </w:tabs>
      </w:pPr>
      <w:r>
        <w:t xml:space="preserve">A jelenlegi 24,5-26,5 </w:t>
      </w:r>
      <w:proofErr w:type="spellStart"/>
      <w:r>
        <w:t>GHz</w:t>
      </w:r>
      <w:proofErr w:type="spellEnd"/>
      <w:r>
        <w:t xml:space="preserve"> </w:t>
      </w:r>
      <w:r w:rsidR="001E5FD0" w:rsidRPr="00426D01">
        <w:t>frekvencia</w:t>
      </w:r>
      <w:r>
        <w:t xml:space="preserve">sávra vonatkozó preferált </w:t>
      </w:r>
      <w:r w:rsidR="00027C0E">
        <w:t>frekvencia</w:t>
      </w:r>
      <w:r>
        <w:t>blokkokon alapuló koordinációs megállapodások kizárólag az állandóhelyű szolgálat keretében működő</w:t>
      </w:r>
      <w:r w:rsidR="00027C0E">
        <w:t xml:space="preserve"> FDD </w:t>
      </w:r>
      <w:proofErr w:type="spellStart"/>
      <w:proofErr w:type="gramStart"/>
      <w:r w:rsidR="00027C0E">
        <w:t>hozzáférésű</w:t>
      </w:r>
      <w:proofErr w:type="spellEnd"/>
      <w:r w:rsidR="00027C0E">
        <w:t xml:space="preserve"> </w:t>
      </w:r>
      <w:r>
        <w:t xml:space="preserve"> pont-pont</w:t>
      </w:r>
      <w:proofErr w:type="gramEnd"/>
      <w:r>
        <w:t xml:space="preserve"> és pont-többpont rendszerekre vonatkoznak.</w:t>
      </w:r>
    </w:p>
    <w:p w14:paraId="7A6F7FC9" w14:textId="105099E0" w:rsidR="008C63E0" w:rsidRPr="00476DA9" w:rsidRDefault="008C63E0" w:rsidP="008C63E0">
      <w:pPr>
        <w:pStyle w:val="Behzottbekezdsnmhh"/>
        <w:tabs>
          <w:tab w:val="left" w:pos="977"/>
        </w:tabs>
      </w:pPr>
      <w:r>
        <w:t xml:space="preserve">Az </w:t>
      </w:r>
      <w:r w:rsidR="00CA6B29" w:rsidRPr="00027C0E">
        <w:t>24</w:t>
      </w:r>
      <w:r w:rsidR="00CA6B29">
        <w:t>,</w:t>
      </w:r>
      <w:r w:rsidR="00CA6B29" w:rsidRPr="00027C0E">
        <w:t>549–25</w:t>
      </w:r>
      <w:r w:rsidR="00CA6B29">
        <w:t>,</w:t>
      </w:r>
      <w:r w:rsidR="00CA6B29" w:rsidRPr="00027C0E">
        <w:t>053</w:t>
      </w:r>
      <w:r w:rsidR="006E5C5B">
        <w:t>/</w:t>
      </w:r>
      <w:r w:rsidR="00CA6B29" w:rsidRPr="00027C0E">
        <w:t>25</w:t>
      </w:r>
      <w:r w:rsidR="00CA6B29">
        <w:t>,</w:t>
      </w:r>
      <w:r w:rsidR="00CA6B29" w:rsidRPr="00027C0E">
        <w:t>557–26</w:t>
      </w:r>
      <w:r w:rsidR="00CA6B29">
        <w:t>,</w:t>
      </w:r>
      <w:r w:rsidR="00CA6B29" w:rsidRPr="00027C0E">
        <w:t xml:space="preserve">061 </w:t>
      </w:r>
      <w:proofErr w:type="spellStart"/>
      <w:r w:rsidR="00CA6B29" w:rsidRPr="00027C0E">
        <w:t>GHz</w:t>
      </w:r>
      <w:proofErr w:type="spellEnd"/>
      <w:r w:rsidR="00CA6B29">
        <w:t xml:space="preserve"> FDD sávrészekre (1-</w:t>
      </w:r>
      <w:r w:rsidR="00CA6B29" w:rsidRPr="00476DA9">
        <w:t>18. alapblokk</w:t>
      </w:r>
      <w:r w:rsidR="00CA6B29">
        <w:t>ok)</w:t>
      </w:r>
      <w:r w:rsidR="00CA6B29" w:rsidRPr="00476DA9">
        <w:t xml:space="preserve"> </w:t>
      </w:r>
      <w:r w:rsidRPr="00476DA9">
        <w:t>vonatkozóan</w:t>
      </w:r>
      <w:r w:rsidR="00027C0E">
        <w:t xml:space="preserve"> </w:t>
      </w:r>
      <w:r w:rsidRPr="00476DA9">
        <w:t xml:space="preserve">Magyarország nemzetközi koordinációs </w:t>
      </w:r>
      <w:r>
        <w:t>megállapodásokat (ún</w:t>
      </w:r>
      <w:r w:rsidRPr="00476DA9">
        <w:t xml:space="preserve">. </w:t>
      </w:r>
      <w:proofErr w:type="gramStart"/>
      <w:r w:rsidRPr="00476DA9">
        <w:t>preferált</w:t>
      </w:r>
      <w:proofErr w:type="gramEnd"/>
      <w:r w:rsidRPr="00476DA9">
        <w:t xml:space="preserve"> blokkos egyezményt) k</w:t>
      </w:r>
      <w:r>
        <w:t>ötöt</w:t>
      </w:r>
      <w:r w:rsidR="009A593A">
        <w:t>t minden szomszédos országgal.</w:t>
      </w:r>
    </w:p>
    <w:p w14:paraId="00443F5F" w14:textId="176C2165" w:rsidR="00D12E43" w:rsidRDefault="009C5298" w:rsidP="008C63E0">
      <w:pPr>
        <w:pStyle w:val="Behzottbekezdsnmhh"/>
        <w:tabs>
          <w:tab w:val="left" w:pos="977"/>
        </w:tabs>
      </w:pPr>
      <w:r>
        <w:t>Az 1-</w:t>
      </w:r>
      <w:r w:rsidRPr="00476DA9">
        <w:t xml:space="preserve">18. </w:t>
      </w:r>
      <w:r w:rsidR="008C63E0" w:rsidRPr="00476DA9">
        <w:t>blokktartománynak az országhatár-közeli felhasználását a preferált blokko</w:t>
      </w:r>
      <w:r w:rsidR="008C63E0">
        <w:t>s egyezmény korlátoz</w:t>
      </w:r>
      <w:r>
        <w:t xml:space="preserve">hatja az 5G bevezetése esetén, amennyiben egy szomszédos országban az állandóhelyű hálózatok </w:t>
      </w:r>
      <w:r w:rsidR="000A4467">
        <w:t xml:space="preserve">további </w:t>
      </w:r>
      <w:r>
        <w:t>üzemelése</w:t>
      </w:r>
      <w:r w:rsidR="000A4467">
        <w:t xml:space="preserve"> várható</w:t>
      </w:r>
      <w:r w:rsidR="008C63E0">
        <w:t>. A 19-</w:t>
      </w:r>
      <w:r w:rsidR="008C63E0" w:rsidRPr="00476DA9">
        <w:t xml:space="preserve">32. alapblokkra </w:t>
      </w:r>
      <w:r w:rsidR="008C63E0">
        <w:t xml:space="preserve">vonatkozóan nincs preferált megállapodás a szomszéd országokkal, ebben a </w:t>
      </w:r>
      <w:r w:rsidR="00E9113D">
        <w:t>frekvencia</w:t>
      </w:r>
      <w:r w:rsidR="008C63E0">
        <w:t>tartományban az állomásokat szükség esetén egyedileg kell koordinálni.</w:t>
      </w:r>
    </w:p>
    <w:p w14:paraId="2A49D258" w14:textId="77777777" w:rsidR="00D12E43" w:rsidRDefault="00D12E43">
      <w:pPr>
        <w:spacing w:after="200"/>
        <w:jc w:val="left"/>
        <w:rPr>
          <w:sz w:val="20"/>
          <w:szCs w:val="20"/>
        </w:rPr>
      </w:pPr>
      <w:r>
        <w:br w:type="page"/>
      </w:r>
    </w:p>
    <w:p w14:paraId="57EF6E6D" w14:textId="77777777" w:rsidR="008C63E0" w:rsidRDefault="008C63E0" w:rsidP="008C63E0">
      <w:pPr>
        <w:pStyle w:val="Behzottbekezdsnmhh"/>
        <w:tabs>
          <w:tab w:val="left" w:pos="977"/>
        </w:tabs>
      </w:pPr>
    </w:p>
    <w:p w14:paraId="0E0F3442" w14:textId="77DD0B75" w:rsidR="008C63E0" w:rsidRDefault="008C63E0" w:rsidP="008C63E0">
      <w:pPr>
        <w:pStyle w:val="Behzottbekezdsnmhh"/>
        <w:numPr>
          <w:ilvl w:val="1"/>
          <w:numId w:val="81"/>
        </w:numPr>
        <w:tabs>
          <w:tab w:val="left" w:pos="977"/>
        </w:tabs>
        <w:rPr>
          <w:rStyle w:val="Cmsor2szmozottnmhhChar"/>
        </w:rPr>
      </w:pPr>
      <w:bookmarkStart w:id="61" w:name="_Toc92461632"/>
      <w:bookmarkStart w:id="62" w:name="_Toc96075618"/>
      <w:r>
        <w:rPr>
          <w:rStyle w:val="Cmsor2szmozottnmhhChar"/>
        </w:rPr>
        <w:t>Jövőbeni</w:t>
      </w:r>
      <w:r w:rsidRPr="00907072">
        <w:rPr>
          <w:rStyle w:val="Cmsor2szmozottnmhhChar"/>
        </w:rPr>
        <w:t xml:space="preserve"> </w:t>
      </w:r>
      <w:r w:rsidR="000E2DC9">
        <w:rPr>
          <w:rStyle w:val="Cmsor2szmozottnmhhChar"/>
        </w:rPr>
        <w:t>használattal</w:t>
      </w:r>
      <w:r>
        <w:rPr>
          <w:rStyle w:val="Cmsor2szmozottnmhhChar"/>
        </w:rPr>
        <w:t xml:space="preserve"> összefüggő nemzetközi frekvenciakoordináció</w:t>
      </w:r>
      <w:bookmarkEnd w:id="61"/>
      <w:bookmarkEnd w:id="62"/>
      <w:r>
        <w:rPr>
          <w:rStyle w:val="Cmsor2szmozottnmhhChar"/>
        </w:rPr>
        <w:t xml:space="preserve"> </w:t>
      </w:r>
    </w:p>
    <w:p w14:paraId="6BBD72FC" w14:textId="2B497A3D" w:rsidR="0051176C" w:rsidRDefault="008C63E0" w:rsidP="008C63E0">
      <w:pPr>
        <w:pStyle w:val="Behzottbekezdsnmhh"/>
        <w:tabs>
          <w:tab w:val="left" w:pos="977"/>
        </w:tabs>
      </w:pPr>
      <w:r>
        <w:t xml:space="preserve">Az MFCN rendszerek határövezeti </w:t>
      </w:r>
      <w:r w:rsidR="00423DF2">
        <w:t xml:space="preserve">frekvenciahasználatára </w:t>
      </w:r>
      <w:r>
        <w:t>a</w:t>
      </w:r>
      <w:r w:rsidR="0051176C">
        <w:t xml:space="preserve"> CEPT</w:t>
      </w:r>
      <w:r>
        <w:t xml:space="preserve"> ECC</w:t>
      </w:r>
      <w:r w:rsidR="002C121F">
        <w:t>/</w:t>
      </w:r>
      <w:r>
        <w:t>PT1 munkacsoport</w:t>
      </w:r>
      <w:r w:rsidR="0051176C">
        <w:t>on belül folyamatban van</w:t>
      </w:r>
      <w:r>
        <w:t xml:space="preserve"> a 26 </w:t>
      </w:r>
      <w:proofErr w:type="spellStart"/>
      <w:r>
        <w:t>GHz</w:t>
      </w:r>
      <w:proofErr w:type="spellEnd"/>
      <w:r>
        <w:t xml:space="preserve">-es </w:t>
      </w:r>
      <w:r w:rsidR="00AE0B66" w:rsidRPr="00426D01">
        <w:t>frekvencia</w:t>
      </w:r>
      <w:r w:rsidR="00AE0B66">
        <w:t xml:space="preserve">sávú TDD hálózatokra </w:t>
      </w:r>
      <w:r>
        <w:t>vonatkozó koordinációs ajánlás</w:t>
      </w:r>
      <w:r w:rsidR="0051176C">
        <w:t xml:space="preserve"> kidolgozása. </w:t>
      </w:r>
      <w:r>
        <w:t>A</w:t>
      </w:r>
      <w:r w:rsidR="0051176C">
        <w:t>z elfogadott munkaterv szerint a</w:t>
      </w:r>
      <w:r>
        <w:t xml:space="preserve"> nemzetközi koordinációs előírásokat</w:t>
      </w:r>
      <w:r w:rsidR="009C5298">
        <w:t>, szinkronizációs konfigurációkat</w:t>
      </w:r>
      <w:r>
        <w:t xml:space="preserve"> tartalmazó ajánlás </w:t>
      </w:r>
      <w:r w:rsidR="00AA2862">
        <w:t xml:space="preserve">közzétételének </w:t>
      </w:r>
      <w:r w:rsidR="00626ACE">
        <w:t>tervezett</w:t>
      </w:r>
      <w:r w:rsidR="00AA2862">
        <w:t xml:space="preserve"> </w:t>
      </w:r>
      <w:r>
        <w:t xml:space="preserve">céldátuma </w:t>
      </w:r>
      <w:r w:rsidR="00626ACE">
        <w:t>2023</w:t>
      </w:r>
      <w:r w:rsidR="001E5FD0">
        <w:t xml:space="preserve">. </w:t>
      </w:r>
      <w:r>
        <w:t>július.</w:t>
      </w:r>
      <w:r w:rsidR="00FE55B1">
        <w:t xml:space="preserve"> </w:t>
      </w:r>
    </w:p>
    <w:p w14:paraId="78547A40" w14:textId="71C0E96C" w:rsidR="008C63E0" w:rsidRDefault="0051176C" w:rsidP="008C63E0">
      <w:pPr>
        <w:pStyle w:val="Behzottbekezdsnmhh"/>
        <w:tabs>
          <w:tab w:val="left" w:pos="977"/>
        </w:tabs>
      </w:pPr>
      <w:r>
        <w:t xml:space="preserve">Az MFCN </w:t>
      </w:r>
      <w:r w:rsidR="00120DBD">
        <w:t xml:space="preserve">rendszerek </w:t>
      </w:r>
      <w:r>
        <w:t xml:space="preserve">határövezeti használatának biztosítására új </w:t>
      </w:r>
      <w:r w:rsidR="008C63E0" w:rsidRPr="004E52FB">
        <w:t>koordinációs megállapodások megkötésére lesz</w:t>
      </w:r>
      <w:r w:rsidR="008C63E0">
        <w:t xml:space="preserve"> szükség a szomszéd országokkal a jövőben az 5G rendszerek határmenti használatára vonatkozóan</w:t>
      </w:r>
      <w:r w:rsidR="009C5298">
        <w:t>,</w:t>
      </w:r>
      <w:r w:rsidR="008C63E0">
        <w:t xml:space="preserve"> figyelembe véve a különböző szinkronizációs eseteket.</w:t>
      </w:r>
    </w:p>
    <w:p w14:paraId="2A7380DA" w14:textId="77777777" w:rsidR="008C63E0" w:rsidRPr="00AA62BB" w:rsidRDefault="008C63E0" w:rsidP="00D12E43">
      <w:pPr>
        <w:pStyle w:val="Cmsor1szmozottnmhh"/>
        <w:pageBreakBefore w:val="0"/>
        <w:spacing w:before="240"/>
        <w:ind w:left="431" w:hanging="431"/>
      </w:pPr>
      <w:bookmarkStart w:id="63" w:name="_Toc26254676"/>
      <w:bookmarkStart w:id="64" w:name="_Toc92461633"/>
      <w:bookmarkStart w:id="65" w:name="_Toc96075619"/>
      <w:r>
        <w:t>Potenciális zavarforrások</w:t>
      </w:r>
      <w:bookmarkEnd w:id="63"/>
      <w:bookmarkEnd w:id="64"/>
      <w:bookmarkEnd w:id="65"/>
    </w:p>
    <w:p w14:paraId="2C23015D" w14:textId="77777777" w:rsidR="008C63E0" w:rsidRDefault="008C63E0" w:rsidP="008C63E0">
      <w:pPr>
        <w:pStyle w:val="Behzottbekezdsnmhh"/>
        <w:tabs>
          <w:tab w:val="left" w:pos="977"/>
        </w:tabs>
      </w:pPr>
      <w:r>
        <w:t xml:space="preserve">A </w:t>
      </w:r>
      <w:r w:rsidRPr="00A04B61">
        <w:t>24</w:t>
      </w:r>
      <w:r>
        <w:t xml:space="preserve"> </w:t>
      </w:r>
      <w:proofErr w:type="spellStart"/>
      <w:r>
        <w:t>GHz</w:t>
      </w:r>
      <w:proofErr w:type="spellEnd"/>
      <w:r>
        <w:t>-es frekvenciasávban</w:t>
      </w:r>
      <w:r w:rsidRPr="00A04B61">
        <w:t xml:space="preserve"> gépkocsira telepített gépjármű radarok működhetnek az Európai Bizottság </w:t>
      </w:r>
      <w:r w:rsidRPr="00095587">
        <w:rPr>
          <w:i/>
        </w:rPr>
        <w:t>2005/50/EK</w:t>
      </w:r>
      <w:r w:rsidRPr="00A04B61">
        <w:t xml:space="preserve"> </w:t>
      </w:r>
      <w:r>
        <w:t>h</w:t>
      </w:r>
      <w:r w:rsidRPr="00A04B61">
        <w:t>atározata</w:t>
      </w:r>
      <w:r>
        <w:rPr>
          <w:rStyle w:val="Lbjegyzet-hivatkozs"/>
        </w:rPr>
        <w:footnoteReference w:id="45"/>
      </w:r>
      <w:r w:rsidRPr="00A04B61">
        <w:t xml:space="preserve"> és az ezt módosító </w:t>
      </w:r>
      <w:r w:rsidRPr="00095587">
        <w:rPr>
          <w:i/>
        </w:rPr>
        <w:t>2011/485/EU</w:t>
      </w:r>
      <w:r w:rsidRPr="00A04B61">
        <w:t xml:space="preserve"> végrehajtási határozat</w:t>
      </w:r>
      <w:r>
        <w:rPr>
          <w:rStyle w:val="Lbjegyzet-hivatkozs"/>
        </w:rPr>
        <w:footnoteReference w:id="46"/>
      </w:r>
      <w:r w:rsidRPr="00A04B61">
        <w:t xml:space="preserve"> alapján. </w:t>
      </w:r>
    </w:p>
    <w:p w14:paraId="55F82247" w14:textId="6CA077B6" w:rsidR="008C63E0" w:rsidRDefault="008C63E0" w:rsidP="008C63E0">
      <w:pPr>
        <w:pStyle w:val="Behzottbekezdsnmhh"/>
        <w:tabs>
          <w:tab w:val="left" w:pos="977"/>
        </w:tabs>
      </w:pPr>
      <w:r>
        <w:t xml:space="preserve">A </w:t>
      </w:r>
      <w:r w:rsidRPr="00095587">
        <w:rPr>
          <w:i/>
        </w:rPr>
        <w:t>2011/485/EU</w:t>
      </w:r>
      <w:r>
        <w:t xml:space="preserve"> </w:t>
      </w:r>
      <w:r w:rsidR="0029389B">
        <w:t>b</w:t>
      </w:r>
      <w:r>
        <w:t xml:space="preserve">izottsági végrehajtási határozat értelmében a gépjármű radarok 2018. január 1-ig </w:t>
      </w:r>
      <w:r w:rsidR="000544B2">
        <w:t xml:space="preserve">voltak </w:t>
      </w:r>
      <w:r>
        <w:t xml:space="preserve">forgalomba </w:t>
      </w:r>
      <w:r w:rsidR="000544B2">
        <w:t xml:space="preserve">hozhatók </w:t>
      </w:r>
      <w:r>
        <w:t>a 24,25-26,65 </w:t>
      </w:r>
      <w:proofErr w:type="spellStart"/>
      <w:r>
        <w:t>GHz</w:t>
      </w:r>
      <w:proofErr w:type="spellEnd"/>
      <w:r>
        <w:t xml:space="preserve"> </w:t>
      </w:r>
      <w:r w:rsidR="001E5FD0" w:rsidRPr="00426D01">
        <w:t>frekvencia</w:t>
      </w:r>
      <w:r>
        <w:t xml:space="preserve">sávban (1. Cikk 1. pont). Azon gépjárművekbe beépített kis hatótávolságú gépjárműradarok esetében azonban, amelyek típus-jóváhagyási kérelmét a </w:t>
      </w:r>
      <w:r w:rsidRPr="00095587">
        <w:rPr>
          <w:i/>
        </w:rPr>
        <w:t>2007/46/EK</w:t>
      </w:r>
      <w:r>
        <w:t xml:space="preserve"> európai parlamenti és tanácsi irányelv</w:t>
      </w:r>
      <w:r>
        <w:rPr>
          <w:rStyle w:val="Lbjegyzet-hivatkozs"/>
        </w:rPr>
        <w:footnoteReference w:id="47"/>
      </w:r>
      <w:r>
        <w:t xml:space="preserve"> 6. cikkének (6) bekezdése alapján nyújtották be és 2018. január 1. előtt hagyták jóvá, a 2018. január 1-jei határidőt négy évvel meg </w:t>
      </w:r>
      <w:r w:rsidR="003808B8">
        <w:t>hosszabbították (1. Cikk 2. c) pont). Ennek megfelelően 2022-től már nem hozhatók forgalomba olyan új gépjárművek</w:t>
      </w:r>
      <w:r w:rsidR="008B0660">
        <w:t xml:space="preserve">, amelyek </w:t>
      </w:r>
      <w:r w:rsidR="003808B8">
        <w:t>a 24 </w:t>
      </w:r>
      <w:proofErr w:type="spellStart"/>
      <w:r w:rsidR="003808B8">
        <w:t>GHz</w:t>
      </w:r>
      <w:proofErr w:type="spellEnd"/>
      <w:r w:rsidR="003808B8">
        <w:t>-es frekvenciasáv</w:t>
      </w:r>
      <w:r w:rsidR="008B0660">
        <w:t xml:space="preserve">ban működő </w:t>
      </w:r>
      <w:r w:rsidR="003808B8">
        <w:t>radar</w:t>
      </w:r>
      <w:r w:rsidR="008B0660">
        <w:t>ral felszereltek, a</w:t>
      </w:r>
      <w:r w:rsidR="003808B8">
        <w:t xml:space="preserve">zonban használhatóak azok az eszközök, melyek gyárilag voltak beszerelve, </w:t>
      </w:r>
      <w:r>
        <w:t>vagy az ilyen eredeti készülék helyett szerelik be a Közösségben ezt az időpontot megelőzően nyilvántartásba vett, forgalomba hozott vagy üzembe helyezett gépjárműbe. Azaz 24 </w:t>
      </w:r>
      <w:proofErr w:type="spellStart"/>
      <w:r>
        <w:t>GHz</w:t>
      </w:r>
      <w:proofErr w:type="spellEnd"/>
      <w:r>
        <w:t xml:space="preserve">-es gépjármű radarral felszerelt gépjárművek élettartamáig működhetnek ezek az eszközök. A jelenlegi </w:t>
      </w:r>
      <w:r w:rsidR="008B0660">
        <w:t xml:space="preserve">csekély mértékű </w:t>
      </w:r>
      <w:r>
        <w:t>használat</w:t>
      </w:r>
      <w:r w:rsidR="009D3535">
        <w:t>ot tekintve</w:t>
      </w:r>
      <w:r>
        <w:t xml:space="preserve"> jelentős zavartatással nem </w:t>
      </w:r>
      <w:r w:rsidR="008B0660">
        <w:t xml:space="preserve">kell </w:t>
      </w:r>
      <w:r>
        <w:t>számolni.</w:t>
      </w:r>
    </w:p>
    <w:p w14:paraId="2B47E14D" w14:textId="154903F4" w:rsidR="008C63E0" w:rsidRPr="00A04B61" w:rsidRDefault="008C63E0" w:rsidP="008C63E0">
      <w:pPr>
        <w:pStyle w:val="Behzottbekezdsnmhh"/>
        <w:tabs>
          <w:tab w:val="left" w:pos="977"/>
        </w:tabs>
      </w:pPr>
      <w:r w:rsidRPr="00A04B61">
        <w:t>Ezek a radarok szélessávú kisugárzással rendelkeznek, a</w:t>
      </w:r>
      <w:r>
        <w:t>mi teljes egészében lefedi a 26 </w:t>
      </w:r>
      <w:proofErr w:type="spellStart"/>
      <w:r w:rsidRPr="00A04B61">
        <w:t>GHz</w:t>
      </w:r>
      <w:proofErr w:type="spellEnd"/>
      <w:r w:rsidRPr="00A04B61">
        <w:t xml:space="preserve">-es </w:t>
      </w:r>
      <w:r w:rsidR="00FE55B1">
        <w:t>frekvencia</w:t>
      </w:r>
      <w:r w:rsidRPr="00A04B61">
        <w:t xml:space="preserve">sávot, de </w:t>
      </w:r>
      <w:r>
        <w:t>az esetleges zavarás a 26 </w:t>
      </w:r>
      <w:proofErr w:type="spellStart"/>
      <w:r>
        <w:t>GHz</w:t>
      </w:r>
      <w:proofErr w:type="spellEnd"/>
      <w:r>
        <w:t xml:space="preserve">-es </w:t>
      </w:r>
      <w:r w:rsidR="001E5FD0" w:rsidRPr="00426D01">
        <w:t>frekvencia</w:t>
      </w:r>
      <w:r w:rsidRPr="00A04B61">
        <w:t>sáv legfelső részén jelentősen csökken még közvetlen rásugárzás esetén is.</w:t>
      </w:r>
    </w:p>
    <w:p w14:paraId="7F9B02D6" w14:textId="587AB0FD" w:rsidR="008C63E0" w:rsidRDefault="008C63E0" w:rsidP="008C63E0">
      <w:pPr>
        <w:pStyle w:val="Behzottbekezdsnmhh"/>
        <w:tabs>
          <w:tab w:val="left" w:pos="977"/>
        </w:tabs>
      </w:pPr>
      <w:r w:rsidRPr="00A04B61">
        <w:t xml:space="preserve">A gépjármű radarok zavaró hatását </w:t>
      </w:r>
      <w:r>
        <w:t xml:space="preserve">az állandóhelyű rendszerekre vonatkozóan vizsgálták korábban, amelynek eredményeit az ECC 023. </w:t>
      </w:r>
      <w:r w:rsidR="0029389B">
        <w:t>J</w:t>
      </w:r>
      <w:r>
        <w:t>elentése</w:t>
      </w:r>
      <w:r>
        <w:rPr>
          <w:rStyle w:val="Lbjegyzet-hivatkozs"/>
        </w:rPr>
        <w:footnoteReference w:id="48"/>
      </w:r>
      <w:r>
        <w:t xml:space="preserve"> tartalmazza</w:t>
      </w:r>
      <w:r w:rsidRPr="00A04B61">
        <w:t>.</w:t>
      </w:r>
    </w:p>
    <w:p w14:paraId="78C8D0F6" w14:textId="60EB44EB" w:rsidR="004942E2" w:rsidRDefault="004942E2">
      <w:pPr>
        <w:spacing w:after="200"/>
        <w:jc w:val="left"/>
        <w:rPr>
          <w:sz w:val="20"/>
          <w:szCs w:val="20"/>
        </w:rPr>
      </w:pPr>
      <w:r>
        <w:br w:type="page"/>
      </w:r>
    </w:p>
    <w:p w14:paraId="4B056C12" w14:textId="19D8F8B4" w:rsidR="008C63E0" w:rsidRDefault="000E0FE8" w:rsidP="008C63E0">
      <w:pPr>
        <w:pStyle w:val="Cmsor1szmozottnmhh"/>
        <w:pageBreakBefore w:val="0"/>
        <w:ind w:left="431" w:hanging="431"/>
      </w:pPr>
      <w:bookmarkStart w:id="66" w:name="_Toc96075620"/>
      <w:r>
        <w:lastRenderedPageBreak/>
        <w:t>Rádióspektrumdíjak</w:t>
      </w:r>
      <w:bookmarkEnd w:id="66"/>
    </w:p>
    <w:p w14:paraId="17DA7126" w14:textId="31CEF12A" w:rsidR="00521B61" w:rsidRPr="00521B61" w:rsidRDefault="00521B61" w:rsidP="00521B61">
      <w:pPr>
        <w:rPr>
          <w:sz w:val="20"/>
          <w:szCs w:val="20"/>
        </w:rPr>
      </w:pPr>
      <w:r w:rsidRPr="00A56D0C">
        <w:rPr>
          <w:sz w:val="20"/>
        </w:rPr>
        <w:t xml:space="preserve">A </w:t>
      </w:r>
      <w:r w:rsidRPr="00521B61">
        <w:rPr>
          <w:sz w:val="20"/>
          <w:szCs w:val="20"/>
        </w:rPr>
        <w:t>rendszeres rádióspektrumdíj számítási módszerét</w:t>
      </w:r>
      <w:r w:rsidRPr="00A56D0C">
        <w:rPr>
          <w:sz w:val="20"/>
        </w:rPr>
        <w:t xml:space="preserve"> a frekvencialekötés és -használat díjáról szóló 1/2011. (III. 31.) NMHH rendelet (a továbbiakban: Díjrendelet) </w:t>
      </w:r>
      <w:r w:rsidRPr="00521B61">
        <w:rPr>
          <w:sz w:val="20"/>
          <w:szCs w:val="20"/>
        </w:rPr>
        <w:t>írja le. Az NFFF alapján</w:t>
      </w:r>
      <w:r w:rsidRPr="00A56D0C">
        <w:rPr>
          <w:sz w:val="20"/>
        </w:rPr>
        <w:t xml:space="preserve"> blokkgazdálkodás körébe tartozó</w:t>
      </w:r>
      <w:r w:rsidRPr="00521B61">
        <w:rPr>
          <w:sz w:val="20"/>
          <w:szCs w:val="20"/>
        </w:rPr>
        <w:t>, szolgáltatás célú</w:t>
      </w:r>
      <w:r w:rsidRPr="00A56D0C">
        <w:rPr>
          <w:sz w:val="20"/>
        </w:rPr>
        <w:t xml:space="preserve"> és </w:t>
      </w:r>
      <w:r w:rsidRPr="00521B61">
        <w:rPr>
          <w:sz w:val="20"/>
          <w:szCs w:val="20"/>
        </w:rPr>
        <w:t>versenyeztetési eljárás eredményeként, a rádióspektrum-használati jogosultság meghosszabbítása eredményeként</w:t>
      </w:r>
      <w:r w:rsidRPr="00A56D0C">
        <w:rPr>
          <w:sz w:val="20"/>
        </w:rPr>
        <w:t xml:space="preserve"> vagy </w:t>
      </w:r>
      <w:r w:rsidRPr="00521B61">
        <w:rPr>
          <w:sz w:val="20"/>
          <w:szCs w:val="20"/>
        </w:rPr>
        <w:t>a rádióspektrum-használati jogosultság megújítása eredményeként szerzett, valamint a szerzést követően továbbértékesített rádióspektrum esetén a rádióspektrum-használati jogosultság időtartama alatt a jogosítottnak a rádióengedély érvényességének a frekvenciahasználati jogosultság megszerzését szolgáló árverés és pályázat szabályairól szóló 4/2011. (X. 6.) NMHH rendelet 22. § (3) bekezdésében meghatározott legkorábbi időpontjától a rádióspektrum-használati jogot szerzőnek havonta sávdíjat kell fizetnie.</w:t>
      </w:r>
    </w:p>
    <w:p w14:paraId="32338936" w14:textId="7F42A6D1" w:rsidR="00521B61" w:rsidRPr="00181636" w:rsidRDefault="00521B61" w:rsidP="00A56D0C">
      <w:r w:rsidRPr="0011064A">
        <w:rPr>
          <w:sz w:val="20"/>
          <w:szCs w:val="20"/>
        </w:rPr>
        <w:t xml:space="preserve">A fizetendő sávdíj képzési szabályát a Díjrendeletben a “Blokkgazdálkodás körébe tartozó sávok után fizetendő díjak” címmel szereplő 20. § és a 9. </w:t>
      </w:r>
      <w:r w:rsidRPr="00521B61">
        <w:rPr>
          <w:sz w:val="20"/>
          <w:szCs w:val="20"/>
        </w:rPr>
        <w:t>számú melléklet tartalmazza. A sávdíj megállapításához az</w:t>
      </w:r>
      <w:r w:rsidRPr="000544B2">
        <w:rPr>
          <w:sz w:val="20"/>
          <w:szCs w:val="20"/>
        </w:rPr>
        <w:t xml:space="preserve"> egységdíjat meg kell szorozni az értékesített, megszerzett sávok kHz-</w:t>
      </w:r>
      <w:proofErr w:type="spellStart"/>
      <w:r w:rsidRPr="000544B2">
        <w:rPr>
          <w:sz w:val="20"/>
          <w:szCs w:val="20"/>
        </w:rPr>
        <w:t>ben</w:t>
      </w:r>
      <w:proofErr w:type="spellEnd"/>
      <w:r w:rsidRPr="000544B2">
        <w:rPr>
          <w:sz w:val="20"/>
          <w:szCs w:val="20"/>
        </w:rPr>
        <w:t xml:space="preserve"> kifejezett összegével és a sávszorzóval.</w:t>
      </w:r>
      <w:r w:rsidRPr="00521B61">
        <w:rPr>
          <w:sz w:val="20"/>
          <w:szCs w:val="20"/>
        </w:rPr>
        <w:t xml:space="preserve"> Duplex sáv esetén az értékesített, megszerzett sávok mennyiségének meghatározásakor a sáv mindkét részét figyelembe kell venni. </w:t>
      </w:r>
    </w:p>
    <w:p w14:paraId="7E239E40" w14:textId="2F9555B6" w:rsidR="00521B61" w:rsidRPr="00521B61" w:rsidRDefault="00521B61" w:rsidP="00521B61">
      <w:pPr>
        <w:rPr>
          <w:sz w:val="20"/>
          <w:szCs w:val="20"/>
        </w:rPr>
      </w:pPr>
      <w:r w:rsidRPr="00521B61">
        <w:rPr>
          <w:sz w:val="20"/>
          <w:szCs w:val="20"/>
        </w:rPr>
        <w:t xml:space="preserve">A </w:t>
      </w:r>
      <w:r>
        <w:rPr>
          <w:sz w:val="20"/>
          <w:szCs w:val="20"/>
        </w:rPr>
        <w:t>24,5-26,5</w:t>
      </w:r>
      <w:r w:rsidRPr="00521B61">
        <w:rPr>
          <w:sz w:val="20"/>
          <w:szCs w:val="20"/>
        </w:rPr>
        <w:t xml:space="preserve"> </w:t>
      </w:r>
      <w:proofErr w:type="spellStart"/>
      <w:r w:rsidRPr="00521B61">
        <w:rPr>
          <w:sz w:val="20"/>
          <w:szCs w:val="20"/>
        </w:rPr>
        <w:t>GHz</w:t>
      </w:r>
      <w:proofErr w:type="spellEnd"/>
      <w:r w:rsidRPr="00521B61">
        <w:rPr>
          <w:sz w:val="20"/>
          <w:szCs w:val="20"/>
        </w:rPr>
        <w:t xml:space="preserve">-es </w:t>
      </w:r>
      <w:r w:rsidR="005B1FA2">
        <w:rPr>
          <w:sz w:val="20"/>
          <w:szCs w:val="20"/>
        </w:rPr>
        <w:t>frekvencia</w:t>
      </w:r>
      <w:r w:rsidRPr="00521B61">
        <w:rPr>
          <w:sz w:val="20"/>
          <w:szCs w:val="20"/>
        </w:rPr>
        <w:t xml:space="preserve">sávra vonatkozó </w:t>
      </w:r>
      <w:r>
        <w:rPr>
          <w:sz w:val="20"/>
          <w:szCs w:val="20"/>
        </w:rPr>
        <w:t xml:space="preserve">jelenlegi </w:t>
      </w:r>
      <w:r w:rsidRPr="00521B61">
        <w:rPr>
          <w:sz w:val="20"/>
          <w:szCs w:val="20"/>
        </w:rPr>
        <w:t xml:space="preserve">sávdíjat meghatározó tényezők </w:t>
      </w:r>
      <w:r>
        <w:rPr>
          <w:sz w:val="20"/>
          <w:szCs w:val="20"/>
        </w:rPr>
        <w:t>a jelenlegi állandóhelyű felhasználást alapul véve kerültek meghatározásra az alábbiak szerint</w:t>
      </w:r>
      <w:r w:rsidRPr="00521B61">
        <w:rPr>
          <w:sz w:val="20"/>
          <w:szCs w:val="20"/>
        </w:rPr>
        <w:t xml:space="preserve">: </w:t>
      </w:r>
    </w:p>
    <w:p w14:paraId="377B01F3" w14:textId="66175D5E" w:rsidR="00521B61" w:rsidRPr="00521B61" w:rsidRDefault="00521B61" w:rsidP="00521B61">
      <w:pPr>
        <w:pStyle w:val="Listaszerbekezds"/>
        <w:numPr>
          <w:ilvl w:val="0"/>
          <w:numId w:val="82"/>
        </w:numPr>
        <w:spacing w:after="160" w:line="259" w:lineRule="auto"/>
        <w:rPr>
          <w:sz w:val="20"/>
          <w:szCs w:val="20"/>
        </w:rPr>
      </w:pPr>
      <w:r w:rsidRPr="00521B61">
        <w:rPr>
          <w:sz w:val="20"/>
          <w:szCs w:val="20"/>
        </w:rPr>
        <w:t xml:space="preserve">országos sávhasználat esetére a 24,5-26,5 </w:t>
      </w:r>
      <w:proofErr w:type="spellStart"/>
      <w:r w:rsidRPr="00521B61">
        <w:rPr>
          <w:sz w:val="20"/>
          <w:szCs w:val="20"/>
        </w:rPr>
        <w:t>GHz</w:t>
      </w:r>
      <w:proofErr w:type="spellEnd"/>
      <w:r w:rsidRPr="00521B61">
        <w:rPr>
          <w:sz w:val="20"/>
          <w:szCs w:val="20"/>
        </w:rPr>
        <w:t xml:space="preserve">-es </w:t>
      </w:r>
      <w:r w:rsidR="005B1FA2">
        <w:rPr>
          <w:sz w:val="20"/>
          <w:szCs w:val="20"/>
        </w:rPr>
        <w:t>frekvencia</w:t>
      </w:r>
      <w:r w:rsidRPr="00521B61">
        <w:rPr>
          <w:sz w:val="20"/>
          <w:szCs w:val="20"/>
        </w:rPr>
        <w:t>sávra megálla</w:t>
      </w:r>
      <w:r w:rsidR="005B1FA2">
        <w:rPr>
          <w:sz w:val="20"/>
          <w:szCs w:val="20"/>
        </w:rPr>
        <w:t>pított sávszorzó értéke 0,002</w:t>
      </w:r>
    </w:p>
    <w:p w14:paraId="05069522" w14:textId="1BA46A2B" w:rsidR="00521B61" w:rsidRPr="00521B61" w:rsidRDefault="00521B61" w:rsidP="00521B61">
      <w:pPr>
        <w:pStyle w:val="Listaszerbekezds"/>
        <w:numPr>
          <w:ilvl w:val="0"/>
          <w:numId w:val="82"/>
        </w:numPr>
        <w:spacing w:after="160" w:line="259" w:lineRule="auto"/>
        <w:rPr>
          <w:sz w:val="20"/>
          <w:szCs w:val="20"/>
        </w:rPr>
      </w:pPr>
      <w:r w:rsidRPr="00521B61">
        <w:rPr>
          <w:sz w:val="20"/>
          <w:szCs w:val="20"/>
        </w:rPr>
        <w:t xml:space="preserve">egységdíj </w:t>
      </w:r>
      <w:r>
        <w:rPr>
          <w:sz w:val="20"/>
          <w:szCs w:val="20"/>
        </w:rPr>
        <w:t>a 2019</w:t>
      </w:r>
      <w:r w:rsidR="005B1FA2">
        <w:rPr>
          <w:sz w:val="20"/>
          <w:szCs w:val="20"/>
        </w:rPr>
        <w:t>. március 15. előtt megszerzett</w:t>
      </w:r>
      <w:r>
        <w:rPr>
          <w:sz w:val="20"/>
          <w:szCs w:val="20"/>
        </w:rPr>
        <w:t xml:space="preserve"> jogosultságok esetén: 7500 Ft/kHz/hó; </w:t>
      </w:r>
      <w:r w:rsidR="005B1FA2">
        <w:rPr>
          <w:sz w:val="20"/>
          <w:szCs w:val="20"/>
        </w:rPr>
        <w:t xml:space="preserve">a </w:t>
      </w:r>
      <w:r w:rsidR="005B1FA2" w:rsidRPr="0015667B">
        <w:rPr>
          <w:sz w:val="20"/>
          <w:szCs w:val="20"/>
        </w:rPr>
        <w:t xml:space="preserve">2019. március 15. </w:t>
      </w:r>
      <w:r w:rsidR="005B1FA2">
        <w:rPr>
          <w:sz w:val="20"/>
          <w:szCs w:val="20"/>
        </w:rPr>
        <w:t>után</w:t>
      </w:r>
      <w:r>
        <w:rPr>
          <w:sz w:val="20"/>
          <w:szCs w:val="20"/>
        </w:rPr>
        <w:t xml:space="preserve"> lefolytatott értékesítés útján szerzett jogosultság esetén: 6500 Ft/kHz/hó</w:t>
      </w:r>
    </w:p>
    <w:p w14:paraId="5FE1FE60" w14:textId="06C3D1DD" w:rsidR="008C63E0" w:rsidRDefault="0051176C" w:rsidP="008C63E0">
      <w:pPr>
        <w:pStyle w:val="Behzottbekezdsnmhh"/>
      </w:pPr>
      <w:r>
        <w:t xml:space="preserve">A hatályos Díjrendelet nem tartalmaz a teljes 26 </w:t>
      </w:r>
      <w:proofErr w:type="spellStart"/>
      <w:r>
        <w:t>GHz</w:t>
      </w:r>
      <w:proofErr w:type="spellEnd"/>
      <w:r>
        <w:t xml:space="preserve">-es </w:t>
      </w:r>
      <w:r w:rsidR="005B1FA2">
        <w:t>frekvencia</w:t>
      </w:r>
      <w:r>
        <w:t xml:space="preserve">sávra nézve a fizetendő díjakra vonatkozó előírásokat. </w:t>
      </w:r>
      <w:r w:rsidR="008C63E0">
        <w:t xml:space="preserve">A 24,25-24,5 </w:t>
      </w:r>
      <w:proofErr w:type="spellStart"/>
      <w:r w:rsidR="008C63E0">
        <w:t>GHz</w:t>
      </w:r>
      <w:proofErr w:type="spellEnd"/>
      <w:r w:rsidR="008C63E0">
        <w:t xml:space="preserve"> és a 26,5-27,5 </w:t>
      </w:r>
      <w:proofErr w:type="spellStart"/>
      <w:r w:rsidR="008C63E0">
        <w:t>GHz</w:t>
      </w:r>
      <w:proofErr w:type="spellEnd"/>
      <w:r w:rsidR="008C63E0">
        <w:t xml:space="preserve"> sávrészekre </w:t>
      </w:r>
      <w:r>
        <w:t xml:space="preserve">az MFCN – és ezen belül az 5G </w:t>
      </w:r>
      <w:r w:rsidR="000544B2">
        <w:t>–</w:t>
      </w:r>
      <w:r>
        <w:t xml:space="preserve"> </w:t>
      </w:r>
      <w:r w:rsidR="008C63E0">
        <w:t xml:space="preserve">bevezetése esetén a fizetendő díj </w:t>
      </w:r>
      <w:r w:rsidR="00AE0B66">
        <w:t xml:space="preserve">meghatározása szükséges </w:t>
      </w:r>
      <w:r w:rsidR="008C63E0">
        <w:t>az engedélyezési mód</w:t>
      </w:r>
      <w:r w:rsidR="00AE0B66">
        <w:t>ot</w:t>
      </w:r>
      <w:r w:rsidR="008C63E0">
        <w:t xml:space="preserve"> és a használat </w:t>
      </w:r>
      <w:r w:rsidR="00AE0B66">
        <w:t>jellegét figyelembe véve</w:t>
      </w:r>
      <w:r w:rsidR="008C63E0">
        <w:t xml:space="preserve">. </w:t>
      </w:r>
      <w:r w:rsidR="000544B2">
        <w:t>Amennyiben a felhasználási módban változás történik a</w:t>
      </w:r>
      <w:r>
        <w:t xml:space="preserve"> jelenleg </w:t>
      </w:r>
      <w:r w:rsidR="008E78EF">
        <w:t xml:space="preserve">állandóhelyű szolgálatra használt </w:t>
      </w:r>
      <w:r w:rsidR="00AE0B66">
        <w:t xml:space="preserve">24,5-26,5 </w:t>
      </w:r>
      <w:proofErr w:type="spellStart"/>
      <w:r w:rsidR="00AE0B66">
        <w:t>GHz</w:t>
      </w:r>
      <w:proofErr w:type="spellEnd"/>
      <w:r w:rsidR="00AE0B66">
        <w:t xml:space="preserve"> sávrész</w:t>
      </w:r>
      <w:r w:rsidR="008E78EF">
        <w:t>ben</w:t>
      </w:r>
      <w:r w:rsidR="0011064A">
        <w:t xml:space="preserve"> </w:t>
      </w:r>
      <w:r w:rsidR="000544B2">
        <w:t xml:space="preserve">– </w:t>
      </w:r>
      <w:r w:rsidR="00AE0B66">
        <w:t>az</w:t>
      </w:r>
      <w:r w:rsidR="000544B2">
        <w:t>az</w:t>
      </w:r>
      <w:r w:rsidR="00AE0B66">
        <w:t xml:space="preserve"> </w:t>
      </w:r>
      <w:r w:rsidR="008C63E0">
        <w:t>5G rendszerek számára</w:t>
      </w:r>
      <w:r w:rsidR="00596217">
        <w:t xml:space="preserve"> is </w:t>
      </w:r>
      <w:r w:rsidR="008C63E0">
        <w:t xml:space="preserve">elérhetővé </w:t>
      </w:r>
      <w:r w:rsidR="008E78EF">
        <w:t xml:space="preserve">válik </w:t>
      </w:r>
      <w:r w:rsidR="000544B2">
        <w:t>–, akkor</w:t>
      </w:r>
      <w:r w:rsidR="008E78EF">
        <w:t xml:space="preserve"> </w:t>
      </w:r>
      <w:r w:rsidR="008C63E0">
        <w:t xml:space="preserve">a jelenlegi sávhasználati díj felülvizsgálata </w:t>
      </w:r>
      <w:r w:rsidR="000544B2">
        <w:t xml:space="preserve">is </w:t>
      </w:r>
      <w:r w:rsidR="00027C0E">
        <w:t>szükséges</w:t>
      </w:r>
      <w:r w:rsidR="008C63E0">
        <w:t>.</w:t>
      </w:r>
    </w:p>
    <w:p w14:paraId="24F0D0C2" w14:textId="77777777" w:rsidR="008C63E0" w:rsidRDefault="008C63E0" w:rsidP="008C63E0">
      <w:pPr>
        <w:spacing w:after="200"/>
        <w:rPr>
          <w:sz w:val="20"/>
          <w:szCs w:val="20"/>
        </w:rPr>
      </w:pPr>
    </w:p>
    <w:sectPr w:rsidR="008C63E0" w:rsidSect="00DB6558">
      <w:footerReference w:type="default" r:id="rId17"/>
      <w:pgSz w:w="11906" w:h="16838"/>
      <w:pgMar w:top="1417" w:right="1417" w:bottom="1417" w:left="1417" w:header="14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282D2" w14:textId="77777777" w:rsidR="00AA3C2D" w:rsidRDefault="00AA3C2D">
      <w:pPr>
        <w:spacing w:after="0" w:line="240" w:lineRule="auto"/>
      </w:pPr>
      <w:r>
        <w:separator/>
      </w:r>
    </w:p>
  </w:endnote>
  <w:endnote w:type="continuationSeparator" w:id="0">
    <w:p w14:paraId="054FEC57" w14:textId="77777777" w:rsidR="00AA3C2D" w:rsidRDefault="00AA3C2D">
      <w:pPr>
        <w:spacing w:after="0" w:line="240" w:lineRule="auto"/>
      </w:pPr>
      <w:r>
        <w:continuationSeparator/>
      </w:r>
    </w:p>
  </w:endnote>
  <w:endnote w:type="continuationNotice" w:id="1">
    <w:p w14:paraId="03AB0C61" w14:textId="77777777" w:rsidR="00AA3C2D" w:rsidRDefault="00AA3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Arial"/>
    <w:charset w:val="00"/>
    <w:family w:val="auto"/>
    <w:pitch w:val="default"/>
    <w:sig w:usb0="00000005"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3525A"/>
      </w:rPr>
      <w:id w:val="-521928211"/>
      <w:docPartObj>
        <w:docPartGallery w:val="Page Numbers (Bottom of Page)"/>
        <w:docPartUnique/>
      </w:docPartObj>
    </w:sdtPr>
    <w:sdtEndPr/>
    <w:sdtContent>
      <w:p w14:paraId="1E0AC7C7" w14:textId="3CD1D582" w:rsidR="005D0D74" w:rsidRDefault="005D0D74">
        <w:pPr>
          <w:pStyle w:val="llb"/>
          <w:jc w:val="left"/>
          <w:rPr>
            <w:color w:val="43525A"/>
          </w:rPr>
        </w:pPr>
        <w:r>
          <w:rPr>
            <w:color w:val="43525A"/>
          </w:rPr>
          <w:fldChar w:fldCharType="begin"/>
        </w:r>
        <w:r>
          <w:rPr>
            <w:color w:val="43525A"/>
          </w:rPr>
          <w:instrText>PAGE   \* MERGEFORMAT</w:instrText>
        </w:r>
        <w:r>
          <w:rPr>
            <w:color w:val="43525A"/>
          </w:rPr>
          <w:fldChar w:fldCharType="separate"/>
        </w:r>
        <w:r w:rsidR="002C361E">
          <w:rPr>
            <w:noProof/>
            <w:color w:val="43525A"/>
          </w:rPr>
          <w:t>20</w:t>
        </w:r>
        <w:r>
          <w:rPr>
            <w:color w:val="43525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19296"/>
      <w:docPartObj>
        <w:docPartGallery w:val="Page Numbers (Bottom of Page)"/>
        <w:docPartUnique/>
      </w:docPartObj>
    </w:sdtPr>
    <w:sdtEndPr>
      <w:rPr>
        <w:color w:val="43525A"/>
      </w:rPr>
    </w:sdtEndPr>
    <w:sdtContent>
      <w:p w14:paraId="4FC9EF92" w14:textId="60AA8058" w:rsidR="005D0D74" w:rsidRDefault="005D0D74">
        <w:pPr>
          <w:pStyle w:val="llb"/>
          <w:jc w:val="right"/>
          <w:rPr>
            <w:color w:val="43525A"/>
          </w:rPr>
        </w:pPr>
        <w:r>
          <w:rPr>
            <w:color w:val="43525A"/>
          </w:rPr>
          <w:fldChar w:fldCharType="begin"/>
        </w:r>
        <w:r>
          <w:rPr>
            <w:color w:val="43525A"/>
          </w:rPr>
          <w:instrText>PAGE   \* MERGEFORMAT</w:instrText>
        </w:r>
        <w:r>
          <w:rPr>
            <w:color w:val="43525A"/>
          </w:rPr>
          <w:fldChar w:fldCharType="separate"/>
        </w:r>
        <w:r>
          <w:rPr>
            <w:noProof/>
            <w:color w:val="43525A"/>
          </w:rPr>
          <w:t>19</w:t>
        </w:r>
        <w:r>
          <w:rPr>
            <w:color w:val="43525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9098" w14:textId="77777777" w:rsidR="005D0D74" w:rsidRDefault="005D0D74" w:rsidP="00D96CED">
    <w:pPr>
      <w:pStyle w:val="llb"/>
      <w:jc w:val="right"/>
    </w:pPr>
  </w:p>
  <w:p w14:paraId="7F540A15" w14:textId="59816F6E" w:rsidR="005D0D74" w:rsidRDefault="005D0D74" w:rsidP="00D96CED">
    <w:pPr>
      <w:pStyle w:val="llb"/>
      <w:tabs>
        <w:tab w:val="clear" w:pos="4536"/>
        <w:tab w:val="clear" w:pos="9072"/>
        <w:tab w:val="right" w:pos="13041"/>
      </w:tabs>
    </w:pPr>
    <w:r>
      <w:tab/>
    </w:r>
    <w:r>
      <w:fldChar w:fldCharType="begin"/>
    </w:r>
    <w:r>
      <w:instrText xml:space="preserve"> PAGE   \* MERGEFORMAT </w:instrText>
    </w:r>
    <w:r>
      <w:fldChar w:fldCharType="separate"/>
    </w:r>
    <w:r w:rsidR="002C361E">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F19E9" w14:textId="77777777" w:rsidR="00AA3C2D" w:rsidRDefault="00AA3C2D">
      <w:pPr>
        <w:spacing w:after="0" w:line="240" w:lineRule="auto"/>
      </w:pPr>
      <w:r>
        <w:separator/>
      </w:r>
    </w:p>
  </w:footnote>
  <w:footnote w:type="continuationSeparator" w:id="0">
    <w:p w14:paraId="2C37BE4F" w14:textId="77777777" w:rsidR="00AA3C2D" w:rsidRDefault="00AA3C2D">
      <w:pPr>
        <w:spacing w:after="0" w:line="240" w:lineRule="auto"/>
      </w:pPr>
      <w:r>
        <w:continuationSeparator/>
      </w:r>
    </w:p>
  </w:footnote>
  <w:footnote w:type="continuationNotice" w:id="1">
    <w:p w14:paraId="3952D6B5" w14:textId="77777777" w:rsidR="00AA3C2D" w:rsidRDefault="00AA3C2D">
      <w:pPr>
        <w:spacing w:after="0" w:line="240" w:lineRule="auto"/>
      </w:pPr>
    </w:p>
  </w:footnote>
  <w:footnote w:id="2">
    <w:p w14:paraId="0FDC4843" w14:textId="6D4C5518" w:rsidR="005D0D74" w:rsidRDefault="005D0D74" w:rsidP="00A56D0C">
      <w:pPr>
        <w:pStyle w:val="Lbjegyzetszveg"/>
      </w:pPr>
      <w:r>
        <w:rPr>
          <w:rStyle w:val="Lbjegyzet-hivatkozs"/>
        </w:rPr>
        <w:footnoteRef/>
      </w:r>
      <w:r>
        <w:t xml:space="preserve"> </w:t>
      </w:r>
      <w:r w:rsidRPr="0060328D">
        <w:rPr>
          <w:sz w:val="16"/>
          <w:szCs w:val="16"/>
        </w:rPr>
        <w:t xml:space="preserve">MFCN: Mobile/Fixed </w:t>
      </w:r>
      <w:proofErr w:type="spellStart"/>
      <w:r w:rsidRPr="0060328D">
        <w:rPr>
          <w:sz w:val="16"/>
          <w:szCs w:val="16"/>
        </w:rPr>
        <w:t>Communication</w:t>
      </w:r>
      <w:proofErr w:type="spellEnd"/>
      <w:r w:rsidRPr="0060328D">
        <w:rPr>
          <w:sz w:val="16"/>
          <w:szCs w:val="16"/>
        </w:rPr>
        <w:t xml:space="preserve"> Network </w:t>
      </w:r>
      <w:r>
        <w:rPr>
          <w:sz w:val="16"/>
          <w:szCs w:val="16"/>
        </w:rPr>
        <w:t>(</w:t>
      </w:r>
      <w:r w:rsidRPr="0060328D">
        <w:rPr>
          <w:sz w:val="16"/>
          <w:szCs w:val="16"/>
        </w:rPr>
        <w:t>mozgó és ál</w:t>
      </w:r>
      <w:r>
        <w:rPr>
          <w:sz w:val="16"/>
          <w:szCs w:val="16"/>
        </w:rPr>
        <w:t>landóhelyű hírközlési hálózatok)</w:t>
      </w:r>
    </w:p>
  </w:footnote>
  <w:footnote w:id="3">
    <w:p w14:paraId="08A44409" w14:textId="3DBB54E3" w:rsidR="005D0D74" w:rsidRDefault="005D0D74">
      <w:pPr>
        <w:pStyle w:val="Lbjegyzetszveg"/>
      </w:pPr>
      <w:r>
        <w:rPr>
          <w:rStyle w:val="Lbjegyzet-hivatkozs"/>
        </w:rPr>
        <w:footnoteRef/>
      </w:r>
      <w:r>
        <w:t xml:space="preserve"> </w:t>
      </w:r>
      <w:r w:rsidRPr="00F61B55">
        <w:rPr>
          <w:sz w:val="16"/>
          <w:szCs w:val="16"/>
        </w:rPr>
        <w:t>NR:</w:t>
      </w:r>
      <w:r w:rsidRPr="00A56D0C">
        <w:rPr>
          <w:sz w:val="16"/>
        </w:rPr>
        <w:t xml:space="preserve"> New </w:t>
      </w:r>
      <w:proofErr w:type="spellStart"/>
      <w:r w:rsidRPr="00A56D0C">
        <w:rPr>
          <w:sz w:val="16"/>
        </w:rPr>
        <w:t>Radio</w:t>
      </w:r>
      <w:proofErr w:type="spellEnd"/>
      <w:r>
        <w:t xml:space="preserve"> </w:t>
      </w:r>
    </w:p>
  </w:footnote>
  <w:footnote w:id="4">
    <w:p w14:paraId="5D90C42F" w14:textId="600E7A82" w:rsidR="005D0D74" w:rsidRPr="00843FE5" w:rsidRDefault="005D0D74" w:rsidP="008C63E0">
      <w:pPr>
        <w:pStyle w:val="Lbjegyzetszveg"/>
        <w:rPr>
          <w:sz w:val="16"/>
          <w:szCs w:val="16"/>
        </w:rPr>
      </w:pPr>
      <w:r>
        <w:rPr>
          <w:rStyle w:val="Lbjegyzet-hivatkozs"/>
        </w:rPr>
        <w:footnoteRef/>
      </w:r>
      <w:r>
        <w:t xml:space="preserve"> </w:t>
      </w:r>
      <w:r w:rsidRPr="00843FE5">
        <w:rPr>
          <w:sz w:val="16"/>
          <w:szCs w:val="16"/>
        </w:rPr>
        <w:t xml:space="preserve">A Hatóság mikrohullámú rádióátviteli rendszerekhez (26 </w:t>
      </w:r>
      <w:proofErr w:type="spellStart"/>
      <w:r w:rsidRPr="00843FE5">
        <w:rPr>
          <w:sz w:val="16"/>
          <w:szCs w:val="16"/>
        </w:rPr>
        <w:t>GHz</w:t>
      </w:r>
      <w:proofErr w:type="spellEnd"/>
      <w:r w:rsidRPr="00843FE5">
        <w:rPr>
          <w:sz w:val="16"/>
          <w:szCs w:val="16"/>
        </w:rPr>
        <w:t xml:space="preserve">) kapcsolódó </w:t>
      </w:r>
      <w:r w:rsidRPr="005E5163">
        <w:rPr>
          <w:sz w:val="16"/>
          <w:szCs w:val="16"/>
        </w:rPr>
        <w:t>rádióspektrum</w:t>
      </w:r>
      <w:r>
        <w:t>-</w:t>
      </w:r>
      <w:r w:rsidRPr="00843FE5">
        <w:rPr>
          <w:sz w:val="16"/>
          <w:szCs w:val="16"/>
        </w:rPr>
        <w:t>használati jogosultság tárgyában 2008. október 22-én pályázati felhívást tett közzé és 2009. április 30-án eredményesnek minősített.</w:t>
      </w:r>
    </w:p>
  </w:footnote>
  <w:footnote w:id="5">
    <w:p w14:paraId="15C31E63" w14:textId="7AAE5B7C" w:rsidR="005D0D74" w:rsidRPr="00843FE5" w:rsidRDefault="005D0D74" w:rsidP="008C63E0">
      <w:pPr>
        <w:pStyle w:val="Lbjegyzetszveg"/>
        <w:rPr>
          <w:sz w:val="16"/>
          <w:szCs w:val="16"/>
        </w:rPr>
      </w:pPr>
      <w:r w:rsidRPr="00240D8B">
        <w:rPr>
          <w:rStyle w:val="Lbjegyzet-hivatkozs"/>
        </w:rPr>
        <w:footnoteRef/>
      </w:r>
      <w:r w:rsidRPr="00843FE5">
        <w:rPr>
          <w:sz w:val="16"/>
          <w:szCs w:val="16"/>
        </w:rPr>
        <w:t xml:space="preserve"> A Hatóság a 26 </w:t>
      </w:r>
      <w:proofErr w:type="spellStart"/>
      <w:r w:rsidRPr="00843FE5">
        <w:rPr>
          <w:sz w:val="16"/>
          <w:szCs w:val="16"/>
        </w:rPr>
        <w:t>GHz</w:t>
      </w:r>
      <w:proofErr w:type="spellEnd"/>
      <w:r w:rsidRPr="00843FE5">
        <w:rPr>
          <w:sz w:val="16"/>
          <w:szCs w:val="16"/>
        </w:rPr>
        <w:t xml:space="preserve">-es frekvenciasáv alapblokkjainak </w:t>
      </w:r>
      <w:r w:rsidRPr="005E5163">
        <w:rPr>
          <w:sz w:val="16"/>
          <w:szCs w:val="16"/>
        </w:rPr>
        <w:t>rádióspektrum</w:t>
      </w:r>
      <w:r>
        <w:t>-</w:t>
      </w:r>
      <w:r w:rsidRPr="00843FE5">
        <w:rPr>
          <w:sz w:val="16"/>
          <w:szCs w:val="16"/>
        </w:rPr>
        <w:t>használati jogosultsága tárgyában 2011. november 7. napján közzétett hirdetmény útján hivatalból indított hatósági eljárás keretében pályázati eljárást indított, melyet 2012. februárjában határozattal eredményesnek nyilvánított.</w:t>
      </w:r>
    </w:p>
  </w:footnote>
  <w:footnote w:id="6">
    <w:p w14:paraId="7971713C" w14:textId="77777777" w:rsidR="005D0D74" w:rsidRPr="00843FE5" w:rsidRDefault="005D0D74" w:rsidP="008C63E0">
      <w:pPr>
        <w:pStyle w:val="Lbjegyzetszveg"/>
        <w:rPr>
          <w:sz w:val="16"/>
          <w:szCs w:val="16"/>
        </w:rPr>
      </w:pPr>
      <w:r w:rsidRPr="00240D8B">
        <w:rPr>
          <w:rStyle w:val="Lbjegyzet-hivatkozs"/>
        </w:rPr>
        <w:footnoteRef/>
      </w:r>
      <w:r>
        <w:rPr>
          <w:sz w:val="16"/>
          <w:szCs w:val="16"/>
        </w:rPr>
        <w:t xml:space="preserve"> RSPG: </w:t>
      </w:r>
      <w:proofErr w:type="spellStart"/>
      <w:r w:rsidRPr="00843FE5">
        <w:rPr>
          <w:sz w:val="16"/>
          <w:szCs w:val="16"/>
        </w:rPr>
        <w:t>Radio</w:t>
      </w:r>
      <w:proofErr w:type="spellEnd"/>
      <w:r w:rsidRPr="00843FE5">
        <w:rPr>
          <w:sz w:val="16"/>
          <w:szCs w:val="16"/>
        </w:rPr>
        <w:t xml:space="preserve"> </w:t>
      </w:r>
      <w:proofErr w:type="spellStart"/>
      <w:r w:rsidRPr="00843FE5">
        <w:rPr>
          <w:sz w:val="16"/>
          <w:szCs w:val="16"/>
        </w:rPr>
        <w:t>Spectrum</w:t>
      </w:r>
      <w:proofErr w:type="spellEnd"/>
      <w:r w:rsidRPr="00843FE5">
        <w:rPr>
          <w:sz w:val="16"/>
          <w:szCs w:val="16"/>
        </w:rPr>
        <w:t xml:space="preserve"> Policy Group – Rádióspektrum Politikai Csoport (A rádiófrekvencia-politikával foglalkozó csoport létrehozásáról szóló 2002. július 26-i 2002/622/EK bizottsági határozattal létrehozott rádióspektrum Politikai Csoport (RSPG) tanácsadói minőségben a rádióspektrum európai stratégiai kérdéseivel foglalkozik.)</w:t>
      </w:r>
    </w:p>
  </w:footnote>
  <w:footnote w:id="7">
    <w:p w14:paraId="41EC8CDE" w14:textId="5F357398" w:rsidR="005D0D74" w:rsidRPr="00843FE5" w:rsidRDefault="005D0D74" w:rsidP="008C63E0">
      <w:pPr>
        <w:pStyle w:val="Lbjegyzetszveg"/>
        <w:rPr>
          <w:sz w:val="16"/>
          <w:szCs w:val="16"/>
        </w:rPr>
      </w:pPr>
      <w:r w:rsidRPr="00240D8B">
        <w:rPr>
          <w:rStyle w:val="Lbjegyzet-hivatkozs"/>
        </w:rPr>
        <w:footnoteRef/>
      </w:r>
      <w:r w:rsidRPr="00843FE5">
        <w:rPr>
          <w:sz w:val="16"/>
          <w:szCs w:val="16"/>
        </w:rPr>
        <w:t xml:space="preserve"> </w:t>
      </w:r>
      <w:hyperlink r:id="rId1" w:history="1">
        <w:r w:rsidRPr="003D631C">
          <w:rPr>
            <w:rStyle w:val="Hiperhivatkozs"/>
            <w:sz w:val="16"/>
            <w:szCs w:val="16"/>
          </w:rPr>
          <w:t>http://rspg-spectrum.eu/wp-content/uploads/2013/05/RPSG16-032-Opinion_5G.pdf</w:t>
        </w:r>
      </w:hyperlink>
    </w:p>
  </w:footnote>
  <w:footnote w:id="8">
    <w:p w14:paraId="2B0E40E6" w14:textId="77777777" w:rsidR="005D0D74" w:rsidRDefault="005D0D74" w:rsidP="008C63E0">
      <w:pPr>
        <w:pStyle w:val="Lbjegyzetszveg"/>
        <w:rPr>
          <w:sz w:val="16"/>
          <w:szCs w:val="16"/>
        </w:rPr>
      </w:pPr>
      <w:r w:rsidRPr="00240D8B">
        <w:rPr>
          <w:rStyle w:val="Lbjegyzet-hivatkozs"/>
        </w:rPr>
        <w:footnoteRef/>
      </w:r>
      <w:r w:rsidRPr="00843FE5">
        <w:rPr>
          <w:sz w:val="16"/>
          <w:szCs w:val="16"/>
        </w:rPr>
        <w:t xml:space="preserve"> </w:t>
      </w:r>
      <w:hyperlink r:id="rId2" w:history="1">
        <w:r w:rsidRPr="003D631C">
          <w:rPr>
            <w:rStyle w:val="Hiperhivatkozs"/>
            <w:sz w:val="16"/>
            <w:szCs w:val="16"/>
          </w:rPr>
          <w:t>https://digital-strategy.ec.europa.eu/en/library/radio-spectrum-cept-mandates</w:t>
        </w:r>
      </w:hyperlink>
    </w:p>
    <w:p w14:paraId="72988515" w14:textId="4CD53991" w:rsidR="005D0D74" w:rsidRPr="00843FE5" w:rsidRDefault="005D0D74" w:rsidP="008C63E0">
      <w:pPr>
        <w:pStyle w:val="Lbjegyzetszveg"/>
        <w:rPr>
          <w:sz w:val="16"/>
          <w:szCs w:val="16"/>
        </w:rPr>
      </w:pPr>
      <w:proofErr w:type="spellStart"/>
      <w:r w:rsidRPr="00843FE5">
        <w:rPr>
          <w:sz w:val="16"/>
          <w:szCs w:val="16"/>
        </w:rPr>
        <w:t>Mandate</w:t>
      </w:r>
      <w:proofErr w:type="spellEnd"/>
      <w:r w:rsidRPr="00843FE5">
        <w:rPr>
          <w:sz w:val="16"/>
          <w:szCs w:val="16"/>
        </w:rPr>
        <w:t xml:space="preserve"> </w:t>
      </w:r>
      <w:proofErr w:type="spellStart"/>
      <w:r w:rsidRPr="00843FE5">
        <w:rPr>
          <w:sz w:val="16"/>
          <w:szCs w:val="16"/>
        </w:rPr>
        <w:t>to</w:t>
      </w:r>
      <w:proofErr w:type="spellEnd"/>
      <w:r w:rsidRPr="00843FE5">
        <w:rPr>
          <w:sz w:val="16"/>
          <w:szCs w:val="16"/>
        </w:rPr>
        <w:t xml:space="preserve"> CEPT </w:t>
      </w:r>
      <w:proofErr w:type="spellStart"/>
      <w:r w:rsidRPr="00843FE5">
        <w:rPr>
          <w:sz w:val="16"/>
          <w:szCs w:val="16"/>
        </w:rPr>
        <w:t>to</w:t>
      </w:r>
      <w:proofErr w:type="spellEnd"/>
      <w:r w:rsidRPr="00843FE5">
        <w:rPr>
          <w:sz w:val="16"/>
          <w:szCs w:val="16"/>
        </w:rPr>
        <w:t xml:space="preserve"> </w:t>
      </w:r>
      <w:proofErr w:type="spellStart"/>
      <w:r w:rsidRPr="00843FE5">
        <w:rPr>
          <w:sz w:val="16"/>
          <w:szCs w:val="16"/>
        </w:rPr>
        <w:t>develop</w:t>
      </w:r>
      <w:proofErr w:type="spellEnd"/>
      <w:r w:rsidRPr="00843FE5">
        <w:rPr>
          <w:sz w:val="16"/>
          <w:szCs w:val="16"/>
        </w:rPr>
        <w:t xml:space="preserve"> </w:t>
      </w:r>
      <w:proofErr w:type="spellStart"/>
      <w:r w:rsidRPr="00843FE5">
        <w:rPr>
          <w:sz w:val="16"/>
          <w:szCs w:val="16"/>
        </w:rPr>
        <w:t>harmonised</w:t>
      </w:r>
      <w:proofErr w:type="spellEnd"/>
      <w:r w:rsidRPr="00843FE5">
        <w:rPr>
          <w:sz w:val="16"/>
          <w:szCs w:val="16"/>
        </w:rPr>
        <w:t xml:space="preserve"> </w:t>
      </w:r>
      <w:proofErr w:type="spellStart"/>
      <w:r w:rsidRPr="00843FE5">
        <w:rPr>
          <w:sz w:val="16"/>
          <w:szCs w:val="16"/>
        </w:rPr>
        <w:t>technical</w:t>
      </w:r>
      <w:proofErr w:type="spellEnd"/>
      <w:r w:rsidRPr="00843FE5">
        <w:rPr>
          <w:sz w:val="16"/>
          <w:szCs w:val="16"/>
        </w:rPr>
        <w:t xml:space="preserve"> </w:t>
      </w:r>
      <w:proofErr w:type="spellStart"/>
      <w:r w:rsidRPr="00843FE5">
        <w:rPr>
          <w:sz w:val="16"/>
          <w:szCs w:val="16"/>
        </w:rPr>
        <w:t>conditions</w:t>
      </w:r>
      <w:proofErr w:type="spellEnd"/>
      <w:r w:rsidRPr="00843FE5">
        <w:rPr>
          <w:sz w:val="16"/>
          <w:szCs w:val="16"/>
        </w:rPr>
        <w:t xml:space="preserve"> </w:t>
      </w:r>
      <w:proofErr w:type="spellStart"/>
      <w:r w:rsidRPr="00843FE5">
        <w:rPr>
          <w:sz w:val="16"/>
          <w:szCs w:val="16"/>
        </w:rPr>
        <w:t>for</w:t>
      </w:r>
      <w:proofErr w:type="spellEnd"/>
      <w:r w:rsidRPr="00843FE5">
        <w:rPr>
          <w:sz w:val="16"/>
          <w:szCs w:val="16"/>
        </w:rPr>
        <w:t xml:space="preserve"> </w:t>
      </w:r>
      <w:proofErr w:type="spellStart"/>
      <w:r w:rsidRPr="00843FE5">
        <w:rPr>
          <w:sz w:val="16"/>
          <w:szCs w:val="16"/>
        </w:rPr>
        <w:t>spectrum</w:t>
      </w:r>
      <w:proofErr w:type="spellEnd"/>
      <w:r w:rsidRPr="00843FE5">
        <w:rPr>
          <w:sz w:val="16"/>
          <w:szCs w:val="16"/>
        </w:rPr>
        <w:t xml:space="preserve"> </w:t>
      </w:r>
      <w:proofErr w:type="spellStart"/>
      <w:r w:rsidRPr="00843FE5">
        <w:rPr>
          <w:sz w:val="16"/>
          <w:szCs w:val="16"/>
        </w:rPr>
        <w:t>use</w:t>
      </w:r>
      <w:proofErr w:type="spellEnd"/>
      <w:r w:rsidRPr="00843FE5">
        <w:rPr>
          <w:sz w:val="16"/>
          <w:szCs w:val="16"/>
        </w:rPr>
        <w:t xml:space="preserve"> in </w:t>
      </w:r>
      <w:proofErr w:type="spellStart"/>
      <w:r w:rsidRPr="00843FE5">
        <w:rPr>
          <w:sz w:val="16"/>
          <w:szCs w:val="16"/>
        </w:rPr>
        <w:t>support</w:t>
      </w:r>
      <w:proofErr w:type="spellEnd"/>
      <w:r w:rsidRPr="00843FE5">
        <w:rPr>
          <w:sz w:val="16"/>
          <w:szCs w:val="16"/>
        </w:rPr>
        <w:t xml:space="preserve"> of </w:t>
      </w:r>
      <w:proofErr w:type="spellStart"/>
      <w:r w:rsidRPr="00843FE5">
        <w:rPr>
          <w:sz w:val="16"/>
          <w:szCs w:val="16"/>
        </w:rPr>
        <w:t>the</w:t>
      </w:r>
      <w:proofErr w:type="spellEnd"/>
      <w:r w:rsidRPr="00843FE5">
        <w:rPr>
          <w:sz w:val="16"/>
          <w:szCs w:val="16"/>
        </w:rPr>
        <w:t xml:space="preserve"> </w:t>
      </w:r>
      <w:proofErr w:type="spellStart"/>
      <w:r w:rsidRPr="00843FE5">
        <w:rPr>
          <w:sz w:val="16"/>
          <w:szCs w:val="16"/>
        </w:rPr>
        <w:t>introduction</w:t>
      </w:r>
      <w:proofErr w:type="spellEnd"/>
      <w:r w:rsidRPr="00843FE5">
        <w:rPr>
          <w:sz w:val="16"/>
          <w:szCs w:val="16"/>
        </w:rPr>
        <w:t xml:space="preserve"> of </w:t>
      </w:r>
      <w:proofErr w:type="spellStart"/>
      <w:r w:rsidRPr="00843FE5">
        <w:rPr>
          <w:sz w:val="16"/>
          <w:szCs w:val="16"/>
        </w:rPr>
        <w:t>next-generation</w:t>
      </w:r>
      <w:proofErr w:type="spellEnd"/>
      <w:r w:rsidRPr="00843FE5">
        <w:rPr>
          <w:sz w:val="16"/>
          <w:szCs w:val="16"/>
        </w:rPr>
        <w:t xml:space="preserve"> (5G) </w:t>
      </w:r>
      <w:proofErr w:type="spellStart"/>
      <w:r w:rsidRPr="00843FE5">
        <w:rPr>
          <w:sz w:val="16"/>
          <w:szCs w:val="16"/>
        </w:rPr>
        <w:t>terrestrial</w:t>
      </w:r>
      <w:proofErr w:type="spellEnd"/>
      <w:r w:rsidRPr="00843FE5">
        <w:rPr>
          <w:sz w:val="16"/>
          <w:szCs w:val="16"/>
        </w:rPr>
        <w:t xml:space="preserve"> </w:t>
      </w:r>
      <w:proofErr w:type="spellStart"/>
      <w:r w:rsidRPr="00843FE5">
        <w:rPr>
          <w:sz w:val="16"/>
          <w:szCs w:val="16"/>
        </w:rPr>
        <w:t>wireless</w:t>
      </w:r>
      <w:proofErr w:type="spellEnd"/>
      <w:r w:rsidRPr="00843FE5">
        <w:rPr>
          <w:sz w:val="16"/>
          <w:szCs w:val="16"/>
        </w:rPr>
        <w:t xml:space="preserve"> </w:t>
      </w:r>
      <w:proofErr w:type="spellStart"/>
      <w:r w:rsidRPr="00843FE5">
        <w:rPr>
          <w:sz w:val="16"/>
          <w:szCs w:val="16"/>
        </w:rPr>
        <w:t>systems</w:t>
      </w:r>
      <w:proofErr w:type="spellEnd"/>
      <w:r w:rsidRPr="00843FE5">
        <w:rPr>
          <w:sz w:val="16"/>
          <w:szCs w:val="16"/>
        </w:rPr>
        <w:t xml:space="preserve"> in </w:t>
      </w:r>
      <w:proofErr w:type="spellStart"/>
      <w:r w:rsidRPr="00843FE5">
        <w:rPr>
          <w:sz w:val="16"/>
          <w:szCs w:val="16"/>
        </w:rPr>
        <w:t>the</w:t>
      </w:r>
      <w:proofErr w:type="spellEnd"/>
      <w:r w:rsidRPr="00843FE5">
        <w:rPr>
          <w:sz w:val="16"/>
          <w:szCs w:val="16"/>
        </w:rPr>
        <w:t xml:space="preserve"> Union</w:t>
      </w:r>
    </w:p>
  </w:footnote>
  <w:footnote w:id="9">
    <w:p w14:paraId="49C4F56A" w14:textId="77777777" w:rsidR="005D0D74" w:rsidRDefault="005D0D74" w:rsidP="008C63E0">
      <w:pPr>
        <w:pStyle w:val="Lbjegyzetszveg"/>
      </w:pPr>
      <w:r>
        <w:rPr>
          <w:rStyle w:val="Lbjegyzet-hivatkozs"/>
        </w:rPr>
        <w:footnoteRef/>
      </w:r>
      <w:r>
        <w:t xml:space="preserve"> </w:t>
      </w:r>
      <w:r w:rsidRPr="007A435A">
        <w:rPr>
          <w:sz w:val="16"/>
          <w:szCs w:val="16"/>
        </w:rPr>
        <w:t>CEPT</w:t>
      </w:r>
      <w:r>
        <w:rPr>
          <w:sz w:val="16"/>
          <w:szCs w:val="16"/>
        </w:rPr>
        <w:t xml:space="preserve">: </w:t>
      </w:r>
      <w:proofErr w:type="spellStart"/>
      <w:r w:rsidRPr="00843FE5">
        <w:rPr>
          <w:sz w:val="16"/>
          <w:szCs w:val="16"/>
        </w:rPr>
        <w:t>Conférence</w:t>
      </w:r>
      <w:proofErr w:type="spellEnd"/>
      <w:r w:rsidRPr="00843FE5">
        <w:rPr>
          <w:sz w:val="16"/>
          <w:szCs w:val="16"/>
        </w:rPr>
        <w:t xml:space="preserve"> </w:t>
      </w:r>
      <w:proofErr w:type="spellStart"/>
      <w:r w:rsidRPr="00843FE5">
        <w:rPr>
          <w:sz w:val="16"/>
          <w:szCs w:val="16"/>
        </w:rPr>
        <w:t>européenne</w:t>
      </w:r>
      <w:proofErr w:type="spellEnd"/>
      <w:r w:rsidRPr="00843FE5">
        <w:rPr>
          <w:sz w:val="16"/>
          <w:szCs w:val="16"/>
        </w:rPr>
        <w:t xml:space="preserve"> des </w:t>
      </w:r>
      <w:proofErr w:type="spellStart"/>
      <w:r w:rsidRPr="00843FE5">
        <w:rPr>
          <w:sz w:val="16"/>
          <w:szCs w:val="16"/>
        </w:rPr>
        <w:t>Administrations</w:t>
      </w:r>
      <w:proofErr w:type="spellEnd"/>
      <w:r w:rsidRPr="00843FE5">
        <w:rPr>
          <w:sz w:val="16"/>
          <w:szCs w:val="16"/>
        </w:rPr>
        <w:t xml:space="preserve"> des </w:t>
      </w:r>
      <w:proofErr w:type="spellStart"/>
      <w:r w:rsidRPr="00843FE5">
        <w:rPr>
          <w:sz w:val="16"/>
          <w:szCs w:val="16"/>
        </w:rPr>
        <w:t>postes</w:t>
      </w:r>
      <w:proofErr w:type="spellEnd"/>
      <w:r w:rsidRPr="00843FE5">
        <w:rPr>
          <w:sz w:val="16"/>
          <w:szCs w:val="16"/>
        </w:rPr>
        <w:t xml:space="preserve"> et des </w:t>
      </w:r>
      <w:proofErr w:type="spellStart"/>
      <w:r w:rsidRPr="00843FE5">
        <w:rPr>
          <w:sz w:val="16"/>
          <w:szCs w:val="16"/>
        </w:rPr>
        <w:t>télécommunications</w:t>
      </w:r>
      <w:proofErr w:type="spellEnd"/>
      <w:r w:rsidRPr="00843FE5">
        <w:rPr>
          <w:sz w:val="16"/>
          <w:szCs w:val="16"/>
        </w:rPr>
        <w:t xml:space="preserve"> – Postai és Távközlési Igazgatások Európai Értekezlete</w:t>
      </w:r>
    </w:p>
  </w:footnote>
  <w:footnote w:id="10">
    <w:p w14:paraId="2407C597" w14:textId="77777777" w:rsidR="005D0D74" w:rsidRPr="00623312" w:rsidRDefault="005D0D74" w:rsidP="008C63E0">
      <w:pPr>
        <w:pStyle w:val="Lbjegyzetszveg"/>
        <w:rPr>
          <w:sz w:val="16"/>
          <w:szCs w:val="16"/>
        </w:rPr>
      </w:pPr>
      <w:r>
        <w:rPr>
          <w:rStyle w:val="Lbjegyzet-hivatkozs"/>
        </w:rPr>
        <w:footnoteRef/>
      </w:r>
      <w:r>
        <w:t xml:space="preserve"> </w:t>
      </w:r>
      <w:proofErr w:type="gramStart"/>
      <w:r w:rsidRPr="00623312">
        <w:rPr>
          <w:sz w:val="16"/>
          <w:szCs w:val="16"/>
        </w:rPr>
        <w:t>az</w:t>
      </w:r>
      <w:proofErr w:type="gramEnd"/>
      <w:r w:rsidRPr="00623312">
        <w:rPr>
          <w:sz w:val="16"/>
          <w:szCs w:val="16"/>
        </w:rPr>
        <w:t xml:space="preserve"> Európai Parlament és a Tanács (EU) 2018/1972 irányelve (2018. december 11.) az Európai Elektronikus Hírközlési Kódex létrehozásáról (HL L 321., 2018.12.17., 36. o.)</w:t>
      </w:r>
    </w:p>
  </w:footnote>
  <w:footnote w:id="11">
    <w:p w14:paraId="593402C7" w14:textId="77777777" w:rsidR="005D0D74" w:rsidRDefault="005D0D74" w:rsidP="008C63E0">
      <w:pPr>
        <w:pStyle w:val="Lbjegyzetszveg"/>
      </w:pPr>
      <w:r>
        <w:rPr>
          <w:rStyle w:val="Lbjegyzet-hivatkozs"/>
        </w:rPr>
        <w:footnoteRef/>
      </w:r>
      <w:r>
        <w:t xml:space="preserve"> </w:t>
      </w:r>
      <w:r w:rsidRPr="00F8415B">
        <w:rPr>
          <w:sz w:val="16"/>
          <w:szCs w:val="16"/>
        </w:rPr>
        <w:t>(EU</w:t>
      </w:r>
      <w:proofErr w:type="gramStart"/>
      <w:r w:rsidRPr="00F8415B">
        <w:rPr>
          <w:sz w:val="16"/>
          <w:szCs w:val="16"/>
        </w:rPr>
        <w:t>)2</w:t>
      </w:r>
      <w:r>
        <w:rPr>
          <w:sz w:val="16"/>
          <w:szCs w:val="16"/>
        </w:rPr>
        <w:t>0</w:t>
      </w:r>
      <w:r w:rsidRPr="00F8415B">
        <w:rPr>
          <w:sz w:val="16"/>
          <w:szCs w:val="16"/>
        </w:rPr>
        <w:t>19</w:t>
      </w:r>
      <w:proofErr w:type="gramEnd"/>
      <w:r w:rsidRPr="00F8415B">
        <w:rPr>
          <w:sz w:val="16"/>
          <w:szCs w:val="16"/>
        </w:rPr>
        <w:t xml:space="preserve">/784: </w:t>
      </w:r>
      <w:r>
        <w:rPr>
          <w:sz w:val="16"/>
          <w:szCs w:val="16"/>
        </w:rPr>
        <w:t>A</w:t>
      </w:r>
      <w:r w:rsidRPr="00623312">
        <w:rPr>
          <w:sz w:val="16"/>
          <w:szCs w:val="16"/>
        </w:rPr>
        <w:t xml:space="preserve"> 24,25–27,5 </w:t>
      </w:r>
      <w:proofErr w:type="spellStart"/>
      <w:r w:rsidRPr="00623312">
        <w:rPr>
          <w:sz w:val="16"/>
          <w:szCs w:val="16"/>
        </w:rPr>
        <w:t>GHz</w:t>
      </w:r>
      <w:proofErr w:type="spellEnd"/>
      <w:r w:rsidRPr="00623312">
        <w:rPr>
          <w:sz w:val="16"/>
          <w:szCs w:val="16"/>
        </w:rPr>
        <w:t xml:space="preserve"> frekvenciasávnak az Unión belül vezeték nélküli széles sávú elektronikus hírközlési szolgáltatások nyújtására alkalmas földfelszíni rendszerek számára történő harmonizálásáról szóló, 2019. május 14-i (EU) 2019/784 bizottsági végrehajtási határozat</w:t>
      </w:r>
    </w:p>
  </w:footnote>
  <w:footnote w:id="12">
    <w:p w14:paraId="5CDB0808" w14:textId="2C77BA49" w:rsidR="005D0D74" w:rsidRDefault="005D0D74">
      <w:pPr>
        <w:pStyle w:val="Lbjegyzetszveg"/>
      </w:pPr>
      <w:r>
        <w:rPr>
          <w:rStyle w:val="Lbjegyzet-hivatkozs"/>
        </w:rPr>
        <w:footnoteRef/>
      </w:r>
      <w:r>
        <w:t xml:space="preserve"> </w:t>
      </w:r>
      <w:r w:rsidRPr="00B312BB">
        <w:rPr>
          <w:sz w:val="16"/>
          <w:szCs w:val="16"/>
        </w:rPr>
        <w:t xml:space="preserve">BEM: </w:t>
      </w:r>
      <w:proofErr w:type="spellStart"/>
      <w:r w:rsidRPr="00B312BB">
        <w:rPr>
          <w:sz w:val="16"/>
          <w:szCs w:val="16"/>
        </w:rPr>
        <w:t>Block</w:t>
      </w:r>
      <w:proofErr w:type="spellEnd"/>
      <w:r w:rsidRPr="00B312BB">
        <w:rPr>
          <w:sz w:val="16"/>
          <w:szCs w:val="16"/>
        </w:rPr>
        <w:t xml:space="preserve"> </w:t>
      </w:r>
      <w:proofErr w:type="spellStart"/>
      <w:r w:rsidRPr="00B312BB">
        <w:rPr>
          <w:sz w:val="16"/>
          <w:szCs w:val="16"/>
        </w:rPr>
        <w:t>Edge</w:t>
      </w:r>
      <w:proofErr w:type="spellEnd"/>
      <w:r w:rsidRPr="00B312BB">
        <w:rPr>
          <w:sz w:val="16"/>
          <w:szCs w:val="16"/>
        </w:rPr>
        <w:t xml:space="preserve"> </w:t>
      </w:r>
      <w:proofErr w:type="spellStart"/>
      <w:r w:rsidRPr="00B312BB">
        <w:rPr>
          <w:sz w:val="16"/>
          <w:szCs w:val="16"/>
        </w:rPr>
        <w:t>Mask</w:t>
      </w:r>
      <w:proofErr w:type="spellEnd"/>
      <w:r w:rsidRPr="00B312BB">
        <w:rPr>
          <w:sz w:val="16"/>
          <w:szCs w:val="16"/>
        </w:rPr>
        <w:t xml:space="preserve"> – Blokkszéli maszk</w:t>
      </w:r>
    </w:p>
  </w:footnote>
  <w:footnote w:id="13">
    <w:p w14:paraId="3B5B6CBA" w14:textId="77777777" w:rsidR="005D0D74" w:rsidRPr="009B7B3F" w:rsidRDefault="005D0D74" w:rsidP="008C63E0">
      <w:pPr>
        <w:pStyle w:val="Default"/>
        <w:rPr>
          <w:rFonts w:ascii="Arial" w:hAnsi="Arial" w:cs="Arial"/>
          <w:sz w:val="16"/>
          <w:szCs w:val="16"/>
        </w:rPr>
      </w:pPr>
      <w:r w:rsidRPr="009B7B3F">
        <w:rPr>
          <w:rStyle w:val="Lbjegyzet-hivatkozs"/>
          <w:rFonts w:ascii="Arial" w:hAnsi="Arial" w:cs="Arial"/>
          <w:sz w:val="20"/>
          <w:szCs w:val="20"/>
        </w:rPr>
        <w:footnoteRef/>
      </w:r>
      <w:r w:rsidRPr="009B7B3F">
        <w:rPr>
          <w:rFonts w:ascii="Arial" w:hAnsi="Arial" w:cs="Arial"/>
          <w:sz w:val="16"/>
          <w:szCs w:val="16"/>
        </w:rPr>
        <w:t xml:space="preserve"> </w:t>
      </w:r>
      <w:r>
        <w:rPr>
          <w:rFonts w:ascii="Arial" w:hAnsi="Arial" w:cs="Arial"/>
          <w:sz w:val="16"/>
          <w:szCs w:val="16"/>
        </w:rPr>
        <w:t>(EU</w:t>
      </w:r>
      <w:proofErr w:type="gramStart"/>
      <w:r>
        <w:rPr>
          <w:rFonts w:ascii="Arial" w:hAnsi="Arial" w:cs="Arial"/>
          <w:sz w:val="16"/>
          <w:szCs w:val="16"/>
        </w:rPr>
        <w:t>)2020</w:t>
      </w:r>
      <w:proofErr w:type="gramEnd"/>
      <w:r>
        <w:rPr>
          <w:rFonts w:ascii="Arial" w:hAnsi="Arial" w:cs="Arial"/>
          <w:sz w:val="16"/>
          <w:szCs w:val="16"/>
        </w:rPr>
        <w:t>/590: A</w:t>
      </w:r>
      <w:r w:rsidRPr="009B7B3F">
        <w:rPr>
          <w:rFonts w:ascii="Arial" w:hAnsi="Arial" w:cs="Arial"/>
          <w:sz w:val="16"/>
          <w:szCs w:val="16"/>
        </w:rPr>
        <w:t xml:space="preserve">z (EU) 2019/784 határozatnak a 24,25–27,5 </w:t>
      </w:r>
      <w:proofErr w:type="spellStart"/>
      <w:r w:rsidRPr="009B7B3F">
        <w:rPr>
          <w:rFonts w:ascii="Arial" w:hAnsi="Arial" w:cs="Arial"/>
          <w:sz w:val="16"/>
          <w:szCs w:val="16"/>
        </w:rPr>
        <w:t>GHz</w:t>
      </w:r>
      <w:proofErr w:type="spellEnd"/>
      <w:r w:rsidRPr="009B7B3F">
        <w:rPr>
          <w:rFonts w:ascii="Arial" w:hAnsi="Arial" w:cs="Arial"/>
          <w:sz w:val="16"/>
          <w:szCs w:val="16"/>
        </w:rPr>
        <w:t>-es frekvenciasávra alkalmazandó releváns műszaki feltételek naprakésszé tétele tekintetében történő módosításáról</w:t>
      </w:r>
    </w:p>
  </w:footnote>
  <w:footnote w:id="14">
    <w:p w14:paraId="595DAFEE" w14:textId="71FAE174" w:rsidR="005D0D74" w:rsidRDefault="005D0D74">
      <w:pPr>
        <w:pStyle w:val="Lbjegyzetszveg"/>
      </w:pPr>
      <w:r>
        <w:rPr>
          <w:rStyle w:val="Lbjegyzet-hivatkozs"/>
        </w:rPr>
        <w:footnoteRef/>
      </w:r>
      <w:r>
        <w:t xml:space="preserve"> </w:t>
      </w:r>
      <w:hyperlink r:id="rId3" w:history="1">
        <w:r w:rsidRPr="003D631C">
          <w:rPr>
            <w:rStyle w:val="Hiperhivatkozs"/>
            <w:sz w:val="16"/>
            <w:szCs w:val="16"/>
          </w:rPr>
          <w:t>http://rspg-spectrum.eu/wp-content/uploads/2013/05/RPSG16-032-Opinion_5G.pdf</w:t>
        </w:r>
      </w:hyperlink>
    </w:p>
  </w:footnote>
  <w:footnote w:id="15">
    <w:p w14:paraId="0D5567C8" w14:textId="79464277" w:rsidR="005D0D74" w:rsidRDefault="005D0D74">
      <w:pPr>
        <w:pStyle w:val="Lbjegyzetszveg"/>
      </w:pPr>
      <w:r>
        <w:rPr>
          <w:rStyle w:val="Lbjegyzet-hivatkozs"/>
        </w:rPr>
        <w:footnoteRef/>
      </w:r>
      <w:r>
        <w:t xml:space="preserve"> </w:t>
      </w:r>
      <w:r w:rsidRPr="006E5C5B">
        <w:rPr>
          <w:rFonts w:eastAsiaTheme="minorHAnsi" w:cs="Arial"/>
          <w:color w:val="000000"/>
          <w:sz w:val="16"/>
          <w:szCs w:val="16"/>
        </w:rPr>
        <w:t xml:space="preserve">Postai és Távközlési </w:t>
      </w:r>
      <w:r>
        <w:rPr>
          <w:rFonts w:eastAsiaTheme="minorHAnsi" w:cs="Arial"/>
          <w:color w:val="000000"/>
          <w:sz w:val="16"/>
          <w:szCs w:val="16"/>
        </w:rPr>
        <w:t>I</w:t>
      </w:r>
      <w:r w:rsidRPr="006E5C5B">
        <w:rPr>
          <w:rFonts w:eastAsiaTheme="minorHAnsi" w:cs="Arial"/>
          <w:color w:val="000000"/>
          <w:sz w:val="16"/>
          <w:szCs w:val="16"/>
        </w:rPr>
        <w:t xml:space="preserve">gazgatások Európai </w:t>
      </w:r>
      <w:r>
        <w:rPr>
          <w:rFonts w:eastAsiaTheme="minorHAnsi" w:cs="Arial"/>
          <w:color w:val="000000"/>
          <w:sz w:val="16"/>
          <w:szCs w:val="16"/>
        </w:rPr>
        <w:t>É</w:t>
      </w:r>
      <w:r w:rsidRPr="006E5C5B">
        <w:rPr>
          <w:rFonts w:eastAsiaTheme="minorHAnsi" w:cs="Arial"/>
          <w:color w:val="000000"/>
          <w:sz w:val="16"/>
          <w:szCs w:val="16"/>
        </w:rPr>
        <w:t>rtekezlet</w:t>
      </w:r>
      <w:r>
        <w:rPr>
          <w:rFonts w:eastAsiaTheme="minorHAnsi" w:cs="Arial"/>
          <w:color w:val="000000"/>
          <w:sz w:val="16"/>
          <w:szCs w:val="16"/>
        </w:rPr>
        <w:t>e</w:t>
      </w:r>
      <w:r w:rsidRPr="006E5C5B">
        <w:rPr>
          <w:rFonts w:eastAsiaTheme="minorHAnsi" w:cs="Arial"/>
          <w:color w:val="000000"/>
          <w:sz w:val="16"/>
          <w:szCs w:val="16"/>
        </w:rPr>
        <w:t>,</w:t>
      </w:r>
      <w:r>
        <w:t xml:space="preserve"> </w:t>
      </w:r>
    </w:p>
  </w:footnote>
  <w:footnote w:id="16">
    <w:p w14:paraId="7E9C596B" w14:textId="7CA2AC3A" w:rsidR="005D0D74" w:rsidRDefault="005D0D74" w:rsidP="00867426">
      <w:pPr>
        <w:pStyle w:val="Lbjegyzetszveg"/>
      </w:pPr>
      <w:r>
        <w:rPr>
          <w:rStyle w:val="Lbjegyzet-hivatkozs"/>
        </w:rPr>
        <w:footnoteRef/>
      </w:r>
      <w:r>
        <w:t xml:space="preserve"> </w:t>
      </w:r>
      <w:hyperlink r:id="rId4" w:history="1">
        <w:r w:rsidRPr="003D631C">
          <w:rPr>
            <w:rStyle w:val="Hiperhivatkozs"/>
            <w:sz w:val="16"/>
            <w:szCs w:val="16"/>
          </w:rPr>
          <w:t>https://digital-strategy.ec.europa.eu/en/library/radio-spectrum-cept-mandates</w:t>
        </w:r>
      </w:hyperlink>
    </w:p>
  </w:footnote>
  <w:footnote w:id="17">
    <w:p w14:paraId="30913DF3" w14:textId="35CACE27" w:rsidR="005D0D74" w:rsidRDefault="005D0D74" w:rsidP="008C63E0">
      <w:pPr>
        <w:pStyle w:val="Lbjegyzetszveg"/>
      </w:pPr>
      <w:r>
        <w:rPr>
          <w:rStyle w:val="Lbjegyzet-hivatkozs"/>
        </w:rPr>
        <w:footnoteRef/>
      </w:r>
      <w:r>
        <w:t xml:space="preserve"> </w:t>
      </w:r>
      <w:r w:rsidRPr="0068527A">
        <w:rPr>
          <w:sz w:val="16"/>
          <w:szCs w:val="16"/>
        </w:rPr>
        <w:t xml:space="preserve">Külön </w:t>
      </w:r>
      <w:proofErr w:type="spellStart"/>
      <w:r w:rsidRPr="0068527A">
        <w:rPr>
          <w:sz w:val="16"/>
          <w:szCs w:val="16"/>
        </w:rPr>
        <w:t>sávismerető</w:t>
      </w:r>
      <w:proofErr w:type="spellEnd"/>
      <w:r w:rsidRPr="0068527A">
        <w:rPr>
          <w:sz w:val="16"/>
          <w:szCs w:val="16"/>
        </w:rPr>
        <w:t xml:space="preserve"> készült a 32</w:t>
      </w:r>
      <w:r>
        <w:rPr>
          <w:sz w:val="16"/>
          <w:szCs w:val="16"/>
        </w:rPr>
        <w:t> </w:t>
      </w:r>
      <w:proofErr w:type="spellStart"/>
      <w:r w:rsidRPr="0068527A">
        <w:rPr>
          <w:sz w:val="16"/>
          <w:szCs w:val="16"/>
        </w:rPr>
        <w:t>GH</w:t>
      </w:r>
      <w:r>
        <w:rPr>
          <w:sz w:val="16"/>
          <w:szCs w:val="16"/>
        </w:rPr>
        <w:t>z</w:t>
      </w:r>
      <w:proofErr w:type="spellEnd"/>
      <w:r w:rsidRPr="0068527A">
        <w:rPr>
          <w:sz w:val="16"/>
          <w:szCs w:val="16"/>
        </w:rPr>
        <w:t xml:space="preserve">-es </w:t>
      </w:r>
      <w:r w:rsidRPr="000539FF">
        <w:rPr>
          <w:sz w:val="16"/>
          <w:szCs w:val="16"/>
        </w:rPr>
        <w:t>frekvencia</w:t>
      </w:r>
      <w:r w:rsidRPr="0068527A">
        <w:rPr>
          <w:sz w:val="16"/>
          <w:szCs w:val="16"/>
        </w:rPr>
        <w:t>sávról, melyben a részletes ismertetés megtalálható.</w:t>
      </w:r>
    </w:p>
  </w:footnote>
  <w:footnote w:id="18">
    <w:p w14:paraId="4F025C1B" w14:textId="77777777" w:rsidR="005D0D74" w:rsidRDefault="005D0D74" w:rsidP="008C63E0">
      <w:pPr>
        <w:pStyle w:val="Lbjegyzetszveg"/>
      </w:pPr>
      <w:r>
        <w:rPr>
          <w:rStyle w:val="Lbjegyzet-hivatkozs"/>
        </w:rPr>
        <w:footnoteRef/>
      </w:r>
      <w:hyperlink r:id="rId5" w:history="1">
        <w:r w:rsidRPr="008D3029">
          <w:rPr>
            <w:rStyle w:val="Hiperhivatkozs"/>
            <w:sz w:val="16"/>
            <w:szCs w:val="16"/>
          </w:rPr>
          <w:t>http://nmhh.hu/esemeny/207926/Nyilvanos_meghallgatas_a_mobil_halozatok_uzemeltetesere_alkalmas_frekvenciasavok_hasznositasaval_kapcsolatos_szakmai_kerdesekre</w:t>
        </w:r>
      </w:hyperlink>
      <w:r w:rsidRPr="0068527A">
        <w:rPr>
          <w:sz w:val="16"/>
          <w:szCs w:val="16"/>
        </w:rPr>
        <w:t xml:space="preserve"> </w:t>
      </w:r>
    </w:p>
  </w:footnote>
  <w:footnote w:id="19">
    <w:p w14:paraId="289466EE" w14:textId="4379887E" w:rsidR="005D0D74" w:rsidRDefault="005D0D74" w:rsidP="008C63E0">
      <w:pPr>
        <w:pStyle w:val="Lbjegyzetszveg"/>
        <w:rPr>
          <w:sz w:val="16"/>
        </w:rPr>
      </w:pPr>
      <w:r>
        <w:rPr>
          <w:rStyle w:val="Lbjegyzet-hivatkozs"/>
        </w:rPr>
        <w:footnoteRef/>
      </w:r>
      <w:hyperlink r:id="rId6" w:history="1">
        <w:r w:rsidRPr="003D631C">
          <w:rPr>
            <w:rStyle w:val="Hiperhivatkozs"/>
            <w:sz w:val="16"/>
          </w:rPr>
          <w:t>https://nmhh.hu/esemeny/207926/Nyilvanos_meghallgatas_a_mobil_halozatok_uzemeltetesere_alkalmas_frekvenciasavok_hasznositasaval_kapcsolatos_szakmai_kerdesekre</w:t>
        </w:r>
      </w:hyperlink>
    </w:p>
    <w:p w14:paraId="7292ADFB" w14:textId="77777777" w:rsidR="005D0D74" w:rsidRPr="005A7EBE" w:rsidRDefault="005D0D74" w:rsidP="008C63E0">
      <w:pPr>
        <w:pStyle w:val="Lbjegyzetszveg"/>
        <w:rPr>
          <w:rStyle w:val="Lbjegyzet-hivatkozs"/>
        </w:rPr>
      </w:pPr>
    </w:p>
  </w:footnote>
  <w:footnote w:id="20">
    <w:p w14:paraId="152C1A5F" w14:textId="482CE8A3" w:rsidR="005D0D74" w:rsidRPr="006E5C5B" w:rsidRDefault="005D0D74">
      <w:pPr>
        <w:pStyle w:val="Lbjegyzetszveg"/>
        <w:rPr>
          <w:rStyle w:val="Lbjegyzet-hivatkozs"/>
          <w:sz w:val="16"/>
          <w:vertAlign w:val="baseline"/>
        </w:rPr>
      </w:pPr>
      <w:r>
        <w:rPr>
          <w:rStyle w:val="Lbjegyzet-hivatkozs"/>
        </w:rPr>
        <w:footnoteRef/>
      </w:r>
      <w:r>
        <w:t xml:space="preserve"> </w:t>
      </w:r>
      <w:r w:rsidRPr="006E5C5B">
        <w:rPr>
          <w:rStyle w:val="Lbjegyzet-hivatkozs"/>
          <w:sz w:val="16"/>
          <w:vertAlign w:val="baseline"/>
        </w:rPr>
        <w:t>(EU) 2015/1535 irányelv szerinti eljárás, a műszaki tartalmú jogszabályok tervezetének bejelentési eljárása</w:t>
      </w:r>
    </w:p>
  </w:footnote>
  <w:footnote w:id="21">
    <w:p w14:paraId="3FF20215" w14:textId="77777777" w:rsidR="005D0D74" w:rsidRDefault="005D0D74" w:rsidP="009D03D9">
      <w:pPr>
        <w:pStyle w:val="Lbjegyzetszveg"/>
      </w:pPr>
      <w:r>
        <w:rPr>
          <w:rStyle w:val="Lbjegyzet-hivatkozs"/>
        </w:rPr>
        <w:footnoteRef/>
      </w:r>
      <w:r>
        <w:t xml:space="preserve"> </w:t>
      </w:r>
      <w:r w:rsidRPr="00F8415B">
        <w:rPr>
          <w:sz w:val="16"/>
          <w:szCs w:val="16"/>
        </w:rPr>
        <w:t>RR:</w:t>
      </w:r>
      <w:r>
        <w:t xml:space="preserve"> </w:t>
      </w:r>
      <w:proofErr w:type="spellStart"/>
      <w:r w:rsidRPr="00B766F1">
        <w:rPr>
          <w:sz w:val="16"/>
          <w:szCs w:val="16"/>
        </w:rPr>
        <w:t>Radio</w:t>
      </w:r>
      <w:proofErr w:type="spellEnd"/>
      <w:r w:rsidRPr="00B766F1">
        <w:rPr>
          <w:sz w:val="16"/>
          <w:szCs w:val="16"/>
        </w:rPr>
        <w:t xml:space="preserve"> </w:t>
      </w:r>
      <w:proofErr w:type="spellStart"/>
      <w:r w:rsidRPr="00B766F1">
        <w:rPr>
          <w:sz w:val="16"/>
          <w:szCs w:val="16"/>
        </w:rPr>
        <w:t>Regulations</w:t>
      </w:r>
      <w:proofErr w:type="spellEnd"/>
      <w:r w:rsidRPr="00B766F1">
        <w:rPr>
          <w:sz w:val="16"/>
          <w:szCs w:val="16"/>
        </w:rPr>
        <w:t xml:space="preserve"> </w:t>
      </w:r>
      <w:r>
        <w:rPr>
          <w:sz w:val="16"/>
          <w:szCs w:val="16"/>
        </w:rPr>
        <w:t>(</w:t>
      </w:r>
      <w:r w:rsidRPr="00B766F1">
        <w:rPr>
          <w:sz w:val="16"/>
          <w:szCs w:val="16"/>
        </w:rPr>
        <w:t>Nemzetközi Rádiószabályzat</w:t>
      </w:r>
      <w:r>
        <w:rPr>
          <w:sz w:val="16"/>
          <w:szCs w:val="16"/>
        </w:rPr>
        <w:t>)</w:t>
      </w:r>
    </w:p>
  </w:footnote>
  <w:footnote w:id="22">
    <w:p w14:paraId="044F683D" w14:textId="2469C8C3" w:rsidR="005D0D74" w:rsidRDefault="005D0D74">
      <w:pPr>
        <w:pStyle w:val="Lbjegyzetszveg"/>
      </w:pPr>
      <w:r>
        <w:rPr>
          <w:rStyle w:val="Lbjegyzet-hivatkozs"/>
        </w:rPr>
        <w:footnoteRef/>
      </w:r>
      <w:r>
        <w:t xml:space="preserve"> </w:t>
      </w:r>
      <w:proofErr w:type="spellStart"/>
      <w:r w:rsidRPr="00A05450">
        <w:rPr>
          <w:sz w:val="16"/>
          <w:szCs w:val="16"/>
        </w:rPr>
        <w:t>Eht</w:t>
      </w:r>
      <w:proofErr w:type="spellEnd"/>
      <w:proofErr w:type="gramStart"/>
      <w:r w:rsidRPr="00A05450">
        <w:rPr>
          <w:sz w:val="16"/>
          <w:szCs w:val="16"/>
        </w:rPr>
        <w:t>.:</w:t>
      </w:r>
      <w:proofErr w:type="gramEnd"/>
      <w:r w:rsidRPr="00A05450">
        <w:rPr>
          <w:sz w:val="16"/>
          <w:szCs w:val="16"/>
        </w:rPr>
        <w:t xml:space="preserve"> </w:t>
      </w:r>
      <w:r w:rsidRPr="001E183F">
        <w:rPr>
          <w:rFonts w:cs="Arial"/>
          <w:sz w:val="16"/>
          <w:szCs w:val="16"/>
          <w:lang w:eastAsia="hu-HU"/>
        </w:rPr>
        <w:t>az elektronikus hírközlésről szóló 2003. évi C. törvény</w:t>
      </w:r>
    </w:p>
  </w:footnote>
  <w:footnote w:id="23">
    <w:p w14:paraId="603D7A3F" w14:textId="77777777" w:rsidR="005D0D74" w:rsidRDefault="005D0D74" w:rsidP="008C63E0">
      <w:pPr>
        <w:pStyle w:val="Lbjegyzetszveg"/>
      </w:pPr>
      <w:r>
        <w:rPr>
          <w:rStyle w:val="Lbjegyzet-hivatkozs"/>
        </w:rPr>
        <w:footnoteRef/>
      </w:r>
      <w:r>
        <w:t xml:space="preserve"> </w:t>
      </w:r>
      <w:r w:rsidRPr="00F8415B">
        <w:rPr>
          <w:sz w:val="16"/>
          <w:szCs w:val="16"/>
        </w:rPr>
        <w:t>ITU:</w:t>
      </w:r>
      <w:r>
        <w:t xml:space="preserve"> </w:t>
      </w:r>
      <w:r w:rsidRPr="00B766F1">
        <w:rPr>
          <w:sz w:val="16"/>
          <w:szCs w:val="16"/>
        </w:rPr>
        <w:t xml:space="preserve">International </w:t>
      </w:r>
      <w:proofErr w:type="spellStart"/>
      <w:r w:rsidRPr="00B766F1">
        <w:rPr>
          <w:sz w:val="16"/>
          <w:szCs w:val="16"/>
        </w:rPr>
        <w:t>Telecommunications</w:t>
      </w:r>
      <w:proofErr w:type="spellEnd"/>
      <w:r w:rsidRPr="00B766F1">
        <w:rPr>
          <w:sz w:val="16"/>
          <w:szCs w:val="16"/>
        </w:rPr>
        <w:t xml:space="preserve"> Union </w:t>
      </w:r>
      <w:r>
        <w:rPr>
          <w:sz w:val="16"/>
          <w:szCs w:val="16"/>
        </w:rPr>
        <w:t>(</w:t>
      </w:r>
      <w:r w:rsidRPr="00B766F1">
        <w:rPr>
          <w:sz w:val="16"/>
          <w:szCs w:val="16"/>
        </w:rPr>
        <w:t>Nemzetközi Távközlési Egyesület</w:t>
      </w:r>
      <w:r>
        <w:rPr>
          <w:sz w:val="16"/>
          <w:szCs w:val="16"/>
        </w:rPr>
        <w:t>)</w:t>
      </w:r>
    </w:p>
  </w:footnote>
  <w:footnote w:id="24">
    <w:p w14:paraId="3D577D6E" w14:textId="77777777" w:rsidR="005D0D74" w:rsidRPr="00EA6166" w:rsidRDefault="005D0D74" w:rsidP="008C63E0">
      <w:pPr>
        <w:pStyle w:val="Lbjegyzetszveg"/>
        <w:rPr>
          <w:sz w:val="16"/>
          <w:szCs w:val="16"/>
        </w:rPr>
      </w:pPr>
      <w:r>
        <w:rPr>
          <w:rStyle w:val="Lbjegyzet-hivatkozs"/>
        </w:rPr>
        <w:footnoteRef/>
      </w:r>
      <w:r>
        <w:t xml:space="preserve"> </w:t>
      </w:r>
      <w:r w:rsidRPr="00B766B4">
        <w:rPr>
          <w:sz w:val="16"/>
          <w:szCs w:val="16"/>
        </w:rPr>
        <w:t>IMT:</w:t>
      </w:r>
      <w:r>
        <w:t xml:space="preserve"> </w:t>
      </w:r>
      <w:r w:rsidRPr="00EA6166">
        <w:rPr>
          <w:sz w:val="16"/>
          <w:szCs w:val="16"/>
        </w:rPr>
        <w:t xml:space="preserve">International Mobile </w:t>
      </w:r>
      <w:proofErr w:type="spellStart"/>
      <w:r w:rsidRPr="00EA6166">
        <w:rPr>
          <w:sz w:val="16"/>
          <w:szCs w:val="16"/>
        </w:rPr>
        <w:t>Telecommunications</w:t>
      </w:r>
      <w:proofErr w:type="spellEnd"/>
      <w:r w:rsidRPr="00EA6166">
        <w:rPr>
          <w:sz w:val="16"/>
          <w:szCs w:val="16"/>
        </w:rPr>
        <w:t xml:space="preserve"> </w:t>
      </w:r>
      <w:r>
        <w:rPr>
          <w:sz w:val="16"/>
          <w:szCs w:val="16"/>
        </w:rPr>
        <w:t>(</w:t>
      </w:r>
      <w:r w:rsidRPr="00EA6166">
        <w:rPr>
          <w:sz w:val="16"/>
          <w:szCs w:val="16"/>
        </w:rPr>
        <w:t>Nemzetközi mozgó távközlés</w:t>
      </w:r>
      <w:r>
        <w:rPr>
          <w:sz w:val="16"/>
          <w:szCs w:val="16"/>
        </w:rPr>
        <w:t>)</w:t>
      </w:r>
    </w:p>
  </w:footnote>
  <w:footnote w:id="25">
    <w:p w14:paraId="6073AE04" w14:textId="77777777" w:rsidR="005D0D74" w:rsidRDefault="005D0D74" w:rsidP="008C63E0">
      <w:pPr>
        <w:pStyle w:val="Lbjegyzetszveg"/>
      </w:pPr>
      <w:r>
        <w:rPr>
          <w:rStyle w:val="Lbjegyzet-hivatkozs"/>
        </w:rPr>
        <w:footnoteRef/>
      </w:r>
      <w:r>
        <w:t xml:space="preserve"> </w:t>
      </w:r>
      <w:r w:rsidRPr="00B766B4">
        <w:rPr>
          <w:sz w:val="16"/>
          <w:szCs w:val="16"/>
        </w:rPr>
        <w:t xml:space="preserve">T/R 13-02: </w:t>
      </w:r>
      <w:r w:rsidRPr="00EA6166">
        <w:rPr>
          <w:rFonts w:cs="Arial"/>
          <w:sz w:val="16"/>
          <w:szCs w:val="16"/>
          <w:lang w:val="en-GB"/>
        </w:rPr>
        <w:t>Preferred channel arrangements for fixed service systems in the frequency range 22.0</w:t>
      </w:r>
      <w:r w:rsidRPr="00EA6166">
        <w:rPr>
          <w:rFonts w:cs="Arial"/>
          <w:sz w:val="16"/>
          <w:szCs w:val="16"/>
        </w:rPr>
        <w:t xml:space="preserve"> - </w:t>
      </w:r>
      <w:r w:rsidRPr="00EA6166">
        <w:rPr>
          <w:rFonts w:cs="Arial"/>
          <w:sz w:val="16"/>
          <w:szCs w:val="16"/>
          <w:lang w:val="en-GB"/>
        </w:rPr>
        <w:t>29.5 GHz</w:t>
      </w:r>
    </w:p>
  </w:footnote>
  <w:footnote w:id="26">
    <w:p w14:paraId="50E7AD1D" w14:textId="77777777" w:rsidR="005D0D74" w:rsidRDefault="005D0D74" w:rsidP="008C63E0">
      <w:pPr>
        <w:pStyle w:val="Lbjegyzetszveg"/>
      </w:pPr>
      <w:r>
        <w:rPr>
          <w:rStyle w:val="Lbjegyzet-hivatkozs"/>
        </w:rPr>
        <w:footnoteRef/>
      </w:r>
      <w:r>
        <w:t xml:space="preserve"> </w:t>
      </w:r>
      <w:r w:rsidRPr="00B766B4">
        <w:rPr>
          <w:sz w:val="16"/>
          <w:szCs w:val="16"/>
        </w:rPr>
        <w:t>ECC/REC/(11</w:t>
      </w:r>
      <w:proofErr w:type="gramStart"/>
      <w:r w:rsidRPr="00B766B4">
        <w:rPr>
          <w:sz w:val="16"/>
          <w:szCs w:val="16"/>
        </w:rPr>
        <w:t>)01</w:t>
      </w:r>
      <w:proofErr w:type="gramEnd"/>
      <w:r w:rsidRPr="00B766B4">
        <w:rPr>
          <w:sz w:val="16"/>
          <w:szCs w:val="16"/>
        </w:rPr>
        <w:t xml:space="preserve">: </w:t>
      </w:r>
      <w:r w:rsidRPr="00EA6166">
        <w:rPr>
          <w:rFonts w:cs="Arial"/>
          <w:sz w:val="16"/>
          <w:szCs w:val="16"/>
          <w:lang w:val="en-GB"/>
        </w:rPr>
        <w:t>Guidelines for assignment of frequency blocks for fixed wireless systems in the bands 24.5</w:t>
      </w:r>
      <w:r w:rsidRPr="00EA6166">
        <w:rPr>
          <w:rFonts w:cs="Arial"/>
          <w:sz w:val="16"/>
          <w:szCs w:val="16"/>
        </w:rPr>
        <w:t>-</w:t>
      </w:r>
      <w:r w:rsidRPr="00EA6166">
        <w:rPr>
          <w:rFonts w:cs="Arial"/>
          <w:sz w:val="16"/>
          <w:szCs w:val="16"/>
          <w:lang w:val="en-GB"/>
        </w:rPr>
        <w:t>26.5 GHz, 27.5</w:t>
      </w:r>
      <w:r w:rsidRPr="00EA6166">
        <w:rPr>
          <w:rFonts w:cs="Arial"/>
          <w:sz w:val="16"/>
          <w:szCs w:val="16"/>
        </w:rPr>
        <w:t>-</w:t>
      </w:r>
      <w:r w:rsidRPr="00EA6166">
        <w:rPr>
          <w:rFonts w:cs="Arial"/>
          <w:sz w:val="16"/>
          <w:szCs w:val="16"/>
          <w:lang w:val="en-GB"/>
        </w:rPr>
        <w:t>29.5 GHz and 31.8</w:t>
      </w:r>
      <w:r w:rsidRPr="00EA6166">
        <w:rPr>
          <w:rFonts w:cs="Arial"/>
          <w:sz w:val="16"/>
          <w:szCs w:val="16"/>
        </w:rPr>
        <w:t>-</w:t>
      </w:r>
      <w:r w:rsidRPr="00EA6166">
        <w:rPr>
          <w:rFonts w:cs="Arial"/>
          <w:sz w:val="16"/>
          <w:szCs w:val="16"/>
          <w:lang w:val="en-GB"/>
        </w:rPr>
        <w:t>33.4 GHz</w:t>
      </w:r>
    </w:p>
  </w:footnote>
  <w:footnote w:id="27">
    <w:p w14:paraId="7D900F81" w14:textId="0845A014" w:rsidR="005D0D74" w:rsidRDefault="005D0D74" w:rsidP="008C63E0">
      <w:pPr>
        <w:pStyle w:val="Lbjegyzetszveg"/>
      </w:pPr>
      <w:r w:rsidRPr="00F11B2C">
        <w:rPr>
          <w:rStyle w:val="Lbjegyzet-hivatkozs"/>
        </w:rPr>
        <w:footnoteRef/>
      </w:r>
      <w:r w:rsidRPr="00F11B2C">
        <w:t xml:space="preserve"> </w:t>
      </w:r>
      <w:hyperlink r:id="rId7" w:history="1">
        <w:r w:rsidRPr="003D631C">
          <w:rPr>
            <w:rStyle w:val="Hiperhivatkozs"/>
            <w:sz w:val="16"/>
            <w:szCs w:val="16"/>
          </w:rPr>
          <w:t>https://digital-strategy.ec.europa.eu/en/library/radio-spectrum-cept-mandates</w:t>
        </w:r>
      </w:hyperlink>
    </w:p>
  </w:footnote>
  <w:footnote w:id="28">
    <w:p w14:paraId="1BFB1C69" w14:textId="77777777" w:rsidR="005D0D74" w:rsidRPr="00447C47" w:rsidRDefault="005D0D74" w:rsidP="008C63E0">
      <w:pPr>
        <w:pStyle w:val="Lbjegyzetszveg"/>
        <w:rPr>
          <w:rFonts w:cs="Arial"/>
          <w:sz w:val="16"/>
          <w:szCs w:val="16"/>
          <w:lang w:val="en-GB"/>
        </w:rPr>
      </w:pPr>
      <w:r w:rsidRPr="00447C47">
        <w:rPr>
          <w:rStyle w:val="Lbjegyzet-hivatkozs"/>
        </w:rPr>
        <w:footnoteRef/>
      </w:r>
      <w:r>
        <w:t xml:space="preserve"> </w:t>
      </w:r>
      <w:r w:rsidRPr="00B766B4">
        <w:rPr>
          <w:sz w:val="16"/>
          <w:szCs w:val="16"/>
        </w:rPr>
        <w:t xml:space="preserve">CEPT </w:t>
      </w:r>
      <w:proofErr w:type="spellStart"/>
      <w:r w:rsidRPr="00B766B4">
        <w:rPr>
          <w:sz w:val="16"/>
          <w:szCs w:val="16"/>
        </w:rPr>
        <w:t>Report</w:t>
      </w:r>
      <w:proofErr w:type="spellEnd"/>
      <w:r w:rsidRPr="00B766B4">
        <w:rPr>
          <w:sz w:val="16"/>
          <w:szCs w:val="16"/>
        </w:rPr>
        <w:t xml:space="preserve"> 68:</w:t>
      </w:r>
      <w:r>
        <w:t xml:space="preserve"> </w:t>
      </w:r>
      <w:r w:rsidRPr="00447C47">
        <w:rPr>
          <w:rFonts w:cs="Arial"/>
          <w:sz w:val="16"/>
          <w:szCs w:val="16"/>
          <w:lang w:val="en-GB"/>
        </w:rPr>
        <w:t>Report B from CEPT to the European Commission in response to the Mandate “to develop harmonised technical conditions for spectrum use in support of the introduction of next-generation (5G) terrestrial wireless systems in the Union”: Harmonised technical conditions for the 24.25-27.5 GHz ('26 GHz') frequency band</w:t>
      </w:r>
    </w:p>
  </w:footnote>
  <w:footnote w:id="29">
    <w:p w14:paraId="0B7D99C0" w14:textId="77777777" w:rsidR="005D0D74" w:rsidRPr="00447C47" w:rsidRDefault="005D0D74" w:rsidP="008C63E0">
      <w:pPr>
        <w:pStyle w:val="Lbjegyzetszveg"/>
        <w:rPr>
          <w:rFonts w:cs="Arial"/>
          <w:sz w:val="16"/>
          <w:szCs w:val="16"/>
          <w:lang w:val="en-GB"/>
        </w:rPr>
      </w:pPr>
      <w:r w:rsidRPr="00447C47">
        <w:rPr>
          <w:rFonts w:cs="Arial"/>
          <w:vertAlign w:val="superscript"/>
          <w:lang w:val="en-GB"/>
        </w:rPr>
        <w:footnoteRef/>
      </w:r>
      <w:r w:rsidRPr="00447C47">
        <w:rPr>
          <w:rFonts w:cs="Arial"/>
          <w:sz w:val="16"/>
          <w:szCs w:val="16"/>
          <w:lang w:val="en-GB"/>
        </w:rPr>
        <w:t xml:space="preserve"> </w:t>
      </w:r>
      <w:r>
        <w:rPr>
          <w:rFonts w:cs="Arial"/>
          <w:sz w:val="16"/>
          <w:szCs w:val="16"/>
          <w:lang w:val="en-GB"/>
        </w:rPr>
        <w:t xml:space="preserve">ECC/DEC/(18)06: </w:t>
      </w:r>
      <w:r w:rsidRPr="00447C47">
        <w:rPr>
          <w:rFonts w:cs="Arial"/>
          <w:sz w:val="16"/>
          <w:szCs w:val="16"/>
          <w:lang w:val="en-GB"/>
        </w:rPr>
        <w:t>Harmonised technical conditions for Mobile/Fixed Communications Networks (MFCN) in the band 24.25-27.5 GHz</w:t>
      </w:r>
    </w:p>
  </w:footnote>
  <w:footnote w:id="30">
    <w:p w14:paraId="58138D3D" w14:textId="77777777" w:rsidR="005D0D74" w:rsidRPr="00447C47" w:rsidRDefault="005D0D74" w:rsidP="006B5A93">
      <w:pPr>
        <w:pStyle w:val="Lbjegyzetszveg"/>
        <w:rPr>
          <w:rFonts w:cs="Arial"/>
          <w:sz w:val="16"/>
          <w:szCs w:val="16"/>
          <w:lang w:val="en-GB"/>
        </w:rPr>
      </w:pPr>
      <w:r w:rsidRPr="00447C47">
        <w:rPr>
          <w:rFonts w:cs="Arial"/>
          <w:vertAlign w:val="superscript"/>
          <w:lang w:val="en-GB"/>
        </w:rPr>
        <w:footnoteRef/>
      </w:r>
      <w:r w:rsidRPr="00447C47">
        <w:rPr>
          <w:rFonts w:cs="Arial"/>
          <w:sz w:val="16"/>
          <w:szCs w:val="16"/>
          <w:lang w:val="en-GB"/>
        </w:rPr>
        <w:t xml:space="preserve"> </w:t>
      </w:r>
      <w:r>
        <w:rPr>
          <w:rFonts w:cs="Arial"/>
          <w:sz w:val="16"/>
          <w:szCs w:val="16"/>
          <w:lang w:val="en-GB"/>
        </w:rPr>
        <w:t xml:space="preserve">ECC/REC/(19)01: </w:t>
      </w:r>
      <w:r w:rsidRPr="00447C47">
        <w:rPr>
          <w:rFonts w:cs="Arial"/>
          <w:sz w:val="16"/>
          <w:szCs w:val="16"/>
          <w:lang w:val="en-GB"/>
        </w:rPr>
        <w:t>Technical toolkit to support the introduction of 5G while ensuring, in a proportionate way, the use of existing and planned EESS/SRS receiving earth stations in the 26 GHz band and the possibility for future deployment of these earth stations</w:t>
      </w:r>
    </w:p>
  </w:footnote>
  <w:footnote w:id="31">
    <w:p w14:paraId="0918C873" w14:textId="77777777" w:rsidR="005D0D74" w:rsidRPr="00600C50" w:rsidRDefault="005D0D74" w:rsidP="008C63E0">
      <w:pPr>
        <w:pStyle w:val="Lbjegyzetszveg"/>
        <w:rPr>
          <w:sz w:val="16"/>
          <w:szCs w:val="16"/>
        </w:rPr>
      </w:pPr>
      <w:r w:rsidRPr="00447C47">
        <w:rPr>
          <w:rStyle w:val="Lbjegyzet-hivatkozs"/>
        </w:rPr>
        <w:footnoteRef/>
      </w:r>
      <w:r w:rsidRPr="00600C50">
        <w:rPr>
          <w:sz w:val="16"/>
          <w:szCs w:val="16"/>
        </w:rPr>
        <w:t xml:space="preserve"> </w:t>
      </w:r>
      <w:r>
        <w:rPr>
          <w:sz w:val="16"/>
          <w:szCs w:val="16"/>
        </w:rPr>
        <w:t>ECC/REC/(20</w:t>
      </w:r>
      <w:proofErr w:type="gramStart"/>
      <w:r>
        <w:rPr>
          <w:sz w:val="16"/>
          <w:szCs w:val="16"/>
        </w:rPr>
        <w:t>)01</w:t>
      </w:r>
      <w:proofErr w:type="gramEnd"/>
      <w:r>
        <w:rPr>
          <w:sz w:val="16"/>
          <w:szCs w:val="16"/>
        </w:rPr>
        <w:t xml:space="preserve">: </w:t>
      </w:r>
      <w:r w:rsidRPr="00600C50">
        <w:rPr>
          <w:rFonts w:cs="Arial"/>
          <w:sz w:val="16"/>
          <w:szCs w:val="16"/>
          <w:lang w:val="en-GB"/>
        </w:rPr>
        <w:t>Guidelines to support the introduction of 5G while ensuring, in a proportionate way, the use of existing and planned FSS transmitting earth stations in the frequency band 24.65-25.25 GHz and the possibility for future deployment of these earth stations</w:t>
      </w:r>
    </w:p>
  </w:footnote>
  <w:footnote w:id="32">
    <w:p w14:paraId="16CEA8A4" w14:textId="77777777" w:rsidR="005D0D74" w:rsidRPr="00600C50" w:rsidRDefault="005D0D74" w:rsidP="008C63E0">
      <w:pPr>
        <w:pStyle w:val="Lbjegyzetszveg"/>
        <w:rPr>
          <w:sz w:val="16"/>
          <w:szCs w:val="16"/>
        </w:rPr>
      </w:pPr>
      <w:r w:rsidRPr="007A40F1">
        <w:rPr>
          <w:rStyle w:val="Lbjegyzet-hivatkozs"/>
        </w:rPr>
        <w:footnoteRef/>
      </w:r>
      <w:r w:rsidRPr="00600C50">
        <w:rPr>
          <w:sz w:val="16"/>
          <w:szCs w:val="16"/>
        </w:rPr>
        <w:t xml:space="preserve"> </w:t>
      </w:r>
      <w:r>
        <w:rPr>
          <w:sz w:val="16"/>
          <w:szCs w:val="16"/>
        </w:rPr>
        <w:t xml:space="preserve">ECC </w:t>
      </w:r>
      <w:proofErr w:type="spellStart"/>
      <w:r>
        <w:rPr>
          <w:sz w:val="16"/>
          <w:szCs w:val="16"/>
        </w:rPr>
        <w:t>Report</w:t>
      </w:r>
      <w:proofErr w:type="spellEnd"/>
      <w:r>
        <w:rPr>
          <w:sz w:val="16"/>
          <w:szCs w:val="16"/>
        </w:rPr>
        <w:t xml:space="preserve"> 303: </w:t>
      </w:r>
      <w:proofErr w:type="spellStart"/>
      <w:r w:rsidRPr="007A40F1">
        <w:rPr>
          <w:rFonts w:cstheme="minorHAnsi"/>
          <w:sz w:val="16"/>
          <w:szCs w:val="16"/>
        </w:rPr>
        <w:t>Guidance</w:t>
      </w:r>
      <w:proofErr w:type="spellEnd"/>
      <w:r w:rsidRPr="007A40F1">
        <w:rPr>
          <w:rFonts w:cstheme="minorHAnsi"/>
          <w:sz w:val="16"/>
          <w:szCs w:val="16"/>
        </w:rPr>
        <w:t xml:space="preserve"> </w:t>
      </w:r>
      <w:proofErr w:type="spellStart"/>
      <w:r w:rsidRPr="007A40F1">
        <w:rPr>
          <w:rFonts w:cstheme="minorHAnsi"/>
          <w:sz w:val="16"/>
          <w:szCs w:val="16"/>
        </w:rPr>
        <w:t>to</w:t>
      </w:r>
      <w:proofErr w:type="spellEnd"/>
      <w:r w:rsidRPr="007A40F1">
        <w:rPr>
          <w:rFonts w:cstheme="minorHAnsi"/>
          <w:sz w:val="16"/>
          <w:szCs w:val="16"/>
        </w:rPr>
        <w:t xml:space="preserve"> </w:t>
      </w:r>
      <w:proofErr w:type="spellStart"/>
      <w:r w:rsidRPr="007A40F1">
        <w:rPr>
          <w:rFonts w:cstheme="minorHAnsi"/>
          <w:sz w:val="16"/>
          <w:szCs w:val="16"/>
        </w:rPr>
        <w:t>administrations</w:t>
      </w:r>
      <w:proofErr w:type="spellEnd"/>
      <w:r w:rsidRPr="007A40F1">
        <w:rPr>
          <w:rFonts w:cstheme="minorHAnsi"/>
          <w:sz w:val="16"/>
          <w:szCs w:val="16"/>
        </w:rPr>
        <w:t xml:space="preserve"> </w:t>
      </w:r>
      <w:proofErr w:type="spellStart"/>
      <w:r w:rsidRPr="007A40F1">
        <w:rPr>
          <w:rFonts w:cstheme="minorHAnsi"/>
          <w:sz w:val="16"/>
          <w:szCs w:val="16"/>
        </w:rPr>
        <w:t>for</w:t>
      </w:r>
      <w:proofErr w:type="spellEnd"/>
      <w:r w:rsidRPr="007A40F1">
        <w:rPr>
          <w:rFonts w:cstheme="minorHAnsi"/>
          <w:sz w:val="16"/>
          <w:szCs w:val="16"/>
        </w:rPr>
        <w:t xml:space="preserve"> </w:t>
      </w:r>
      <w:proofErr w:type="spellStart"/>
      <w:r w:rsidRPr="007A40F1">
        <w:rPr>
          <w:rFonts w:cstheme="minorHAnsi"/>
          <w:sz w:val="16"/>
          <w:szCs w:val="16"/>
        </w:rPr>
        <w:t>Coexistence</w:t>
      </w:r>
      <w:proofErr w:type="spellEnd"/>
      <w:r w:rsidRPr="007A40F1">
        <w:rPr>
          <w:rFonts w:cstheme="minorHAnsi"/>
          <w:sz w:val="16"/>
          <w:szCs w:val="16"/>
        </w:rPr>
        <w:t xml:space="preserve"> </w:t>
      </w:r>
      <w:proofErr w:type="spellStart"/>
      <w:r w:rsidRPr="007A40F1">
        <w:rPr>
          <w:rFonts w:cstheme="minorHAnsi"/>
          <w:sz w:val="16"/>
          <w:szCs w:val="16"/>
        </w:rPr>
        <w:t>between</w:t>
      </w:r>
      <w:proofErr w:type="spellEnd"/>
      <w:r w:rsidRPr="007A40F1">
        <w:rPr>
          <w:rFonts w:cstheme="minorHAnsi"/>
          <w:sz w:val="16"/>
          <w:szCs w:val="16"/>
        </w:rPr>
        <w:t xml:space="preserve"> 5G and Fixed </w:t>
      </w:r>
      <w:proofErr w:type="spellStart"/>
      <w:r w:rsidRPr="007A40F1">
        <w:rPr>
          <w:rFonts w:cstheme="minorHAnsi"/>
          <w:sz w:val="16"/>
          <w:szCs w:val="16"/>
        </w:rPr>
        <w:t>Links</w:t>
      </w:r>
      <w:proofErr w:type="spellEnd"/>
      <w:r w:rsidRPr="007A40F1">
        <w:rPr>
          <w:rFonts w:cstheme="minorHAnsi"/>
          <w:sz w:val="16"/>
          <w:szCs w:val="16"/>
        </w:rPr>
        <w:t xml:space="preserve"> in </w:t>
      </w:r>
      <w:proofErr w:type="spellStart"/>
      <w:r w:rsidRPr="007A40F1">
        <w:rPr>
          <w:rFonts w:cstheme="minorHAnsi"/>
          <w:sz w:val="16"/>
          <w:szCs w:val="16"/>
        </w:rPr>
        <w:t>the</w:t>
      </w:r>
      <w:proofErr w:type="spellEnd"/>
      <w:r w:rsidRPr="007A40F1">
        <w:rPr>
          <w:rFonts w:cstheme="minorHAnsi"/>
          <w:sz w:val="16"/>
          <w:szCs w:val="16"/>
        </w:rPr>
        <w:t xml:space="preserve"> 26 </w:t>
      </w:r>
      <w:proofErr w:type="spellStart"/>
      <w:r w:rsidRPr="007A40F1">
        <w:rPr>
          <w:rFonts w:cstheme="minorHAnsi"/>
          <w:sz w:val="16"/>
          <w:szCs w:val="16"/>
        </w:rPr>
        <w:t>GHz</w:t>
      </w:r>
      <w:proofErr w:type="spellEnd"/>
      <w:r w:rsidRPr="007A40F1">
        <w:rPr>
          <w:rFonts w:cstheme="minorHAnsi"/>
          <w:sz w:val="16"/>
          <w:szCs w:val="16"/>
        </w:rPr>
        <w:t xml:space="preserve"> </w:t>
      </w:r>
      <w:proofErr w:type="spellStart"/>
      <w:r w:rsidRPr="007A40F1">
        <w:rPr>
          <w:rFonts w:cstheme="minorHAnsi"/>
          <w:sz w:val="16"/>
          <w:szCs w:val="16"/>
        </w:rPr>
        <w:t>band</w:t>
      </w:r>
      <w:proofErr w:type="spellEnd"/>
      <w:r w:rsidRPr="007A40F1">
        <w:rPr>
          <w:rFonts w:cstheme="minorHAnsi"/>
          <w:sz w:val="16"/>
          <w:szCs w:val="16"/>
        </w:rPr>
        <w:t xml:space="preserve"> ("</w:t>
      </w:r>
      <w:proofErr w:type="spellStart"/>
      <w:r w:rsidRPr="007A40F1">
        <w:rPr>
          <w:rFonts w:cstheme="minorHAnsi"/>
          <w:sz w:val="16"/>
          <w:szCs w:val="16"/>
        </w:rPr>
        <w:t>Toolbox</w:t>
      </w:r>
      <w:proofErr w:type="spellEnd"/>
      <w:r w:rsidRPr="007A40F1">
        <w:rPr>
          <w:rFonts w:cstheme="minorHAnsi"/>
          <w:sz w:val="16"/>
          <w:szCs w:val="16"/>
        </w:rPr>
        <w:t>")</w:t>
      </w:r>
    </w:p>
  </w:footnote>
  <w:footnote w:id="33">
    <w:p w14:paraId="11284C49" w14:textId="77777777" w:rsidR="005D0D74" w:rsidRPr="00600C50" w:rsidRDefault="005D0D74" w:rsidP="008C63E0">
      <w:pPr>
        <w:pStyle w:val="Lbjegyzetszveg"/>
        <w:rPr>
          <w:sz w:val="16"/>
          <w:szCs w:val="16"/>
        </w:rPr>
      </w:pPr>
      <w:r>
        <w:rPr>
          <w:rStyle w:val="Lbjegyzet-hivatkozs"/>
        </w:rPr>
        <w:footnoteRef/>
      </w:r>
      <w:r>
        <w:t xml:space="preserve"> </w:t>
      </w:r>
      <w:r w:rsidRPr="00B62AF8">
        <w:rPr>
          <w:sz w:val="16"/>
          <w:szCs w:val="16"/>
        </w:rPr>
        <w:t xml:space="preserve">ECC </w:t>
      </w:r>
      <w:proofErr w:type="spellStart"/>
      <w:r w:rsidRPr="00B62AF8">
        <w:rPr>
          <w:sz w:val="16"/>
          <w:szCs w:val="16"/>
        </w:rPr>
        <w:t>Report</w:t>
      </w:r>
      <w:proofErr w:type="spellEnd"/>
      <w:r w:rsidRPr="00B62AF8">
        <w:rPr>
          <w:sz w:val="16"/>
          <w:szCs w:val="16"/>
        </w:rPr>
        <w:t xml:space="preserve"> 307:</w:t>
      </w:r>
      <w:r>
        <w:t xml:space="preserve"> </w:t>
      </w:r>
      <w:proofErr w:type="spellStart"/>
      <w:r w:rsidRPr="00600C50">
        <w:rPr>
          <w:rFonts w:cstheme="minorHAnsi"/>
          <w:sz w:val="16"/>
          <w:szCs w:val="16"/>
        </w:rPr>
        <w:t>Toolbox</w:t>
      </w:r>
      <w:proofErr w:type="spellEnd"/>
      <w:r w:rsidRPr="00600C50">
        <w:rPr>
          <w:rFonts w:cstheme="minorHAnsi"/>
          <w:sz w:val="16"/>
          <w:szCs w:val="16"/>
        </w:rPr>
        <w:t xml:space="preserve"> </w:t>
      </w:r>
      <w:proofErr w:type="spellStart"/>
      <w:r w:rsidRPr="00600C50">
        <w:rPr>
          <w:rFonts w:cstheme="minorHAnsi"/>
          <w:sz w:val="16"/>
          <w:szCs w:val="16"/>
        </w:rPr>
        <w:t>for</w:t>
      </w:r>
      <w:proofErr w:type="spellEnd"/>
      <w:r w:rsidRPr="00600C50">
        <w:rPr>
          <w:rFonts w:cstheme="minorHAnsi"/>
          <w:sz w:val="16"/>
          <w:szCs w:val="16"/>
        </w:rPr>
        <w:t xml:space="preserve"> </w:t>
      </w:r>
      <w:proofErr w:type="spellStart"/>
      <w:r w:rsidRPr="00600C50">
        <w:rPr>
          <w:rFonts w:cstheme="minorHAnsi"/>
          <w:sz w:val="16"/>
          <w:szCs w:val="16"/>
        </w:rPr>
        <w:t>the</w:t>
      </w:r>
      <w:proofErr w:type="spellEnd"/>
      <w:r w:rsidRPr="00600C50">
        <w:rPr>
          <w:rFonts w:cstheme="minorHAnsi"/>
          <w:sz w:val="16"/>
          <w:szCs w:val="16"/>
        </w:rPr>
        <w:t xml:space="preserve"> most </w:t>
      </w:r>
      <w:proofErr w:type="spellStart"/>
      <w:r w:rsidRPr="00600C50">
        <w:rPr>
          <w:rFonts w:cstheme="minorHAnsi"/>
          <w:sz w:val="16"/>
          <w:szCs w:val="16"/>
        </w:rPr>
        <w:t>appropriate</w:t>
      </w:r>
      <w:proofErr w:type="spellEnd"/>
      <w:r w:rsidRPr="00600C50">
        <w:rPr>
          <w:rFonts w:cstheme="minorHAnsi"/>
          <w:sz w:val="16"/>
          <w:szCs w:val="16"/>
        </w:rPr>
        <w:t xml:space="preserve"> </w:t>
      </w:r>
      <w:proofErr w:type="spellStart"/>
      <w:r w:rsidRPr="00600C50">
        <w:rPr>
          <w:rFonts w:cstheme="minorHAnsi"/>
          <w:sz w:val="16"/>
          <w:szCs w:val="16"/>
        </w:rPr>
        <w:t>synchronisation</w:t>
      </w:r>
      <w:proofErr w:type="spellEnd"/>
      <w:r w:rsidRPr="00600C50">
        <w:rPr>
          <w:rFonts w:cstheme="minorHAnsi"/>
          <w:sz w:val="16"/>
          <w:szCs w:val="16"/>
        </w:rPr>
        <w:t xml:space="preserve"> </w:t>
      </w:r>
      <w:proofErr w:type="spellStart"/>
      <w:r w:rsidRPr="00600C50">
        <w:rPr>
          <w:rFonts w:cstheme="minorHAnsi"/>
          <w:sz w:val="16"/>
          <w:szCs w:val="16"/>
        </w:rPr>
        <w:t>regulatory</w:t>
      </w:r>
      <w:proofErr w:type="spellEnd"/>
      <w:r w:rsidRPr="00600C50">
        <w:rPr>
          <w:rFonts w:cstheme="minorHAnsi"/>
          <w:sz w:val="16"/>
          <w:szCs w:val="16"/>
        </w:rPr>
        <w:t xml:space="preserve"> </w:t>
      </w:r>
      <w:proofErr w:type="spellStart"/>
      <w:r w:rsidRPr="00600C50">
        <w:rPr>
          <w:rFonts w:cstheme="minorHAnsi"/>
          <w:sz w:val="16"/>
          <w:szCs w:val="16"/>
        </w:rPr>
        <w:t>framework</w:t>
      </w:r>
      <w:proofErr w:type="spellEnd"/>
      <w:r w:rsidRPr="00600C50">
        <w:rPr>
          <w:rFonts w:cstheme="minorHAnsi"/>
          <w:sz w:val="16"/>
          <w:szCs w:val="16"/>
        </w:rPr>
        <w:t xml:space="preserve"> </w:t>
      </w:r>
      <w:proofErr w:type="spellStart"/>
      <w:r w:rsidRPr="00600C50">
        <w:rPr>
          <w:rFonts w:cstheme="minorHAnsi"/>
          <w:sz w:val="16"/>
          <w:szCs w:val="16"/>
        </w:rPr>
        <w:t>including</w:t>
      </w:r>
      <w:proofErr w:type="spellEnd"/>
      <w:r w:rsidRPr="00600C50">
        <w:rPr>
          <w:rFonts w:cstheme="minorHAnsi"/>
          <w:sz w:val="16"/>
          <w:szCs w:val="16"/>
        </w:rPr>
        <w:t xml:space="preserve"> </w:t>
      </w:r>
      <w:proofErr w:type="spellStart"/>
      <w:r w:rsidRPr="00600C50">
        <w:rPr>
          <w:rFonts w:cstheme="minorHAnsi"/>
          <w:sz w:val="16"/>
          <w:szCs w:val="16"/>
        </w:rPr>
        <w:t>coexistence</w:t>
      </w:r>
      <w:proofErr w:type="spellEnd"/>
      <w:r w:rsidRPr="00600C50">
        <w:rPr>
          <w:rFonts w:cstheme="minorHAnsi"/>
          <w:sz w:val="16"/>
          <w:szCs w:val="16"/>
        </w:rPr>
        <w:t xml:space="preserve"> of MFCN in 24.25-27.5 </w:t>
      </w:r>
      <w:proofErr w:type="spellStart"/>
      <w:r w:rsidRPr="00600C50">
        <w:rPr>
          <w:rFonts w:cstheme="minorHAnsi"/>
          <w:sz w:val="16"/>
          <w:szCs w:val="16"/>
        </w:rPr>
        <w:t>GHz</w:t>
      </w:r>
      <w:proofErr w:type="spellEnd"/>
      <w:r w:rsidRPr="00600C50">
        <w:rPr>
          <w:rFonts w:cstheme="minorHAnsi"/>
          <w:sz w:val="16"/>
          <w:szCs w:val="16"/>
        </w:rPr>
        <w:t xml:space="preserve"> in </w:t>
      </w:r>
      <w:proofErr w:type="spellStart"/>
      <w:r w:rsidRPr="00600C50">
        <w:rPr>
          <w:rFonts w:cstheme="minorHAnsi"/>
          <w:sz w:val="16"/>
          <w:szCs w:val="16"/>
        </w:rPr>
        <w:t>unsynchronised</w:t>
      </w:r>
      <w:proofErr w:type="spellEnd"/>
      <w:r w:rsidRPr="00600C50">
        <w:rPr>
          <w:rFonts w:cstheme="minorHAnsi"/>
          <w:sz w:val="16"/>
          <w:szCs w:val="16"/>
        </w:rPr>
        <w:t xml:space="preserve"> and </w:t>
      </w:r>
      <w:proofErr w:type="spellStart"/>
      <w:r w:rsidRPr="00600C50">
        <w:rPr>
          <w:rFonts w:cstheme="minorHAnsi"/>
          <w:sz w:val="16"/>
          <w:szCs w:val="16"/>
        </w:rPr>
        <w:t>semi-synchronised</w:t>
      </w:r>
      <w:proofErr w:type="spellEnd"/>
      <w:r w:rsidRPr="00600C50">
        <w:rPr>
          <w:rFonts w:cstheme="minorHAnsi"/>
          <w:sz w:val="16"/>
          <w:szCs w:val="16"/>
        </w:rPr>
        <w:t xml:space="preserve"> </w:t>
      </w:r>
      <w:proofErr w:type="spellStart"/>
      <w:r w:rsidRPr="00600C50">
        <w:rPr>
          <w:rFonts w:cstheme="minorHAnsi"/>
          <w:sz w:val="16"/>
          <w:szCs w:val="16"/>
        </w:rPr>
        <w:t>mode</w:t>
      </w:r>
      <w:proofErr w:type="spellEnd"/>
    </w:p>
  </w:footnote>
  <w:footnote w:id="34">
    <w:p w14:paraId="07BB46B5" w14:textId="6E2FC279" w:rsidR="005D0D74" w:rsidRDefault="005D0D74">
      <w:pPr>
        <w:pStyle w:val="Lbjegyzetszveg"/>
      </w:pPr>
      <w:r>
        <w:rPr>
          <w:rStyle w:val="Lbjegyzet-hivatkozs"/>
        </w:rPr>
        <w:footnoteRef/>
      </w:r>
      <w:r>
        <w:t xml:space="preserve"> </w:t>
      </w:r>
      <w:r w:rsidRPr="00977123">
        <w:rPr>
          <w:sz w:val="16"/>
          <w:szCs w:val="16"/>
        </w:rPr>
        <w:t xml:space="preserve">LRTC: </w:t>
      </w:r>
      <w:proofErr w:type="spellStart"/>
      <w:r w:rsidRPr="00977123">
        <w:rPr>
          <w:sz w:val="16"/>
          <w:szCs w:val="16"/>
        </w:rPr>
        <w:t>Least</w:t>
      </w:r>
      <w:proofErr w:type="spellEnd"/>
      <w:r w:rsidRPr="00977123">
        <w:rPr>
          <w:sz w:val="16"/>
          <w:szCs w:val="16"/>
        </w:rPr>
        <w:t xml:space="preserve"> </w:t>
      </w:r>
      <w:proofErr w:type="spellStart"/>
      <w:r w:rsidRPr="00977123">
        <w:rPr>
          <w:sz w:val="16"/>
          <w:szCs w:val="16"/>
        </w:rPr>
        <w:t>Restrictive</w:t>
      </w:r>
      <w:proofErr w:type="spellEnd"/>
      <w:r w:rsidRPr="00977123">
        <w:rPr>
          <w:sz w:val="16"/>
          <w:szCs w:val="16"/>
        </w:rPr>
        <w:t xml:space="preserve"> </w:t>
      </w:r>
      <w:proofErr w:type="spellStart"/>
      <w:r w:rsidRPr="00977123">
        <w:rPr>
          <w:sz w:val="16"/>
          <w:szCs w:val="16"/>
        </w:rPr>
        <w:t>Technical</w:t>
      </w:r>
      <w:proofErr w:type="spellEnd"/>
      <w:r w:rsidRPr="00977123">
        <w:rPr>
          <w:sz w:val="16"/>
          <w:szCs w:val="16"/>
        </w:rPr>
        <w:t xml:space="preserve"> </w:t>
      </w:r>
      <w:proofErr w:type="spellStart"/>
      <w:r w:rsidRPr="00977123">
        <w:rPr>
          <w:sz w:val="16"/>
          <w:szCs w:val="16"/>
        </w:rPr>
        <w:t>Conditions</w:t>
      </w:r>
      <w:proofErr w:type="spellEnd"/>
      <w:r w:rsidRPr="00977123">
        <w:rPr>
          <w:sz w:val="16"/>
          <w:szCs w:val="16"/>
        </w:rPr>
        <w:t xml:space="preserve"> - </w:t>
      </w:r>
      <w:r w:rsidRPr="00977123">
        <w:rPr>
          <w:rFonts w:cs="Arial"/>
          <w:color w:val="212529"/>
          <w:sz w:val="16"/>
          <w:szCs w:val="16"/>
          <w:shd w:val="clear" w:color="auto" w:fill="FFFFFF"/>
        </w:rPr>
        <w:t>legkevésbé korlátozó műszaki feltételek</w:t>
      </w:r>
    </w:p>
  </w:footnote>
  <w:footnote w:id="35">
    <w:p w14:paraId="5203428B" w14:textId="77777777" w:rsidR="005D0D74" w:rsidRDefault="005D0D74" w:rsidP="008C63E0">
      <w:pPr>
        <w:pStyle w:val="Lbjegyzetszveg"/>
      </w:pPr>
      <w:r>
        <w:rPr>
          <w:rStyle w:val="Lbjegyzet-hivatkozs"/>
        </w:rPr>
        <w:footnoteRef/>
      </w:r>
      <w:r>
        <w:t xml:space="preserve"> </w:t>
      </w:r>
      <w:r w:rsidRPr="00B62AF8">
        <w:rPr>
          <w:sz w:val="16"/>
          <w:szCs w:val="16"/>
        </w:rPr>
        <w:t xml:space="preserve">ECC </w:t>
      </w:r>
      <w:proofErr w:type="spellStart"/>
      <w:r w:rsidRPr="00B62AF8">
        <w:rPr>
          <w:sz w:val="16"/>
          <w:szCs w:val="16"/>
        </w:rPr>
        <w:t>Report</w:t>
      </w:r>
      <w:proofErr w:type="spellEnd"/>
      <w:r w:rsidRPr="00B62AF8">
        <w:rPr>
          <w:sz w:val="16"/>
          <w:szCs w:val="16"/>
        </w:rPr>
        <w:t xml:space="preserve"> 317: </w:t>
      </w:r>
      <w:proofErr w:type="spellStart"/>
      <w:r w:rsidRPr="00B62AF8">
        <w:rPr>
          <w:sz w:val="16"/>
          <w:szCs w:val="16"/>
        </w:rPr>
        <w:t>Additional</w:t>
      </w:r>
      <w:proofErr w:type="spellEnd"/>
      <w:r w:rsidRPr="00B62AF8">
        <w:rPr>
          <w:sz w:val="16"/>
          <w:szCs w:val="16"/>
        </w:rPr>
        <w:t xml:space="preserve"> </w:t>
      </w:r>
      <w:proofErr w:type="spellStart"/>
      <w:r w:rsidRPr="00B62AF8">
        <w:rPr>
          <w:sz w:val="16"/>
          <w:szCs w:val="16"/>
        </w:rPr>
        <w:t>work</w:t>
      </w:r>
      <w:proofErr w:type="spellEnd"/>
      <w:r w:rsidRPr="00B62AF8">
        <w:rPr>
          <w:sz w:val="16"/>
          <w:szCs w:val="16"/>
        </w:rPr>
        <w:t xml:space="preserve"> </w:t>
      </w:r>
      <w:proofErr w:type="spellStart"/>
      <w:r w:rsidRPr="00B62AF8">
        <w:rPr>
          <w:sz w:val="16"/>
          <w:szCs w:val="16"/>
        </w:rPr>
        <w:t>on</w:t>
      </w:r>
      <w:proofErr w:type="spellEnd"/>
      <w:r w:rsidRPr="00B62AF8">
        <w:rPr>
          <w:sz w:val="16"/>
          <w:szCs w:val="16"/>
        </w:rPr>
        <w:t xml:space="preserve"> 26 </w:t>
      </w:r>
      <w:proofErr w:type="spellStart"/>
      <w:r w:rsidRPr="00B62AF8">
        <w:rPr>
          <w:sz w:val="16"/>
          <w:szCs w:val="16"/>
        </w:rPr>
        <w:t>GHz</w:t>
      </w:r>
      <w:proofErr w:type="spellEnd"/>
      <w:r w:rsidRPr="00B62AF8">
        <w:rPr>
          <w:sz w:val="16"/>
          <w:szCs w:val="16"/>
        </w:rPr>
        <w:t xml:space="preserve"> </w:t>
      </w:r>
      <w:proofErr w:type="spellStart"/>
      <w:r w:rsidRPr="00B62AF8">
        <w:rPr>
          <w:sz w:val="16"/>
          <w:szCs w:val="16"/>
        </w:rPr>
        <w:t>to</w:t>
      </w:r>
      <w:proofErr w:type="spellEnd"/>
      <w:r w:rsidRPr="00B62AF8">
        <w:rPr>
          <w:sz w:val="16"/>
          <w:szCs w:val="16"/>
        </w:rPr>
        <w:t xml:space="preserve"> </w:t>
      </w:r>
      <w:proofErr w:type="spellStart"/>
      <w:r w:rsidRPr="00B62AF8">
        <w:rPr>
          <w:sz w:val="16"/>
          <w:szCs w:val="16"/>
        </w:rPr>
        <w:t>address</w:t>
      </w:r>
      <w:proofErr w:type="spellEnd"/>
      <w:r w:rsidRPr="00B62AF8">
        <w:rPr>
          <w:sz w:val="16"/>
          <w:szCs w:val="16"/>
        </w:rPr>
        <w:t xml:space="preserve"> </w:t>
      </w:r>
      <w:proofErr w:type="spellStart"/>
      <w:r w:rsidRPr="00B62AF8">
        <w:rPr>
          <w:sz w:val="16"/>
          <w:szCs w:val="16"/>
        </w:rPr>
        <w:t>spectrum</w:t>
      </w:r>
      <w:proofErr w:type="spellEnd"/>
      <w:r w:rsidRPr="00B62AF8">
        <w:rPr>
          <w:sz w:val="16"/>
          <w:szCs w:val="16"/>
        </w:rPr>
        <w:t xml:space="preserve"> </w:t>
      </w:r>
      <w:proofErr w:type="spellStart"/>
      <w:r w:rsidRPr="00B62AF8">
        <w:rPr>
          <w:sz w:val="16"/>
          <w:szCs w:val="16"/>
        </w:rPr>
        <w:t>use</w:t>
      </w:r>
      <w:proofErr w:type="spellEnd"/>
      <w:r w:rsidRPr="00B62AF8">
        <w:rPr>
          <w:sz w:val="16"/>
          <w:szCs w:val="16"/>
        </w:rPr>
        <w:t xml:space="preserve"> </w:t>
      </w:r>
      <w:proofErr w:type="spellStart"/>
      <w:r w:rsidRPr="00B62AF8">
        <w:rPr>
          <w:sz w:val="16"/>
          <w:szCs w:val="16"/>
        </w:rPr>
        <w:t>under</w:t>
      </w:r>
      <w:proofErr w:type="spellEnd"/>
      <w:r w:rsidRPr="00B62AF8">
        <w:rPr>
          <w:sz w:val="16"/>
          <w:szCs w:val="16"/>
        </w:rPr>
        <w:t xml:space="preserve"> </w:t>
      </w:r>
      <w:proofErr w:type="spellStart"/>
      <w:r w:rsidRPr="00B62AF8">
        <w:rPr>
          <w:sz w:val="16"/>
          <w:szCs w:val="16"/>
        </w:rPr>
        <w:t>authorisation</w:t>
      </w:r>
      <w:proofErr w:type="spellEnd"/>
      <w:r w:rsidRPr="00B62AF8">
        <w:rPr>
          <w:sz w:val="16"/>
          <w:szCs w:val="16"/>
        </w:rPr>
        <w:t xml:space="preserve"> </w:t>
      </w:r>
      <w:proofErr w:type="spellStart"/>
      <w:r w:rsidRPr="00B62AF8">
        <w:rPr>
          <w:sz w:val="16"/>
          <w:szCs w:val="16"/>
        </w:rPr>
        <w:t>regimes</w:t>
      </w:r>
      <w:proofErr w:type="spellEnd"/>
      <w:r w:rsidRPr="00B62AF8">
        <w:rPr>
          <w:sz w:val="16"/>
          <w:szCs w:val="16"/>
        </w:rPr>
        <w:t xml:space="preserve"> </w:t>
      </w:r>
      <w:proofErr w:type="spellStart"/>
      <w:r w:rsidRPr="00B62AF8">
        <w:rPr>
          <w:sz w:val="16"/>
          <w:szCs w:val="16"/>
        </w:rPr>
        <w:t>other</w:t>
      </w:r>
      <w:proofErr w:type="spellEnd"/>
      <w:r w:rsidRPr="00B62AF8">
        <w:rPr>
          <w:sz w:val="16"/>
          <w:szCs w:val="16"/>
        </w:rPr>
        <w:t xml:space="preserve"> </w:t>
      </w:r>
      <w:proofErr w:type="spellStart"/>
      <w:r w:rsidRPr="00B62AF8">
        <w:rPr>
          <w:sz w:val="16"/>
          <w:szCs w:val="16"/>
        </w:rPr>
        <w:t>than</w:t>
      </w:r>
      <w:proofErr w:type="spellEnd"/>
      <w:r w:rsidRPr="00B62AF8">
        <w:rPr>
          <w:sz w:val="16"/>
          <w:szCs w:val="16"/>
        </w:rPr>
        <w:t xml:space="preserve"> </w:t>
      </w:r>
      <w:proofErr w:type="spellStart"/>
      <w:r w:rsidRPr="00B62AF8">
        <w:rPr>
          <w:sz w:val="16"/>
          <w:szCs w:val="16"/>
        </w:rPr>
        <w:t>individual</w:t>
      </w:r>
      <w:proofErr w:type="spellEnd"/>
      <w:r w:rsidRPr="00B62AF8">
        <w:rPr>
          <w:sz w:val="16"/>
          <w:szCs w:val="16"/>
        </w:rPr>
        <w:t xml:space="preserve"> </w:t>
      </w:r>
      <w:proofErr w:type="spellStart"/>
      <w:r w:rsidRPr="00B62AF8">
        <w:rPr>
          <w:sz w:val="16"/>
          <w:szCs w:val="16"/>
        </w:rPr>
        <w:t>rights</w:t>
      </w:r>
      <w:proofErr w:type="spellEnd"/>
      <w:r w:rsidRPr="00B62AF8">
        <w:rPr>
          <w:sz w:val="16"/>
          <w:szCs w:val="16"/>
        </w:rPr>
        <w:t xml:space="preserve"> of </w:t>
      </w:r>
      <w:proofErr w:type="spellStart"/>
      <w:r w:rsidRPr="00B62AF8">
        <w:rPr>
          <w:sz w:val="16"/>
          <w:szCs w:val="16"/>
        </w:rPr>
        <w:t>use</w:t>
      </w:r>
      <w:proofErr w:type="spellEnd"/>
      <w:r w:rsidRPr="00B62AF8">
        <w:rPr>
          <w:sz w:val="16"/>
          <w:szCs w:val="16"/>
        </w:rPr>
        <w:t xml:space="preserve">: </w:t>
      </w:r>
      <w:proofErr w:type="spellStart"/>
      <w:r w:rsidRPr="00B62AF8">
        <w:rPr>
          <w:sz w:val="16"/>
          <w:szCs w:val="16"/>
        </w:rPr>
        <w:t>Technical</w:t>
      </w:r>
      <w:proofErr w:type="spellEnd"/>
      <w:r w:rsidRPr="00B62AF8">
        <w:rPr>
          <w:sz w:val="16"/>
          <w:szCs w:val="16"/>
        </w:rPr>
        <w:t xml:space="preserve"> </w:t>
      </w:r>
      <w:proofErr w:type="spellStart"/>
      <w:r w:rsidRPr="00B62AF8">
        <w:rPr>
          <w:sz w:val="16"/>
          <w:szCs w:val="16"/>
        </w:rPr>
        <w:t>toolkit</w:t>
      </w:r>
      <w:proofErr w:type="spellEnd"/>
      <w:r w:rsidRPr="00B62AF8">
        <w:rPr>
          <w:sz w:val="16"/>
          <w:szCs w:val="16"/>
        </w:rPr>
        <w:t xml:space="preserve"> </w:t>
      </w:r>
      <w:proofErr w:type="spellStart"/>
      <w:r w:rsidRPr="00B62AF8">
        <w:rPr>
          <w:sz w:val="16"/>
          <w:szCs w:val="16"/>
        </w:rPr>
        <w:t>to</w:t>
      </w:r>
      <w:proofErr w:type="spellEnd"/>
      <w:r w:rsidRPr="00B62AF8">
        <w:rPr>
          <w:sz w:val="16"/>
          <w:szCs w:val="16"/>
        </w:rPr>
        <w:t xml:space="preserve"> </w:t>
      </w:r>
      <w:proofErr w:type="spellStart"/>
      <w:r w:rsidRPr="00B62AF8">
        <w:rPr>
          <w:sz w:val="16"/>
          <w:szCs w:val="16"/>
        </w:rPr>
        <w:t>assist</w:t>
      </w:r>
      <w:proofErr w:type="spellEnd"/>
      <w:r w:rsidRPr="00B62AF8">
        <w:rPr>
          <w:sz w:val="16"/>
          <w:szCs w:val="16"/>
        </w:rPr>
        <w:t xml:space="preserve"> </w:t>
      </w:r>
      <w:proofErr w:type="spellStart"/>
      <w:r w:rsidRPr="00B62AF8">
        <w:rPr>
          <w:sz w:val="16"/>
          <w:szCs w:val="16"/>
        </w:rPr>
        <w:t>administrations</w:t>
      </w:r>
      <w:proofErr w:type="spellEnd"/>
    </w:p>
  </w:footnote>
  <w:footnote w:id="36">
    <w:p w14:paraId="621CA6E9" w14:textId="77777777" w:rsidR="005D0D74" w:rsidRDefault="005D0D74" w:rsidP="008C63E0">
      <w:pPr>
        <w:pStyle w:val="Lbjegyzetszveg"/>
      </w:pPr>
      <w:r>
        <w:rPr>
          <w:rStyle w:val="Lbjegyzet-hivatkozs"/>
        </w:rPr>
        <w:footnoteRef/>
      </w:r>
      <w:r>
        <w:t xml:space="preserve"> </w:t>
      </w:r>
      <w:r w:rsidRPr="009C6D7D">
        <w:rPr>
          <w:sz w:val="16"/>
          <w:szCs w:val="16"/>
        </w:rPr>
        <w:t xml:space="preserve">ECC </w:t>
      </w:r>
      <w:proofErr w:type="spellStart"/>
      <w:r w:rsidRPr="009C6D7D">
        <w:rPr>
          <w:sz w:val="16"/>
          <w:szCs w:val="16"/>
        </w:rPr>
        <w:t>Report</w:t>
      </w:r>
      <w:proofErr w:type="spellEnd"/>
      <w:r w:rsidRPr="009C6D7D">
        <w:rPr>
          <w:sz w:val="16"/>
          <w:szCs w:val="16"/>
        </w:rPr>
        <w:t xml:space="preserve"> 132: </w:t>
      </w:r>
      <w:proofErr w:type="spellStart"/>
      <w:r w:rsidRPr="009C6D7D">
        <w:rPr>
          <w:sz w:val="16"/>
          <w:szCs w:val="16"/>
        </w:rPr>
        <w:t>Light</w:t>
      </w:r>
      <w:proofErr w:type="spellEnd"/>
      <w:r w:rsidRPr="009C6D7D">
        <w:rPr>
          <w:sz w:val="16"/>
          <w:szCs w:val="16"/>
        </w:rPr>
        <w:t xml:space="preserve"> </w:t>
      </w:r>
      <w:proofErr w:type="spellStart"/>
      <w:r w:rsidRPr="009C6D7D">
        <w:rPr>
          <w:sz w:val="16"/>
          <w:szCs w:val="16"/>
        </w:rPr>
        <w:t>licensing</w:t>
      </w:r>
      <w:proofErr w:type="spellEnd"/>
      <w:r w:rsidRPr="009C6D7D">
        <w:rPr>
          <w:sz w:val="16"/>
          <w:szCs w:val="16"/>
        </w:rPr>
        <w:t>, licence-</w:t>
      </w:r>
      <w:proofErr w:type="spellStart"/>
      <w:r w:rsidRPr="009C6D7D">
        <w:rPr>
          <w:sz w:val="16"/>
          <w:szCs w:val="16"/>
        </w:rPr>
        <w:t>exempt</w:t>
      </w:r>
      <w:proofErr w:type="spellEnd"/>
      <w:r w:rsidRPr="009C6D7D">
        <w:rPr>
          <w:sz w:val="16"/>
          <w:szCs w:val="16"/>
        </w:rPr>
        <w:t xml:space="preserve"> and </w:t>
      </w:r>
      <w:proofErr w:type="spellStart"/>
      <w:r w:rsidRPr="009C6D7D">
        <w:rPr>
          <w:sz w:val="16"/>
          <w:szCs w:val="16"/>
        </w:rPr>
        <w:t>commons</w:t>
      </w:r>
      <w:proofErr w:type="spellEnd"/>
    </w:p>
  </w:footnote>
  <w:footnote w:id="37">
    <w:p w14:paraId="4E5C7B4A" w14:textId="7A71DE44" w:rsidR="005D0D74" w:rsidRPr="00843FE5" w:rsidRDefault="005D0D74" w:rsidP="008C63E0">
      <w:pPr>
        <w:pStyle w:val="Lbjegyzetszveg"/>
        <w:rPr>
          <w:sz w:val="16"/>
          <w:szCs w:val="16"/>
        </w:rPr>
      </w:pPr>
      <w:r w:rsidRPr="00F845E2">
        <w:rPr>
          <w:rStyle w:val="Lbjegyzet-hivatkozs"/>
        </w:rPr>
        <w:footnoteRef/>
      </w:r>
      <w:r w:rsidRPr="00843FE5">
        <w:rPr>
          <w:sz w:val="16"/>
          <w:szCs w:val="16"/>
        </w:rPr>
        <w:t xml:space="preserve"> </w:t>
      </w:r>
      <w:hyperlink r:id="rId8" w:history="1">
        <w:r w:rsidRPr="003D631C">
          <w:rPr>
            <w:rStyle w:val="Hiperhivatkozs"/>
            <w:sz w:val="16"/>
            <w:szCs w:val="16"/>
          </w:rPr>
          <w:t>http://rspg-spectrum.eu/wp-content/uploads/2013/05/RPSG16-032-Opinion_5G.pdf</w:t>
        </w:r>
      </w:hyperlink>
    </w:p>
  </w:footnote>
  <w:footnote w:id="38">
    <w:p w14:paraId="2C77C16E" w14:textId="77777777" w:rsidR="005D0D74" w:rsidRDefault="005D0D74" w:rsidP="008C63E0">
      <w:pPr>
        <w:pStyle w:val="Lbjegyzetszveg"/>
      </w:pPr>
      <w:r>
        <w:rPr>
          <w:rStyle w:val="Lbjegyzet-hivatkozs"/>
        </w:rPr>
        <w:footnoteRef/>
      </w:r>
      <w:r>
        <w:t xml:space="preserve"> </w:t>
      </w:r>
      <w:r w:rsidRPr="00B62AF8">
        <w:rPr>
          <w:sz w:val="16"/>
          <w:szCs w:val="16"/>
        </w:rPr>
        <w:t xml:space="preserve">CEPT </w:t>
      </w:r>
      <w:proofErr w:type="spellStart"/>
      <w:r w:rsidRPr="00B62AF8">
        <w:rPr>
          <w:sz w:val="16"/>
          <w:szCs w:val="16"/>
        </w:rPr>
        <w:t>Report</w:t>
      </w:r>
      <w:proofErr w:type="spellEnd"/>
      <w:r w:rsidRPr="00B62AF8">
        <w:rPr>
          <w:sz w:val="16"/>
          <w:szCs w:val="16"/>
        </w:rPr>
        <w:t xml:space="preserve"> 68: </w:t>
      </w:r>
      <w:proofErr w:type="spellStart"/>
      <w:r w:rsidRPr="00B62AF8">
        <w:rPr>
          <w:sz w:val="16"/>
          <w:szCs w:val="16"/>
        </w:rPr>
        <w:t>Report</w:t>
      </w:r>
      <w:proofErr w:type="spellEnd"/>
      <w:r w:rsidRPr="00B62AF8">
        <w:rPr>
          <w:sz w:val="16"/>
          <w:szCs w:val="16"/>
        </w:rPr>
        <w:t xml:space="preserve"> B </w:t>
      </w:r>
      <w:proofErr w:type="spellStart"/>
      <w:r w:rsidRPr="00B62AF8">
        <w:rPr>
          <w:sz w:val="16"/>
          <w:szCs w:val="16"/>
        </w:rPr>
        <w:t>from</w:t>
      </w:r>
      <w:proofErr w:type="spellEnd"/>
      <w:r w:rsidRPr="00B62AF8">
        <w:rPr>
          <w:sz w:val="16"/>
          <w:szCs w:val="16"/>
        </w:rPr>
        <w:t xml:space="preserve"> CEPT </w:t>
      </w:r>
      <w:proofErr w:type="spellStart"/>
      <w:r w:rsidRPr="00B62AF8">
        <w:rPr>
          <w:sz w:val="16"/>
          <w:szCs w:val="16"/>
        </w:rPr>
        <w:t>to</w:t>
      </w:r>
      <w:proofErr w:type="spellEnd"/>
      <w:r w:rsidRPr="00B62AF8">
        <w:rPr>
          <w:sz w:val="16"/>
          <w:szCs w:val="16"/>
        </w:rPr>
        <w:t xml:space="preserve"> </w:t>
      </w:r>
      <w:proofErr w:type="spellStart"/>
      <w:r w:rsidRPr="00B62AF8">
        <w:rPr>
          <w:sz w:val="16"/>
          <w:szCs w:val="16"/>
        </w:rPr>
        <w:t>the</w:t>
      </w:r>
      <w:proofErr w:type="spellEnd"/>
      <w:r w:rsidRPr="00B62AF8">
        <w:rPr>
          <w:sz w:val="16"/>
          <w:szCs w:val="16"/>
        </w:rPr>
        <w:t xml:space="preserve"> European </w:t>
      </w:r>
      <w:proofErr w:type="spellStart"/>
      <w:r w:rsidRPr="00B62AF8">
        <w:rPr>
          <w:sz w:val="16"/>
          <w:szCs w:val="16"/>
        </w:rPr>
        <w:t>Commission</w:t>
      </w:r>
      <w:proofErr w:type="spellEnd"/>
      <w:r w:rsidRPr="00B62AF8">
        <w:rPr>
          <w:sz w:val="16"/>
          <w:szCs w:val="16"/>
        </w:rPr>
        <w:t xml:space="preserve"> in </w:t>
      </w:r>
      <w:proofErr w:type="spellStart"/>
      <w:r w:rsidRPr="00B62AF8">
        <w:rPr>
          <w:sz w:val="16"/>
          <w:szCs w:val="16"/>
        </w:rPr>
        <w:t>response</w:t>
      </w:r>
      <w:proofErr w:type="spellEnd"/>
      <w:r w:rsidRPr="00B62AF8">
        <w:rPr>
          <w:sz w:val="16"/>
          <w:szCs w:val="16"/>
        </w:rPr>
        <w:t xml:space="preserve"> </w:t>
      </w:r>
      <w:proofErr w:type="spellStart"/>
      <w:r w:rsidRPr="00B62AF8">
        <w:rPr>
          <w:sz w:val="16"/>
          <w:szCs w:val="16"/>
        </w:rPr>
        <w:t>to</w:t>
      </w:r>
      <w:proofErr w:type="spellEnd"/>
      <w:r w:rsidRPr="00B62AF8">
        <w:rPr>
          <w:sz w:val="16"/>
          <w:szCs w:val="16"/>
        </w:rPr>
        <w:t xml:space="preserve"> </w:t>
      </w:r>
      <w:proofErr w:type="spellStart"/>
      <w:r w:rsidRPr="00B62AF8">
        <w:rPr>
          <w:sz w:val="16"/>
          <w:szCs w:val="16"/>
        </w:rPr>
        <w:t>the</w:t>
      </w:r>
      <w:proofErr w:type="spellEnd"/>
      <w:r w:rsidRPr="00B62AF8">
        <w:rPr>
          <w:sz w:val="16"/>
          <w:szCs w:val="16"/>
        </w:rPr>
        <w:t xml:space="preserve"> </w:t>
      </w:r>
      <w:proofErr w:type="spellStart"/>
      <w:r w:rsidRPr="00B62AF8">
        <w:rPr>
          <w:sz w:val="16"/>
          <w:szCs w:val="16"/>
        </w:rPr>
        <w:t>Mandate</w:t>
      </w:r>
      <w:proofErr w:type="spellEnd"/>
      <w:r w:rsidRPr="00B62AF8">
        <w:rPr>
          <w:sz w:val="16"/>
          <w:szCs w:val="16"/>
        </w:rPr>
        <w:t xml:space="preserve"> “</w:t>
      </w:r>
      <w:proofErr w:type="spellStart"/>
      <w:r w:rsidRPr="00B62AF8">
        <w:rPr>
          <w:sz w:val="16"/>
          <w:szCs w:val="16"/>
        </w:rPr>
        <w:t>to</w:t>
      </w:r>
      <w:proofErr w:type="spellEnd"/>
      <w:r w:rsidRPr="00B62AF8">
        <w:rPr>
          <w:sz w:val="16"/>
          <w:szCs w:val="16"/>
        </w:rPr>
        <w:t xml:space="preserve"> </w:t>
      </w:r>
      <w:proofErr w:type="spellStart"/>
      <w:r w:rsidRPr="00B62AF8">
        <w:rPr>
          <w:sz w:val="16"/>
          <w:szCs w:val="16"/>
        </w:rPr>
        <w:t>develop</w:t>
      </w:r>
      <w:proofErr w:type="spellEnd"/>
      <w:r w:rsidRPr="00B62AF8">
        <w:rPr>
          <w:sz w:val="16"/>
          <w:szCs w:val="16"/>
        </w:rPr>
        <w:t xml:space="preserve"> </w:t>
      </w:r>
      <w:proofErr w:type="spellStart"/>
      <w:r w:rsidRPr="00B62AF8">
        <w:rPr>
          <w:sz w:val="16"/>
          <w:szCs w:val="16"/>
        </w:rPr>
        <w:t>harmonised</w:t>
      </w:r>
      <w:proofErr w:type="spellEnd"/>
      <w:r w:rsidRPr="00B62AF8">
        <w:rPr>
          <w:sz w:val="16"/>
          <w:szCs w:val="16"/>
        </w:rPr>
        <w:t xml:space="preserve"> </w:t>
      </w:r>
      <w:proofErr w:type="spellStart"/>
      <w:r w:rsidRPr="00B62AF8">
        <w:rPr>
          <w:sz w:val="16"/>
          <w:szCs w:val="16"/>
        </w:rPr>
        <w:t>technical</w:t>
      </w:r>
      <w:proofErr w:type="spellEnd"/>
      <w:r w:rsidRPr="00B62AF8">
        <w:rPr>
          <w:sz w:val="16"/>
          <w:szCs w:val="16"/>
        </w:rPr>
        <w:t xml:space="preserve"> </w:t>
      </w:r>
      <w:proofErr w:type="spellStart"/>
      <w:r w:rsidRPr="00B62AF8">
        <w:rPr>
          <w:sz w:val="16"/>
          <w:szCs w:val="16"/>
        </w:rPr>
        <w:t>conditions</w:t>
      </w:r>
      <w:proofErr w:type="spellEnd"/>
      <w:r w:rsidRPr="00B62AF8">
        <w:rPr>
          <w:sz w:val="16"/>
          <w:szCs w:val="16"/>
        </w:rPr>
        <w:t xml:space="preserve"> </w:t>
      </w:r>
      <w:proofErr w:type="spellStart"/>
      <w:r w:rsidRPr="00B62AF8">
        <w:rPr>
          <w:sz w:val="16"/>
          <w:szCs w:val="16"/>
        </w:rPr>
        <w:t>for</w:t>
      </w:r>
      <w:proofErr w:type="spellEnd"/>
      <w:r w:rsidRPr="00B62AF8">
        <w:rPr>
          <w:sz w:val="16"/>
          <w:szCs w:val="16"/>
        </w:rPr>
        <w:t xml:space="preserve"> </w:t>
      </w:r>
      <w:proofErr w:type="spellStart"/>
      <w:r w:rsidRPr="00B62AF8">
        <w:rPr>
          <w:sz w:val="16"/>
          <w:szCs w:val="16"/>
        </w:rPr>
        <w:t>spectrum</w:t>
      </w:r>
      <w:proofErr w:type="spellEnd"/>
      <w:r w:rsidRPr="00B62AF8">
        <w:rPr>
          <w:sz w:val="16"/>
          <w:szCs w:val="16"/>
        </w:rPr>
        <w:t xml:space="preserve"> </w:t>
      </w:r>
      <w:proofErr w:type="spellStart"/>
      <w:r w:rsidRPr="00B62AF8">
        <w:rPr>
          <w:sz w:val="16"/>
          <w:szCs w:val="16"/>
        </w:rPr>
        <w:t>use</w:t>
      </w:r>
      <w:proofErr w:type="spellEnd"/>
      <w:r w:rsidRPr="00B62AF8">
        <w:rPr>
          <w:sz w:val="16"/>
          <w:szCs w:val="16"/>
        </w:rPr>
        <w:t xml:space="preserve"> in </w:t>
      </w:r>
      <w:proofErr w:type="spellStart"/>
      <w:r w:rsidRPr="00B62AF8">
        <w:rPr>
          <w:sz w:val="16"/>
          <w:szCs w:val="16"/>
        </w:rPr>
        <w:t>support</w:t>
      </w:r>
      <w:proofErr w:type="spellEnd"/>
      <w:r w:rsidRPr="00B62AF8">
        <w:rPr>
          <w:sz w:val="16"/>
          <w:szCs w:val="16"/>
        </w:rPr>
        <w:t xml:space="preserve"> of </w:t>
      </w:r>
      <w:proofErr w:type="spellStart"/>
      <w:r w:rsidRPr="00B62AF8">
        <w:rPr>
          <w:sz w:val="16"/>
          <w:szCs w:val="16"/>
        </w:rPr>
        <w:t>the</w:t>
      </w:r>
      <w:proofErr w:type="spellEnd"/>
      <w:r w:rsidRPr="00B62AF8">
        <w:rPr>
          <w:sz w:val="16"/>
          <w:szCs w:val="16"/>
        </w:rPr>
        <w:t xml:space="preserve"> </w:t>
      </w:r>
      <w:proofErr w:type="spellStart"/>
      <w:r w:rsidRPr="00B62AF8">
        <w:rPr>
          <w:sz w:val="16"/>
          <w:szCs w:val="16"/>
        </w:rPr>
        <w:t>introduction</w:t>
      </w:r>
      <w:proofErr w:type="spellEnd"/>
      <w:r w:rsidRPr="00B62AF8">
        <w:rPr>
          <w:sz w:val="16"/>
          <w:szCs w:val="16"/>
        </w:rPr>
        <w:t xml:space="preserve"> of </w:t>
      </w:r>
      <w:proofErr w:type="spellStart"/>
      <w:r w:rsidRPr="00B62AF8">
        <w:rPr>
          <w:sz w:val="16"/>
          <w:szCs w:val="16"/>
        </w:rPr>
        <w:t>next-generation</w:t>
      </w:r>
      <w:proofErr w:type="spellEnd"/>
      <w:r w:rsidRPr="00B62AF8">
        <w:rPr>
          <w:sz w:val="16"/>
          <w:szCs w:val="16"/>
        </w:rPr>
        <w:t xml:space="preserve"> (5G) </w:t>
      </w:r>
      <w:proofErr w:type="spellStart"/>
      <w:r w:rsidRPr="00B62AF8">
        <w:rPr>
          <w:sz w:val="16"/>
          <w:szCs w:val="16"/>
        </w:rPr>
        <w:t>terrestrial</w:t>
      </w:r>
      <w:proofErr w:type="spellEnd"/>
      <w:r w:rsidRPr="00B62AF8">
        <w:rPr>
          <w:sz w:val="16"/>
          <w:szCs w:val="16"/>
        </w:rPr>
        <w:t xml:space="preserve"> </w:t>
      </w:r>
      <w:proofErr w:type="spellStart"/>
      <w:r w:rsidRPr="00B62AF8">
        <w:rPr>
          <w:sz w:val="16"/>
          <w:szCs w:val="16"/>
        </w:rPr>
        <w:t>wireless</w:t>
      </w:r>
      <w:proofErr w:type="spellEnd"/>
      <w:r w:rsidRPr="00B62AF8">
        <w:rPr>
          <w:sz w:val="16"/>
          <w:szCs w:val="16"/>
        </w:rPr>
        <w:t xml:space="preserve"> </w:t>
      </w:r>
      <w:proofErr w:type="spellStart"/>
      <w:r w:rsidRPr="00B62AF8">
        <w:rPr>
          <w:sz w:val="16"/>
          <w:szCs w:val="16"/>
        </w:rPr>
        <w:t>systems</w:t>
      </w:r>
      <w:proofErr w:type="spellEnd"/>
      <w:r w:rsidRPr="00B62AF8">
        <w:rPr>
          <w:sz w:val="16"/>
          <w:szCs w:val="16"/>
        </w:rPr>
        <w:t xml:space="preserve"> in </w:t>
      </w:r>
      <w:proofErr w:type="spellStart"/>
      <w:r w:rsidRPr="00B62AF8">
        <w:rPr>
          <w:sz w:val="16"/>
          <w:szCs w:val="16"/>
        </w:rPr>
        <w:t>the</w:t>
      </w:r>
      <w:proofErr w:type="spellEnd"/>
      <w:r w:rsidRPr="00B62AF8">
        <w:rPr>
          <w:sz w:val="16"/>
          <w:szCs w:val="16"/>
        </w:rPr>
        <w:t xml:space="preserve"> Union” </w:t>
      </w:r>
      <w:proofErr w:type="spellStart"/>
      <w:r w:rsidRPr="00B62AF8">
        <w:rPr>
          <w:sz w:val="16"/>
          <w:szCs w:val="16"/>
        </w:rPr>
        <w:t>Harmonised</w:t>
      </w:r>
      <w:proofErr w:type="spellEnd"/>
      <w:r w:rsidRPr="00B62AF8">
        <w:rPr>
          <w:sz w:val="16"/>
          <w:szCs w:val="16"/>
        </w:rPr>
        <w:t xml:space="preserve"> </w:t>
      </w:r>
      <w:proofErr w:type="spellStart"/>
      <w:r w:rsidRPr="00B62AF8">
        <w:rPr>
          <w:sz w:val="16"/>
          <w:szCs w:val="16"/>
        </w:rPr>
        <w:t>technical</w:t>
      </w:r>
      <w:proofErr w:type="spellEnd"/>
      <w:r w:rsidRPr="00B62AF8">
        <w:rPr>
          <w:sz w:val="16"/>
          <w:szCs w:val="16"/>
        </w:rPr>
        <w:t xml:space="preserve"> </w:t>
      </w:r>
      <w:proofErr w:type="spellStart"/>
      <w:r w:rsidRPr="00B62AF8">
        <w:rPr>
          <w:sz w:val="16"/>
          <w:szCs w:val="16"/>
        </w:rPr>
        <w:t>conditions</w:t>
      </w:r>
      <w:proofErr w:type="spellEnd"/>
      <w:r w:rsidRPr="00B62AF8">
        <w:rPr>
          <w:sz w:val="16"/>
          <w:szCs w:val="16"/>
        </w:rPr>
        <w:t xml:space="preserve"> </w:t>
      </w:r>
      <w:proofErr w:type="spellStart"/>
      <w:r w:rsidRPr="00B62AF8">
        <w:rPr>
          <w:sz w:val="16"/>
          <w:szCs w:val="16"/>
        </w:rPr>
        <w:t>for</w:t>
      </w:r>
      <w:proofErr w:type="spellEnd"/>
      <w:r w:rsidRPr="00B62AF8">
        <w:rPr>
          <w:sz w:val="16"/>
          <w:szCs w:val="16"/>
        </w:rPr>
        <w:t xml:space="preserve"> </w:t>
      </w:r>
      <w:proofErr w:type="spellStart"/>
      <w:r w:rsidRPr="00B62AF8">
        <w:rPr>
          <w:sz w:val="16"/>
          <w:szCs w:val="16"/>
        </w:rPr>
        <w:t>the</w:t>
      </w:r>
      <w:proofErr w:type="spellEnd"/>
      <w:r w:rsidRPr="00B62AF8">
        <w:rPr>
          <w:sz w:val="16"/>
          <w:szCs w:val="16"/>
        </w:rPr>
        <w:t xml:space="preserve"> 24.25-27.5 </w:t>
      </w:r>
      <w:proofErr w:type="spellStart"/>
      <w:r w:rsidRPr="00B62AF8">
        <w:rPr>
          <w:sz w:val="16"/>
          <w:szCs w:val="16"/>
        </w:rPr>
        <w:t>GHz</w:t>
      </w:r>
      <w:proofErr w:type="spellEnd"/>
      <w:r w:rsidRPr="00B62AF8">
        <w:rPr>
          <w:sz w:val="16"/>
          <w:szCs w:val="16"/>
        </w:rPr>
        <w:t xml:space="preserve"> ('26 </w:t>
      </w:r>
      <w:proofErr w:type="spellStart"/>
      <w:r w:rsidRPr="00B62AF8">
        <w:rPr>
          <w:sz w:val="16"/>
          <w:szCs w:val="16"/>
        </w:rPr>
        <w:t>GHz</w:t>
      </w:r>
      <w:proofErr w:type="spellEnd"/>
      <w:r w:rsidRPr="00B62AF8">
        <w:rPr>
          <w:sz w:val="16"/>
          <w:szCs w:val="16"/>
        </w:rPr>
        <w:t xml:space="preserve">') </w:t>
      </w:r>
      <w:proofErr w:type="spellStart"/>
      <w:r w:rsidRPr="00B62AF8">
        <w:rPr>
          <w:sz w:val="16"/>
          <w:szCs w:val="16"/>
        </w:rPr>
        <w:t>frequency</w:t>
      </w:r>
      <w:proofErr w:type="spellEnd"/>
      <w:r w:rsidRPr="00B62AF8">
        <w:rPr>
          <w:sz w:val="16"/>
          <w:szCs w:val="16"/>
        </w:rPr>
        <w:t xml:space="preserve"> </w:t>
      </w:r>
      <w:proofErr w:type="spellStart"/>
      <w:r w:rsidRPr="00B62AF8">
        <w:rPr>
          <w:sz w:val="16"/>
          <w:szCs w:val="16"/>
        </w:rPr>
        <w:t>band</w:t>
      </w:r>
      <w:proofErr w:type="spellEnd"/>
    </w:p>
  </w:footnote>
  <w:footnote w:id="39">
    <w:p w14:paraId="0944694A" w14:textId="77777777" w:rsidR="005D0D74" w:rsidRPr="002C4E23" w:rsidRDefault="005D0D74" w:rsidP="008C63E0">
      <w:pPr>
        <w:pStyle w:val="doc-ti"/>
        <w:shd w:val="clear" w:color="auto" w:fill="FFFFFF"/>
        <w:spacing w:before="0" w:beforeAutospacing="0" w:after="120" w:afterAutospacing="0"/>
        <w:jc w:val="both"/>
        <w:rPr>
          <w:rFonts w:ascii="Arial" w:hAnsi="Arial"/>
          <w:sz w:val="16"/>
          <w:szCs w:val="16"/>
          <w:lang w:eastAsia="en-US"/>
        </w:rPr>
      </w:pPr>
      <w:r w:rsidRPr="0025058B">
        <w:rPr>
          <w:rStyle w:val="Lbjegyzet-hivatkozs"/>
          <w:sz w:val="20"/>
          <w:szCs w:val="20"/>
        </w:rPr>
        <w:footnoteRef/>
      </w:r>
      <w:r>
        <w:t xml:space="preserve"> </w:t>
      </w:r>
      <w:r w:rsidRPr="009C6D7D">
        <w:rPr>
          <w:rFonts w:ascii="Arial" w:hAnsi="Arial" w:cs="Arial"/>
          <w:sz w:val="16"/>
          <w:szCs w:val="16"/>
        </w:rPr>
        <w:t>(EU</w:t>
      </w:r>
      <w:proofErr w:type="gramStart"/>
      <w:r w:rsidRPr="009C6D7D">
        <w:rPr>
          <w:rFonts w:ascii="Arial" w:hAnsi="Arial" w:cs="Arial"/>
          <w:sz w:val="16"/>
          <w:szCs w:val="16"/>
        </w:rPr>
        <w:t>)</w:t>
      </w:r>
      <w:r>
        <w:rPr>
          <w:rFonts w:ascii="Arial" w:hAnsi="Arial" w:cs="Arial"/>
          <w:sz w:val="16"/>
          <w:szCs w:val="16"/>
        </w:rPr>
        <w:t>2019</w:t>
      </w:r>
      <w:proofErr w:type="gramEnd"/>
      <w:r w:rsidRPr="009C6D7D">
        <w:rPr>
          <w:rFonts w:ascii="Arial" w:hAnsi="Arial" w:cs="Arial"/>
          <w:sz w:val="16"/>
          <w:szCs w:val="16"/>
        </w:rPr>
        <w:t>/</w:t>
      </w:r>
      <w:r>
        <w:rPr>
          <w:rFonts w:ascii="Arial" w:hAnsi="Arial" w:cs="Arial"/>
          <w:sz w:val="16"/>
          <w:szCs w:val="16"/>
        </w:rPr>
        <w:t>784</w:t>
      </w:r>
      <w:r w:rsidRPr="009C6D7D">
        <w:rPr>
          <w:rFonts w:ascii="Arial" w:hAnsi="Arial" w:cs="Arial"/>
          <w:sz w:val="16"/>
          <w:szCs w:val="16"/>
        </w:rPr>
        <w:t>:</w:t>
      </w:r>
      <w:r>
        <w:t xml:space="preserve"> </w:t>
      </w:r>
      <w:r>
        <w:rPr>
          <w:rFonts w:ascii="Arial" w:hAnsi="Arial"/>
          <w:sz w:val="16"/>
          <w:szCs w:val="16"/>
          <w:lang w:eastAsia="en-US"/>
        </w:rPr>
        <w:t>A</w:t>
      </w:r>
      <w:r w:rsidRPr="002C4E23">
        <w:rPr>
          <w:rFonts w:ascii="Arial" w:hAnsi="Arial"/>
          <w:sz w:val="16"/>
          <w:szCs w:val="16"/>
          <w:lang w:eastAsia="en-US"/>
        </w:rPr>
        <w:t xml:space="preserve"> 24,25–27,5 </w:t>
      </w:r>
      <w:proofErr w:type="spellStart"/>
      <w:r w:rsidRPr="002C4E23">
        <w:rPr>
          <w:rFonts w:ascii="Arial" w:hAnsi="Arial"/>
          <w:sz w:val="16"/>
          <w:szCs w:val="16"/>
          <w:lang w:eastAsia="en-US"/>
        </w:rPr>
        <w:t>GHz</w:t>
      </w:r>
      <w:proofErr w:type="spellEnd"/>
      <w:r w:rsidRPr="002C4E23">
        <w:rPr>
          <w:rFonts w:ascii="Arial" w:hAnsi="Arial"/>
          <w:sz w:val="16"/>
          <w:szCs w:val="16"/>
          <w:lang w:eastAsia="en-US"/>
        </w:rPr>
        <w:t xml:space="preserve"> frekvenciasávnak az Unión belül vezeték nélküli széles sávú elektronikus hírközlési szolgáltatások nyújtására alkalmas földfelszíni rendszerek számára történő harmonizálásáról</w:t>
      </w:r>
      <w:r w:rsidRPr="00E40652">
        <w:rPr>
          <w:rFonts w:ascii="Arial" w:hAnsi="Arial"/>
          <w:sz w:val="16"/>
          <w:szCs w:val="16"/>
          <w:lang w:eastAsia="en-US"/>
        </w:rPr>
        <w:t xml:space="preserve"> szóló, 2019. május 14-i (EU) 2019/784 bizottsági végrehajtási határozat</w:t>
      </w:r>
    </w:p>
    <w:p w14:paraId="2087E492" w14:textId="77777777" w:rsidR="005D0D74" w:rsidRDefault="005D0D74" w:rsidP="008C63E0">
      <w:pPr>
        <w:pStyle w:val="Lbjegyzetszveg"/>
      </w:pPr>
    </w:p>
  </w:footnote>
  <w:footnote w:id="40">
    <w:p w14:paraId="4FD21C2A" w14:textId="78BD6204" w:rsidR="005D0D74" w:rsidRDefault="005D0D74">
      <w:pPr>
        <w:pStyle w:val="Lbjegyzetszveg"/>
      </w:pPr>
      <w:r>
        <w:rPr>
          <w:rStyle w:val="Lbjegyzet-hivatkozs"/>
        </w:rPr>
        <w:footnoteRef/>
      </w:r>
      <w:r>
        <w:t xml:space="preserve"> </w:t>
      </w:r>
      <w:proofErr w:type="gramStart"/>
      <w:r w:rsidRPr="006E5C5B">
        <w:rPr>
          <w:sz w:val="16"/>
          <w:szCs w:val="16"/>
        </w:rPr>
        <w:t>az</w:t>
      </w:r>
      <w:proofErr w:type="gramEnd"/>
      <w:r w:rsidRPr="006E5C5B">
        <w:rPr>
          <w:sz w:val="16"/>
          <w:szCs w:val="16"/>
        </w:rPr>
        <w:t xml:space="preserve"> Európai Elektronikus Hírközlési Kódex létrehozásáról szóló, 2018. december 11-i (EU) 2018/1972 európai parlamenti és tanácsi irányelv (a továbbiakban: Kódex) </w:t>
      </w:r>
    </w:p>
  </w:footnote>
  <w:footnote w:id="41">
    <w:p w14:paraId="7DBF43C9" w14:textId="2E161AE5" w:rsidR="005D0D74" w:rsidRPr="006E1262" w:rsidRDefault="005D0D74">
      <w:pPr>
        <w:pStyle w:val="Lbjegyzetszveg"/>
        <w:rPr>
          <w:sz w:val="16"/>
          <w:szCs w:val="16"/>
        </w:rPr>
      </w:pPr>
      <w:r>
        <w:rPr>
          <w:rStyle w:val="Lbjegyzet-hivatkozs"/>
        </w:rPr>
        <w:footnoteRef/>
      </w:r>
      <w:r>
        <w:t xml:space="preserve"> </w:t>
      </w:r>
      <w:r w:rsidRPr="006E1262">
        <w:rPr>
          <w:sz w:val="16"/>
          <w:szCs w:val="16"/>
        </w:rPr>
        <w:t>(EU) 2015/1535 irányelv szerinti eljárás, a műszaki tartalmú jogszabályok tervezetének bejelentési eljárása</w:t>
      </w:r>
    </w:p>
  </w:footnote>
  <w:footnote w:id="42">
    <w:p w14:paraId="185880B8" w14:textId="3CCBDCF1" w:rsidR="005D0D74" w:rsidRPr="00843FE5" w:rsidRDefault="005D0D74" w:rsidP="008C63E0">
      <w:pPr>
        <w:pStyle w:val="Lbjegyzetszveg"/>
        <w:rPr>
          <w:sz w:val="16"/>
          <w:szCs w:val="16"/>
        </w:rPr>
      </w:pPr>
      <w:r w:rsidRPr="00843FE5">
        <w:rPr>
          <w:rStyle w:val="Lbjegyzet-hivatkozs"/>
          <w:sz w:val="16"/>
          <w:szCs w:val="16"/>
        </w:rPr>
        <w:footnoteRef/>
      </w:r>
      <w:r w:rsidRPr="00843FE5">
        <w:rPr>
          <w:sz w:val="16"/>
          <w:szCs w:val="16"/>
        </w:rPr>
        <w:t xml:space="preserve"> </w:t>
      </w:r>
      <w:r>
        <w:rPr>
          <w:sz w:val="16"/>
          <w:szCs w:val="16"/>
        </w:rPr>
        <w:t xml:space="preserve">Public </w:t>
      </w:r>
      <w:r w:rsidRPr="006E1262">
        <w:rPr>
          <w:sz w:val="16"/>
          <w:szCs w:val="16"/>
        </w:rPr>
        <w:t>NJFA</w:t>
      </w:r>
      <w:r>
        <w:rPr>
          <w:sz w:val="16"/>
          <w:szCs w:val="16"/>
        </w:rPr>
        <w:t xml:space="preserve"> (2016)</w:t>
      </w:r>
      <w:r w:rsidRPr="006E1262">
        <w:rPr>
          <w:sz w:val="16"/>
          <w:szCs w:val="16"/>
        </w:rPr>
        <w:t xml:space="preserve">: NATO </w:t>
      </w:r>
      <w:proofErr w:type="spellStart"/>
      <w:r w:rsidRPr="006E1262">
        <w:rPr>
          <w:sz w:val="16"/>
          <w:szCs w:val="16"/>
        </w:rPr>
        <w:t>Joint</w:t>
      </w:r>
      <w:proofErr w:type="spellEnd"/>
      <w:r w:rsidRPr="006E1262">
        <w:rPr>
          <w:sz w:val="16"/>
          <w:szCs w:val="16"/>
        </w:rPr>
        <w:t xml:space="preserve"> Civil/Military </w:t>
      </w:r>
      <w:proofErr w:type="spellStart"/>
      <w:r w:rsidRPr="006E1262">
        <w:rPr>
          <w:sz w:val="16"/>
          <w:szCs w:val="16"/>
        </w:rPr>
        <w:t>Frequency</w:t>
      </w:r>
      <w:proofErr w:type="spellEnd"/>
      <w:r w:rsidRPr="006E1262">
        <w:rPr>
          <w:sz w:val="16"/>
          <w:szCs w:val="16"/>
        </w:rPr>
        <w:t xml:space="preserve"> </w:t>
      </w:r>
      <w:proofErr w:type="spellStart"/>
      <w:r w:rsidRPr="006E1262">
        <w:rPr>
          <w:sz w:val="16"/>
          <w:szCs w:val="16"/>
        </w:rPr>
        <w:t>Agreement</w:t>
      </w:r>
      <w:proofErr w:type="spellEnd"/>
      <w:r>
        <w:rPr>
          <w:sz w:val="16"/>
          <w:szCs w:val="16"/>
        </w:rPr>
        <w:t xml:space="preserve"> (2014), Extraxt </w:t>
      </w:r>
      <w:proofErr w:type="spellStart"/>
      <w:r>
        <w:rPr>
          <w:sz w:val="16"/>
          <w:szCs w:val="16"/>
        </w:rPr>
        <w:t>for</w:t>
      </w:r>
      <w:proofErr w:type="spellEnd"/>
      <w:r>
        <w:rPr>
          <w:sz w:val="16"/>
          <w:szCs w:val="16"/>
        </w:rPr>
        <w:t xml:space="preserve"> Public </w:t>
      </w:r>
      <w:proofErr w:type="spellStart"/>
      <w:r>
        <w:rPr>
          <w:sz w:val="16"/>
          <w:szCs w:val="16"/>
        </w:rPr>
        <w:t>Disclosure</w:t>
      </w:r>
      <w:proofErr w:type="spellEnd"/>
      <w:r>
        <w:rPr>
          <w:sz w:val="16"/>
          <w:szCs w:val="16"/>
        </w:rPr>
        <w:t xml:space="preserve"> (2016)</w:t>
      </w:r>
    </w:p>
  </w:footnote>
  <w:footnote w:id="43">
    <w:p w14:paraId="07F28C02" w14:textId="6FEF9618" w:rsidR="005D0D74" w:rsidRDefault="005D0D74">
      <w:pPr>
        <w:pStyle w:val="Lbjegyzetszveg"/>
      </w:pPr>
      <w:r>
        <w:rPr>
          <w:rStyle w:val="Lbjegyzet-hivatkozs"/>
        </w:rPr>
        <w:footnoteRef/>
      </w:r>
      <w:r>
        <w:t xml:space="preserve"> </w:t>
      </w:r>
      <w:r w:rsidRPr="00CD0584">
        <w:t xml:space="preserve">2022. március 1-jétől </w:t>
      </w:r>
      <w:proofErr w:type="spellStart"/>
      <w:r w:rsidRPr="00CD0584">
        <w:t>Yettel</w:t>
      </w:r>
      <w:proofErr w:type="spellEnd"/>
      <w:r w:rsidRPr="00CD0584">
        <w:t>.</w:t>
      </w:r>
    </w:p>
  </w:footnote>
  <w:footnote w:id="44">
    <w:p w14:paraId="6F132E62" w14:textId="77777777" w:rsidR="00900816" w:rsidRDefault="00900816" w:rsidP="00900816">
      <w:pPr>
        <w:pStyle w:val="Lbjegyzetszveg"/>
      </w:pPr>
      <w:r>
        <w:rPr>
          <w:rStyle w:val="Lbjegyzet-hivatkozs"/>
        </w:rPr>
        <w:footnoteRef/>
      </w:r>
      <w:r>
        <w:t xml:space="preserve"> </w:t>
      </w:r>
      <w:r w:rsidRPr="00E9176B">
        <w:t>Az NJE jelölés</w:t>
      </w:r>
      <w:r>
        <w:t xml:space="preserve"> </w:t>
      </w:r>
      <w:r w:rsidRPr="00E9176B">
        <w:t>utal az NF</w:t>
      </w:r>
      <w:r>
        <w:t>F</w:t>
      </w:r>
      <w:r w:rsidRPr="00E9176B">
        <w:t>F-</w:t>
      </w:r>
      <w:proofErr w:type="spellStart"/>
      <w:r w:rsidRPr="00E9176B">
        <w:t>ben</w:t>
      </w:r>
      <w:proofErr w:type="spellEnd"/>
      <w:r>
        <w:t xml:space="preserve"> </w:t>
      </w:r>
      <w:r w:rsidRPr="00E9176B">
        <w:t>(jelenlegi harmonizált katonai sáv, NFFF 2. melléklet) a NATO tagállamok közötti katonai harmonizáltságára.</w:t>
      </w:r>
    </w:p>
  </w:footnote>
  <w:footnote w:id="45">
    <w:p w14:paraId="164ED7DB" w14:textId="77777777" w:rsidR="005D0D74" w:rsidRPr="009A4BEB" w:rsidRDefault="005D0D74" w:rsidP="008C63E0">
      <w:pPr>
        <w:pStyle w:val="Lbjegyzetszveg"/>
        <w:rPr>
          <w:sz w:val="16"/>
          <w:szCs w:val="16"/>
        </w:rPr>
      </w:pPr>
      <w:r>
        <w:rPr>
          <w:rStyle w:val="Lbjegyzet-hivatkozs"/>
        </w:rPr>
        <w:footnoteRef/>
      </w:r>
      <w:r>
        <w:t xml:space="preserve"> </w:t>
      </w:r>
      <w:r w:rsidRPr="009A4BEB">
        <w:rPr>
          <w:sz w:val="16"/>
          <w:szCs w:val="16"/>
        </w:rPr>
        <w:t xml:space="preserve">2005/50/EK: A Bizottság határozata (2005. január 17.) a 24 </w:t>
      </w:r>
      <w:proofErr w:type="spellStart"/>
      <w:r w:rsidRPr="009A4BEB">
        <w:rPr>
          <w:sz w:val="16"/>
          <w:szCs w:val="16"/>
        </w:rPr>
        <w:t>GHz</w:t>
      </w:r>
      <w:proofErr w:type="spellEnd"/>
      <w:r w:rsidRPr="009A4BEB">
        <w:rPr>
          <w:sz w:val="16"/>
          <w:szCs w:val="16"/>
        </w:rPr>
        <w:t>-es frekvenciasávban alkalmazott, kis hatótávolságú gépjárműradarok időben korlátozott használatára vonatkozó közösségi harmonizálásáról</w:t>
      </w:r>
    </w:p>
  </w:footnote>
  <w:footnote w:id="46">
    <w:p w14:paraId="69BBAB32" w14:textId="77777777" w:rsidR="005D0D74" w:rsidRPr="009A4BEB" w:rsidRDefault="005D0D74" w:rsidP="008C63E0">
      <w:pPr>
        <w:pStyle w:val="Lbjegyzetszveg"/>
        <w:rPr>
          <w:sz w:val="16"/>
          <w:szCs w:val="16"/>
        </w:rPr>
      </w:pPr>
      <w:r>
        <w:rPr>
          <w:rStyle w:val="Lbjegyzet-hivatkozs"/>
        </w:rPr>
        <w:footnoteRef/>
      </w:r>
      <w:r>
        <w:t xml:space="preserve"> </w:t>
      </w:r>
      <w:r w:rsidRPr="009A4BEB">
        <w:rPr>
          <w:sz w:val="16"/>
          <w:szCs w:val="16"/>
        </w:rPr>
        <w:t>2011/485/EU: A Bizo</w:t>
      </w:r>
      <w:r>
        <w:rPr>
          <w:sz w:val="16"/>
          <w:szCs w:val="16"/>
        </w:rPr>
        <w:t>ttság végrehajtási határozata (2011. július 29.</w:t>
      </w:r>
      <w:r w:rsidRPr="009A4BEB">
        <w:rPr>
          <w:sz w:val="16"/>
          <w:szCs w:val="16"/>
        </w:rPr>
        <w:t>) a 24 </w:t>
      </w:r>
      <w:proofErr w:type="spellStart"/>
      <w:r w:rsidRPr="009A4BEB">
        <w:rPr>
          <w:sz w:val="16"/>
          <w:szCs w:val="16"/>
        </w:rPr>
        <w:t>GHz</w:t>
      </w:r>
      <w:proofErr w:type="spellEnd"/>
      <w:r w:rsidRPr="009A4BEB">
        <w:rPr>
          <w:sz w:val="16"/>
          <w:szCs w:val="16"/>
        </w:rPr>
        <w:t>-es frekvenciasávban alkalmazott, kis hatótávolságú gépjárműradarok időben korlátozott használatára vonatkozó közösségi harmonizálásáról szóló 2005/50/EK határozat módosításáról</w:t>
      </w:r>
    </w:p>
  </w:footnote>
  <w:footnote w:id="47">
    <w:p w14:paraId="5FA397AC" w14:textId="77777777" w:rsidR="005D0D74" w:rsidRDefault="005D0D74" w:rsidP="008C63E0">
      <w:pPr>
        <w:pStyle w:val="Lbjegyzetszveg"/>
      </w:pPr>
      <w:r>
        <w:rPr>
          <w:rStyle w:val="Lbjegyzet-hivatkozs"/>
        </w:rPr>
        <w:footnoteRef/>
      </w:r>
      <w:r>
        <w:t xml:space="preserve"> </w:t>
      </w:r>
      <w:r w:rsidRPr="00EB1CCC">
        <w:rPr>
          <w:sz w:val="16"/>
          <w:szCs w:val="16"/>
        </w:rPr>
        <w:t>2007/46/EK:</w:t>
      </w:r>
      <w:r>
        <w:t xml:space="preserve"> </w:t>
      </w:r>
      <w:r w:rsidRPr="00EB1CCC">
        <w:rPr>
          <w:sz w:val="16"/>
          <w:szCs w:val="16"/>
        </w:rPr>
        <w:t xml:space="preserve">Az Európai Parlament és a Tanács 2007/46/EK irányelve </w:t>
      </w:r>
      <w:proofErr w:type="gramStart"/>
      <w:r w:rsidRPr="00EB1CCC">
        <w:rPr>
          <w:sz w:val="16"/>
          <w:szCs w:val="16"/>
        </w:rPr>
        <w:t>( 2007.</w:t>
      </w:r>
      <w:proofErr w:type="gramEnd"/>
      <w:r w:rsidRPr="00EB1CCC">
        <w:rPr>
          <w:sz w:val="16"/>
          <w:szCs w:val="16"/>
        </w:rPr>
        <w:t xml:space="preserve"> szeptember 5. </w:t>
      </w:r>
      <w:proofErr w:type="gramStart"/>
      <w:r w:rsidRPr="00EB1CCC">
        <w:rPr>
          <w:sz w:val="16"/>
          <w:szCs w:val="16"/>
        </w:rPr>
        <w:t>)</w:t>
      </w:r>
      <w:proofErr w:type="gramEnd"/>
      <w:r w:rsidRPr="00EB1CCC">
        <w:rPr>
          <w:sz w:val="16"/>
          <w:szCs w:val="16"/>
        </w:rPr>
        <w:t xml:space="preserve"> a gépjárművek és </w:t>
      </w:r>
      <w:proofErr w:type="spellStart"/>
      <w:r w:rsidRPr="00EB1CCC">
        <w:rPr>
          <w:sz w:val="16"/>
          <w:szCs w:val="16"/>
        </w:rPr>
        <w:t>pótkocsijaik</w:t>
      </w:r>
      <w:proofErr w:type="spellEnd"/>
      <w:r w:rsidRPr="00EB1CCC">
        <w:rPr>
          <w:sz w:val="16"/>
          <w:szCs w:val="16"/>
        </w:rPr>
        <w:t>, valamint az ilyen járművek rendszereinek, alkatrészeinek és önálló műszaki egységeinek jóváhagyásáról</w:t>
      </w:r>
    </w:p>
  </w:footnote>
  <w:footnote w:id="48">
    <w:p w14:paraId="21FE7AA7" w14:textId="77777777" w:rsidR="005D0D74" w:rsidRPr="00854C77" w:rsidRDefault="005D0D74" w:rsidP="008C63E0">
      <w:pPr>
        <w:pStyle w:val="Lbjegyzetszveg"/>
        <w:rPr>
          <w:sz w:val="16"/>
          <w:szCs w:val="16"/>
        </w:rPr>
      </w:pPr>
      <w:r>
        <w:rPr>
          <w:rStyle w:val="Lbjegyzet-hivatkozs"/>
        </w:rPr>
        <w:footnoteRef/>
      </w:r>
      <w:r>
        <w:t xml:space="preserve"> </w:t>
      </w:r>
      <w:r w:rsidRPr="00A605FB">
        <w:rPr>
          <w:sz w:val="16"/>
          <w:szCs w:val="16"/>
        </w:rPr>
        <w:t xml:space="preserve">ECC </w:t>
      </w:r>
      <w:proofErr w:type="spellStart"/>
      <w:r w:rsidRPr="00A605FB">
        <w:rPr>
          <w:sz w:val="16"/>
          <w:szCs w:val="16"/>
        </w:rPr>
        <w:t>Report</w:t>
      </w:r>
      <w:proofErr w:type="spellEnd"/>
      <w:r w:rsidRPr="00A605FB">
        <w:rPr>
          <w:sz w:val="16"/>
          <w:szCs w:val="16"/>
        </w:rPr>
        <w:t xml:space="preserve"> 023:</w:t>
      </w:r>
      <w:r>
        <w:t xml:space="preserve"> </w:t>
      </w:r>
      <w:proofErr w:type="spellStart"/>
      <w:r w:rsidRPr="00854C77">
        <w:rPr>
          <w:sz w:val="16"/>
          <w:szCs w:val="16"/>
        </w:rPr>
        <w:t>Compatibility</w:t>
      </w:r>
      <w:proofErr w:type="spellEnd"/>
      <w:r w:rsidRPr="00854C77">
        <w:rPr>
          <w:sz w:val="16"/>
          <w:szCs w:val="16"/>
        </w:rPr>
        <w:t xml:space="preserve"> of </w:t>
      </w:r>
      <w:proofErr w:type="spellStart"/>
      <w:r w:rsidRPr="00854C77">
        <w:rPr>
          <w:sz w:val="16"/>
          <w:szCs w:val="16"/>
        </w:rPr>
        <w:t>automotive</w:t>
      </w:r>
      <w:proofErr w:type="spellEnd"/>
      <w:r w:rsidRPr="00854C77">
        <w:rPr>
          <w:sz w:val="16"/>
          <w:szCs w:val="16"/>
        </w:rPr>
        <w:t xml:space="preserve"> </w:t>
      </w:r>
      <w:proofErr w:type="spellStart"/>
      <w:r w:rsidRPr="00854C77">
        <w:rPr>
          <w:sz w:val="16"/>
          <w:szCs w:val="16"/>
        </w:rPr>
        <w:t>collision</w:t>
      </w:r>
      <w:proofErr w:type="spellEnd"/>
      <w:r w:rsidRPr="00854C77">
        <w:rPr>
          <w:sz w:val="16"/>
          <w:szCs w:val="16"/>
        </w:rPr>
        <w:t xml:space="preserve"> </w:t>
      </w:r>
      <w:proofErr w:type="spellStart"/>
      <w:r w:rsidRPr="00854C77">
        <w:rPr>
          <w:sz w:val="16"/>
          <w:szCs w:val="16"/>
        </w:rPr>
        <w:t>warning</w:t>
      </w:r>
      <w:proofErr w:type="spellEnd"/>
      <w:r w:rsidRPr="00854C77">
        <w:rPr>
          <w:sz w:val="16"/>
          <w:szCs w:val="16"/>
        </w:rPr>
        <w:t xml:space="preserve"> </w:t>
      </w:r>
      <w:proofErr w:type="spellStart"/>
      <w:r w:rsidRPr="00854C77">
        <w:rPr>
          <w:sz w:val="16"/>
          <w:szCs w:val="16"/>
        </w:rPr>
        <w:t>Short</w:t>
      </w:r>
      <w:proofErr w:type="spellEnd"/>
      <w:r w:rsidRPr="00854C77">
        <w:rPr>
          <w:sz w:val="16"/>
          <w:szCs w:val="16"/>
        </w:rPr>
        <w:t xml:space="preserve"> </w:t>
      </w:r>
      <w:proofErr w:type="spellStart"/>
      <w:r w:rsidRPr="00854C77">
        <w:rPr>
          <w:sz w:val="16"/>
          <w:szCs w:val="16"/>
        </w:rPr>
        <w:t>Range</w:t>
      </w:r>
      <w:proofErr w:type="spellEnd"/>
      <w:r w:rsidRPr="00854C77">
        <w:rPr>
          <w:sz w:val="16"/>
          <w:szCs w:val="16"/>
        </w:rPr>
        <w:t xml:space="preserve"> Radar </w:t>
      </w:r>
      <w:proofErr w:type="spellStart"/>
      <w:r w:rsidRPr="00854C77">
        <w:rPr>
          <w:sz w:val="16"/>
          <w:szCs w:val="16"/>
        </w:rPr>
        <w:t>operating</w:t>
      </w:r>
      <w:proofErr w:type="spellEnd"/>
      <w:r w:rsidRPr="00854C77">
        <w:rPr>
          <w:sz w:val="16"/>
          <w:szCs w:val="16"/>
        </w:rPr>
        <w:t xml:space="preserve"> </w:t>
      </w:r>
      <w:proofErr w:type="spellStart"/>
      <w:r w:rsidRPr="00854C77">
        <w:rPr>
          <w:sz w:val="16"/>
          <w:szCs w:val="16"/>
        </w:rPr>
        <w:t>at</w:t>
      </w:r>
      <w:proofErr w:type="spellEnd"/>
      <w:r w:rsidRPr="00854C77">
        <w:rPr>
          <w:sz w:val="16"/>
          <w:szCs w:val="16"/>
        </w:rPr>
        <w:t xml:space="preserve"> 24 </w:t>
      </w:r>
      <w:proofErr w:type="spellStart"/>
      <w:r w:rsidRPr="00854C77">
        <w:rPr>
          <w:sz w:val="16"/>
          <w:szCs w:val="16"/>
        </w:rPr>
        <w:t>GHz</w:t>
      </w:r>
      <w:proofErr w:type="spellEnd"/>
      <w:r w:rsidRPr="00854C77">
        <w:rPr>
          <w:sz w:val="16"/>
          <w:szCs w:val="16"/>
        </w:rPr>
        <w:t xml:space="preserve"> </w:t>
      </w:r>
      <w:proofErr w:type="spellStart"/>
      <w:r w:rsidRPr="00854C77">
        <w:rPr>
          <w:sz w:val="16"/>
          <w:szCs w:val="16"/>
        </w:rPr>
        <w:t>with</w:t>
      </w:r>
      <w:proofErr w:type="spellEnd"/>
      <w:r w:rsidRPr="00854C77">
        <w:rPr>
          <w:sz w:val="16"/>
          <w:szCs w:val="16"/>
        </w:rPr>
        <w:t xml:space="preserve"> FS, EESS and </w:t>
      </w:r>
      <w:proofErr w:type="spellStart"/>
      <w:r w:rsidRPr="00854C77">
        <w:rPr>
          <w:sz w:val="16"/>
          <w:szCs w:val="16"/>
        </w:rPr>
        <w:t>Radio</w:t>
      </w:r>
      <w:proofErr w:type="spellEnd"/>
      <w:r w:rsidRPr="00854C77">
        <w:rPr>
          <w:sz w:val="16"/>
          <w:szCs w:val="16"/>
        </w:rPr>
        <w:t xml:space="preserve"> </w:t>
      </w:r>
      <w:proofErr w:type="spellStart"/>
      <w:r w:rsidRPr="00854C77">
        <w:rPr>
          <w:sz w:val="16"/>
          <w:szCs w:val="16"/>
        </w:rPr>
        <w:t>Astronomy</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91FE" w14:textId="77777777" w:rsidR="005D0D74" w:rsidRDefault="005D0D74">
    <w:pPr>
      <w:pStyle w:val="lfej"/>
    </w:pPr>
    <w:r>
      <w:rPr>
        <w:noProof/>
        <w:lang w:eastAsia="hu-HU"/>
      </w:rPr>
      <w:drawing>
        <wp:anchor distT="0" distB="0" distL="114300" distR="114300" simplePos="0" relativeHeight="251664896" behindDoc="0" locked="0" layoutInCell="1" allowOverlap="1" wp14:anchorId="2123D7C0" wp14:editId="7718B57E">
          <wp:simplePos x="0" y="0"/>
          <wp:positionH relativeFrom="margin">
            <wp:posOffset>-883920</wp:posOffset>
          </wp:positionH>
          <wp:positionV relativeFrom="page">
            <wp:posOffset>0</wp:posOffset>
          </wp:positionV>
          <wp:extent cx="7529195" cy="1077595"/>
          <wp:effectExtent l="0" t="0" r="0" b="0"/>
          <wp:wrapTopAndBottom/>
          <wp:docPr id="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4D2" w14:textId="77777777" w:rsidR="005D0D74" w:rsidRDefault="005D0D74">
    <w:pPr>
      <w:pStyle w:val="lfej"/>
    </w:pPr>
    <w:r>
      <w:rPr>
        <w:noProof/>
        <w:lang w:eastAsia="hu-HU"/>
      </w:rPr>
      <w:drawing>
        <wp:anchor distT="0" distB="0" distL="114300" distR="114300" simplePos="0" relativeHeight="251662848" behindDoc="0" locked="0" layoutInCell="1" allowOverlap="1" wp14:anchorId="09F78D53" wp14:editId="78F56804">
          <wp:simplePos x="0" y="0"/>
          <wp:positionH relativeFrom="margin">
            <wp:posOffset>-883920</wp:posOffset>
          </wp:positionH>
          <wp:positionV relativeFrom="page">
            <wp:posOffset>0</wp:posOffset>
          </wp:positionV>
          <wp:extent cx="7529195" cy="1077595"/>
          <wp:effectExtent l="0" t="0" r="0" b="0"/>
          <wp:wrapTopAndBottom/>
          <wp:docPr id="1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8C8E" w14:textId="77777777" w:rsidR="005D0D74" w:rsidRDefault="005D0D74">
    <w:pPr>
      <w:pStyle w:val="lfej"/>
    </w:pPr>
    <w:r>
      <w:rPr>
        <w:noProof/>
        <w:lang w:eastAsia="hu-HU"/>
      </w:rPr>
      <w:drawing>
        <wp:anchor distT="0" distB="0" distL="114300" distR="114300" simplePos="0" relativeHeight="251661824" behindDoc="0" locked="0" layoutInCell="1" allowOverlap="1" wp14:anchorId="79A44A80" wp14:editId="2ECB03D1">
          <wp:simplePos x="0" y="0"/>
          <wp:positionH relativeFrom="margin">
            <wp:posOffset>-883920</wp:posOffset>
          </wp:positionH>
          <wp:positionV relativeFrom="page">
            <wp:posOffset>0</wp:posOffset>
          </wp:positionV>
          <wp:extent cx="7529195" cy="1077595"/>
          <wp:effectExtent l="0" t="0" r="0" b="0"/>
          <wp:wrapTopAndBottom/>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624C4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C2EF9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E4595"/>
    <w:multiLevelType w:val="hybridMultilevel"/>
    <w:tmpl w:val="62D61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1942B0E"/>
    <w:multiLevelType w:val="hybridMultilevel"/>
    <w:tmpl w:val="DFF8C3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974B35"/>
    <w:multiLevelType w:val="hybridMultilevel"/>
    <w:tmpl w:val="D95C3E6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04B968CA"/>
    <w:multiLevelType w:val="hybridMultilevel"/>
    <w:tmpl w:val="D9EE40D6"/>
    <w:lvl w:ilvl="0" w:tplc="41DE42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3B2316"/>
    <w:multiLevelType w:val="multilevel"/>
    <w:tmpl w:val="EDA6A788"/>
    <w:lvl w:ilvl="0">
      <w:start w:val="1"/>
      <w:numFmt w:val="decimal"/>
      <w:lvlText w:val="%1."/>
      <w:lvlJc w:val="left"/>
      <w:pPr>
        <w:tabs>
          <w:tab w:val="num" w:pos="0"/>
        </w:tabs>
        <w:ind w:left="360" w:hanging="360"/>
      </w:pPr>
      <w:rPr>
        <w:rFonts w:hint="default"/>
        <w:b/>
        <w:i w:val="0"/>
        <w:sz w:val="24"/>
        <w:szCs w:val="20"/>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b w:val="0"/>
        <w:i w:val="0"/>
        <w:sz w:val="24"/>
        <w:szCs w:val="24"/>
      </w:rPr>
    </w:lvl>
    <w:lvl w:ilvl="4">
      <w:start w:val="1"/>
      <w:numFmt w:val="decimal"/>
      <w:lvlText w:val="%1.%2.%3.%4.%5"/>
      <w:lvlJc w:val="left"/>
      <w:pPr>
        <w:tabs>
          <w:tab w:val="num" w:pos="1008"/>
        </w:tabs>
        <w:ind w:left="1008" w:hanging="1008"/>
      </w:pPr>
      <w:rPr>
        <w:rFonts w:hint="default"/>
        <w:b/>
        <w:i w:val="0"/>
        <w:sz w:val="16"/>
        <w:szCs w:val="16"/>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7D0550D"/>
    <w:multiLevelType w:val="hybridMultilevel"/>
    <w:tmpl w:val="28D499A0"/>
    <w:lvl w:ilvl="0" w:tplc="C5D057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8196225"/>
    <w:multiLevelType w:val="hybridMultilevel"/>
    <w:tmpl w:val="F552DE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A66163C"/>
    <w:multiLevelType w:val="hybridMultilevel"/>
    <w:tmpl w:val="39C00968"/>
    <w:lvl w:ilvl="0" w:tplc="D870E7E8">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0" w15:restartNumberingAfterBreak="0">
    <w:nsid w:val="0B113445"/>
    <w:multiLevelType w:val="multilevel"/>
    <w:tmpl w:val="4A10D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8"/>
        </w:tabs>
        <w:ind w:left="1218" w:hanging="792"/>
      </w:pPr>
      <w:rPr>
        <w:rFonts w:hint="default"/>
        <w:b/>
        <w:sz w:val="22"/>
        <w:szCs w:val="22"/>
      </w:rPr>
    </w:lvl>
    <w:lvl w:ilvl="2">
      <w:start w:val="1"/>
      <w:numFmt w:val="decimal"/>
      <w:lvlText w:val="%1.%2.%3."/>
      <w:lvlJc w:val="left"/>
      <w:pPr>
        <w:tabs>
          <w:tab w:val="num" w:pos="2008"/>
        </w:tabs>
        <w:ind w:left="1792" w:hanging="1224"/>
      </w:pPr>
      <w:rPr>
        <w:rFonts w:hint="default"/>
        <w:sz w:val="22"/>
        <w:szCs w:val="22"/>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E312D9F"/>
    <w:multiLevelType w:val="hybridMultilevel"/>
    <w:tmpl w:val="EBAE08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FD16996"/>
    <w:multiLevelType w:val="hybridMultilevel"/>
    <w:tmpl w:val="D09A21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FD47634"/>
    <w:multiLevelType w:val="hybridMultilevel"/>
    <w:tmpl w:val="FE8CDFB6"/>
    <w:lvl w:ilvl="0" w:tplc="6F8607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03A2EF0"/>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5" w15:restartNumberingAfterBreak="0">
    <w:nsid w:val="11A10836"/>
    <w:multiLevelType w:val="hybridMultilevel"/>
    <w:tmpl w:val="9C7A7D0A"/>
    <w:lvl w:ilvl="0" w:tplc="667AD7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992286D"/>
    <w:multiLevelType w:val="hybridMultilevel"/>
    <w:tmpl w:val="4086C32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7" w15:restartNumberingAfterBreak="0">
    <w:nsid w:val="1E2776C6"/>
    <w:multiLevelType w:val="hybridMultilevel"/>
    <w:tmpl w:val="E58E1A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FFF43DC"/>
    <w:multiLevelType w:val="hybridMultilevel"/>
    <w:tmpl w:val="7884FD18"/>
    <w:lvl w:ilvl="0" w:tplc="1D00EA04">
      <w:start w:val="1"/>
      <w:numFmt w:val="decimal"/>
      <w:lvlText w:val="%1"/>
      <w:lvlJc w:val="center"/>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0E52E65"/>
    <w:multiLevelType w:val="hybridMultilevel"/>
    <w:tmpl w:val="735E77BE"/>
    <w:lvl w:ilvl="0" w:tplc="1B88B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3064FBD"/>
    <w:multiLevelType w:val="hybridMultilevel"/>
    <w:tmpl w:val="3146AE02"/>
    <w:lvl w:ilvl="0" w:tplc="30F0B694">
      <w:start w:val="1"/>
      <w:numFmt w:val="upperLetter"/>
      <w:pStyle w:val="Felsorols1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396649C"/>
    <w:multiLevelType w:val="hybridMultilevel"/>
    <w:tmpl w:val="1F2C54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3E11CCB"/>
    <w:multiLevelType w:val="hybridMultilevel"/>
    <w:tmpl w:val="BB0E9C04"/>
    <w:lvl w:ilvl="0" w:tplc="65B8DE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53361F8"/>
    <w:multiLevelType w:val="hybridMultilevel"/>
    <w:tmpl w:val="6B44973C"/>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4" w15:restartNumberingAfterBreak="0">
    <w:nsid w:val="253B7929"/>
    <w:multiLevelType w:val="hybridMultilevel"/>
    <w:tmpl w:val="F0404D5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5" w15:restartNumberingAfterBreak="0">
    <w:nsid w:val="27645838"/>
    <w:multiLevelType w:val="hybridMultilevel"/>
    <w:tmpl w:val="43DA7E10"/>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26" w15:restartNumberingAfterBreak="0">
    <w:nsid w:val="29E02373"/>
    <w:multiLevelType w:val="hybridMultilevel"/>
    <w:tmpl w:val="7BB0A1E0"/>
    <w:lvl w:ilvl="0" w:tplc="040E000F">
      <w:start w:val="1"/>
      <w:numFmt w:val="decimal"/>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7" w15:restartNumberingAfterBreak="0">
    <w:nsid w:val="2A6B09C9"/>
    <w:multiLevelType w:val="hybridMultilevel"/>
    <w:tmpl w:val="43744A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A8A3C1C"/>
    <w:multiLevelType w:val="multilevel"/>
    <w:tmpl w:val="BA6C48F0"/>
    <w:lvl w:ilvl="0">
      <w:start w:val="1"/>
      <w:numFmt w:val="ordinal"/>
      <w:pStyle w:val="Cmsor1szmozottnmhh"/>
      <w:lvlText w:val="%1"/>
      <w:lvlJc w:val="left"/>
      <w:pPr>
        <w:ind w:left="432" w:hanging="432"/>
      </w:pPr>
      <w:rPr>
        <w:rFonts w:hint="default"/>
      </w:rPr>
    </w:lvl>
    <w:lvl w:ilvl="1">
      <w:start w:val="1"/>
      <w:numFmt w:val="ordinal"/>
      <w:pStyle w:val="Cmsor2szmozottnmhh"/>
      <w:lvlText w:val="%1%2"/>
      <w:lvlJc w:val="left"/>
      <w:pPr>
        <w:ind w:left="576" w:hanging="576"/>
      </w:pPr>
      <w:rPr>
        <w:rFonts w:hint="default"/>
      </w:rPr>
    </w:lvl>
    <w:lvl w:ilvl="2">
      <w:start w:val="1"/>
      <w:numFmt w:val="ordinal"/>
      <w:pStyle w:val="Cmsor3szmozottnmhh"/>
      <w:lvlText w:val="%1%2%3"/>
      <w:lvlJc w:val="left"/>
      <w:pPr>
        <w:ind w:left="720" w:hanging="720"/>
      </w:pPr>
      <w:rPr>
        <w:rFonts w:hint="default"/>
      </w:rPr>
    </w:lvl>
    <w:lvl w:ilvl="3">
      <w:start w:val="1"/>
      <w:numFmt w:val="ordinal"/>
      <w:pStyle w:val="Cmsor4szmozottnmhh"/>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29" w15:restartNumberingAfterBreak="0">
    <w:nsid w:val="2C8E01E2"/>
    <w:multiLevelType w:val="hybridMultilevel"/>
    <w:tmpl w:val="81D2C62C"/>
    <w:lvl w:ilvl="0" w:tplc="3A22BCC6">
      <w:start w:val="1"/>
      <w:numFmt w:val="lowerRoman"/>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30" w15:restartNumberingAfterBreak="0">
    <w:nsid w:val="2D861DA4"/>
    <w:multiLevelType w:val="hybridMultilevel"/>
    <w:tmpl w:val="1B96B4EE"/>
    <w:lvl w:ilvl="0" w:tplc="884AEC2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EAC2F99"/>
    <w:multiLevelType w:val="hybridMultilevel"/>
    <w:tmpl w:val="8A068A9C"/>
    <w:lvl w:ilvl="0" w:tplc="FFEA4358">
      <w:start w:val="1"/>
      <w:numFmt w:val="bullet"/>
      <w:lvlText w:val="•"/>
      <w:lvlJc w:val="left"/>
      <w:pPr>
        <w:tabs>
          <w:tab w:val="num" w:pos="720"/>
        </w:tabs>
        <w:ind w:left="720" w:hanging="360"/>
      </w:pPr>
      <w:rPr>
        <w:rFonts w:ascii="Arial" w:hAnsi="Arial" w:hint="default"/>
      </w:rPr>
    </w:lvl>
    <w:lvl w:ilvl="1" w:tplc="055860C4" w:tentative="1">
      <w:start w:val="1"/>
      <w:numFmt w:val="bullet"/>
      <w:lvlText w:val="•"/>
      <w:lvlJc w:val="left"/>
      <w:pPr>
        <w:tabs>
          <w:tab w:val="num" w:pos="1440"/>
        </w:tabs>
        <w:ind w:left="1440" w:hanging="360"/>
      </w:pPr>
      <w:rPr>
        <w:rFonts w:ascii="Arial" w:hAnsi="Arial" w:hint="default"/>
      </w:rPr>
    </w:lvl>
    <w:lvl w:ilvl="2" w:tplc="9B102490" w:tentative="1">
      <w:start w:val="1"/>
      <w:numFmt w:val="bullet"/>
      <w:lvlText w:val="•"/>
      <w:lvlJc w:val="left"/>
      <w:pPr>
        <w:tabs>
          <w:tab w:val="num" w:pos="2160"/>
        </w:tabs>
        <w:ind w:left="2160" w:hanging="360"/>
      </w:pPr>
      <w:rPr>
        <w:rFonts w:ascii="Arial" w:hAnsi="Arial" w:hint="default"/>
      </w:rPr>
    </w:lvl>
    <w:lvl w:ilvl="3" w:tplc="FEAA7D7A" w:tentative="1">
      <w:start w:val="1"/>
      <w:numFmt w:val="bullet"/>
      <w:lvlText w:val="•"/>
      <w:lvlJc w:val="left"/>
      <w:pPr>
        <w:tabs>
          <w:tab w:val="num" w:pos="2880"/>
        </w:tabs>
        <w:ind w:left="2880" w:hanging="360"/>
      </w:pPr>
      <w:rPr>
        <w:rFonts w:ascii="Arial" w:hAnsi="Arial" w:hint="default"/>
      </w:rPr>
    </w:lvl>
    <w:lvl w:ilvl="4" w:tplc="497ECB3A" w:tentative="1">
      <w:start w:val="1"/>
      <w:numFmt w:val="bullet"/>
      <w:lvlText w:val="•"/>
      <w:lvlJc w:val="left"/>
      <w:pPr>
        <w:tabs>
          <w:tab w:val="num" w:pos="3600"/>
        </w:tabs>
        <w:ind w:left="3600" w:hanging="360"/>
      </w:pPr>
      <w:rPr>
        <w:rFonts w:ascii="Arial" w:hAnsi="Arial" w:hint="default"/>
      </w:rPr>
    </w:lvl>
    <w:lvl w:ilvl="5" w:tplc="11A42F74" w:tentative="1">
      <w:start w:val="1"/>
      <w:numFmt w:val="bullet"/>
      <w:lvlText w:val="•"/>
      <w:lvlJc w:val="left"/>
      <w:pPr>
        <w:tabs>
          <w:tab w:val="num" w:pos="4320"/>
        </w:tabs>
        <w:ind w:left="4320" w:hanging="360"/>
      </w:pPr>
      <w:rPr>
        <w:rFonts w:ascii="Arial" w:hAnsi="Arial" w:hint="default"/>
      </w:rPr>
    </w:lvl>
    <w:lvl w:ilvl="6" w:tplc="D4FA234E" w:tentative="1">
      <w:start w:val="1"/>
      <w:numFmt w:val="bullet"/>
      <w:lvlText w:val="•"/>
      <w:lvlJc w:val="left"/>
      <w:pPr>
        <w:tabs>
          <w:tab w:val="num" w:pos="5040"/>
        </w:tabs>
        <w:ind w:left="5040" w:hanging="360"/>
      </w:pPr>
      <w:rPr>
        <w:rFonts w:ascii="Arial" w:hAnsi="Arial" w:hint="default"/>
      </w:rPr>
    </w:lvl>
    <w:lvl w:ilvl="7" w:tplc="C58AB1B4" w:tentative="1">
      <w:start w:val="1"/>
      <w:numFmt w:val="bullet"/>
      <w:lvlText w:val="•"/>
      <w:lvlJc w:val="left"/>
      <w:pPr>
        <w:tabs>
          <w:tab w:val="num" w:pos="5760"/>
        </w:tabs>
        <w:ind w:left="5760" w:hanging="360"/>
      </w:pPr>
      <w:rPr>
        <w:rFonts w:ascii="Arial" w:hAnsi="Arial" w:hint="default"/>
      </w:rPr>
    </w:lvl>
    <w:lvl w:ilvl="8" w:tplc="D9F8A2F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0C709A4"/>
    <w:multiLevelType w:val="hybridMultilevel"/>
    <w:tmpl w:val="E3D4C258"/>
    <w:lvl w:ilvl="0" w:tplc="38F2EE3C">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25113BE"/>
    <w:multiLevelType w:val="hybridMultilevel"/>
    <w:tmpl w:val="38DA4FC2"/>
    <w:lvl w:ilvl="0" w:tplc="2E90CB8A">
      <w:start w:val="1"/>
      <w:numFmt w:val="bullet"/>
      <w:pStyle w:val="Lista1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38E038C"/>
    <w:multiLevelType w:val="multilevel"/>
    <w:tmpl w:val="602E1908"/>
    <w:lvl w:ilvl="0">
      <w:start w:val="1"/>
      <w:numFmt w:val="decimal"/>
      <w:pStyle w:val="Felsorols2nmh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3EB6C4E"/>
    <w:multiLevelType w:val="hybridMultilevel"/>
    <w:tmpl w:val="CA04767E"/>
    <w:lvl w:ilvl="0" w:tplc="5F72173C">
      <w:start w:val="1"/>
      <w:numFmt w:val="bullet"/>
      <w:lvlText w:val=""/>
      <w:lvlJc w:val="left"/>
      <w:pPr>
        <w:ind w:left="720" w:hanging="360"/>
      </w:pPr>
      <w:rPr>
        <w:rFonts w:ascii="Symbol" w:hAnsi="Symbol" w:hint="default"/>
      </w:rPr>
    </w:lvl>
    <w:lvl w:ilvl="1" w:tplc="5A4CAF22">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5937FE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6F33BF9"/>
    <w:multiLevelType w:val="hybridMultilevel"/>
    <w:tmpl w:val="2FCCF77C"/>
    <w:lvl w:ilvl="0" w:tplc="9000D7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A133498"/>
    <w:multiLevelType w:val="hybridMultilevel"/>
    <w:tmpl w:val="E0D85AC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9" w15:restartNumberingAfterBreak="0">
    <w:nsid w:val="3B4F7FB8"/>
    <w:multiLevelType w:val="hybridMultilevel"/>
    <w:tmpl w:val="23CA6B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D163F7A"/>
    <w:multiLevelType w:val="multilevel"/>
    <w:tmpl w:val="C51432D8"/>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E06202B"/>
    <w:multiLevelType w:val="hybridMultilevel"/>
    <w:tmpl w:val="B21ED882"/>
    <w:lvl w:ilvl="0" w:tplc="7FD0D24E">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E6733BA"/>
    <w:multiLevelType w:val="hybridMultilevel"/>
    <w:tmpl w:val="1DEC5400"/>
    <w:lvl w:ilvl="0" w:tplc="FBFEE8A4">
      <w:start w:val="1"/>
      <w:numFmt w:val="bullet"/>
      <w:pStyle w:val="Lista2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385067E"/>
    <w:multiLevelType w:val="hybridMultilevel"/>
    <w:tmpl w:val="A66272CC"/>
    <w:lvl w:ilvl="0" w:tplc="F28C776A">
      <w:start w:val="1"/>
      <w:numFmt w:val="decimal"/>
      <w:lvlText w:val="%1."/>
      <w:lvlJc w:val="left"/>
      <w:pPr>
        <w:ind w:left="717" w:hanging="360"/>
      </w:pPr>
      <w:rPr>
        <w:rFonts w:hint="default"/>
        <w:i w:val="0"/>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44" w15:restartNumberingAfterBreak="0">
    <w:nsid w:val="487F6167"/>
    <w:multiLevelType w:val="hybridMultilevel"/>
    <w:tmpl w:val="0A1EA2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8E77E54"/>
    <w:multiLevelType w:val="hybridMultilevel"/>
    <w:tmpl w:val="53C400D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6" w15:restartNumberingAfterBreak="0">
    <w:nsid w:val="48F51EBB"/>
    <w:multiLevelType w:val="hybridMultilevel"/>
    <w:tmpl w:val="3E84B5F8"/>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7" w15:restartNumberingAfterBreak="0">
    <w:nsid w:val="4E100FB5"/>
    <w:multiLevelType w:val="hybridMultilevel"/>
    <w:tmpl w:val="A7B8B486"/>
    <w:lvl w:ilvl="0" w:tplc="040E0001">
      <w:start w:val="1"/>
      <w:numFmt w:val="bullet"/>
      <w:lvlText w:val=""/>
      <w:lvlJc w:val="left"/>
      <w:pPr>
        <w:ind w:left="717" w:hanging="360"/>
      </w:pPr>
      <w:rPr>
        <w:rFonts w:ascii="Symbol" w:hAnsi="Symbol" w:hint="default"/>
        <w:i w:val="0"/>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48" w15:restartNumberingAfterBreak="0">
    <w:nsid w:val="50187145"/>
    <w:multiLevelType w:val="hybridMultilevel"/>
    <w:tmpl w:val="AD4CE798"/>
    <w:lvl w:ilvl="0" w:tplc="06A440E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51D946E4"/>
    <w:multiLevelType w:val="hybridMultilevel"/>
    <w:tmpl w:val="8F309E66"/>
    <w:lvl w:ilvl="0" w:tplc="040E0001">
      <w:start w:val="1"/>
      <w:numFmt w:val="bullet"/>
      <w:lvlText w:val=""/>
      <w:lvlJc w:val="left"/>
      <w:pPr>
        <w:ind w:left="720" w:hanging="360"/>
      </w:pPr>
      <w:rPr>
        <w:rFonts w:ascii="Symbol" w:hAnsi="Symbol" w:hint="default"/>
      </w:rPr>
    </w:lvl>
    <w:lvl w:ilvl="1" w:tplc="4470E0BE">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55893257"/>
    <w:multiLevelType w:val="hybridMultilevel"/>
    <w:tmpl w:val="F232E72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1" w15:restartNumberingAfterBreak="0">
    <w:nsid w:val="55D803E6"/>
    <w:multiLevelType w:val="hybridMultilevel"/>
    <w:tmpl w:val="6214F0BC"/>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2" w15:restartNumberingAfterBreak="0">
    <w:nsid w:val="55E6323D"/>
    <w:multiLevelType w:val="hybridMultilevel"/>
    <w:tmpl w:val="D9FE70CC"/>
    <w:lvl w:ilvl="0" w:tplc="AAD42C32">
      <w:start w:val="1"/>
      <w:numFmt w:val="bullet"/>
      <w:lvlText w:val=""/>
      <w:lvlJc w:val="left"/>
      <w:pPr>
        <w:tabs>
          <w:tab w:val="num" w:pos="-31680"/>
        </w:tabs>
        <w:ind w:left="1418" w:hanging="567"/>
      </w:pPr>
      <w:rPr>
        <w:rFonts w:ascii="Wingdings" w:hAnsi="Wingding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7620584"/>
    <w:multiLevelType w:val="hybridMultilevel"/>
    <w:tmpl w:val="C2F236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7B50BAB"/>
    <w:multiLevelType w:val="hybridMultilevel"/>
    <w:tmpl w:val="9BEAF3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5" w15:restartNumberingAfterBreak="0">
    <w:nsid w:val="5A2450A1"/>
    <w:multiLevelType w:val="multilevel"/>
    <w:tmpl w:val="34FAAEBC"/>
    <w:lvl w:ilvl="0">
      <w:start w:val="6"/>
      <w:numFmt w:val="decimal"/>
      <w:lvlText w:val="%1"/>
      <w:lvlJc w:val="left"/>
      <w:pPr>
        <w:ind w:left="450" w:hanging="450"/>
      </w:pPr>
      <w:rPr>
        <w:rFonts w:hint="default"/>
      </w:rPr>
    </w:lvl>
    <w:lvl w:ilvl="1">
      <w:start w:val="1"/>
      <w:numFmt w:val="decimal"/>
      <w:lvlText w:val="%1.%2"/>
      <w:lvlJc w:val="left"/>
      <w:pPr>
        <w:ind w:left="1077" w:hanging="720"/>
      </w:pPr>
      <w:rPr>
        <w:rFonts w:hint="default"/>
        <w:b/>
      </w:rPr>
    </w:lvl>
    <w:lvl w:ilvl="2">
      <w:start w:val="1"/>
      <w:numFmt w:val="decimal"/>
      <w:lvlText w:val="%1.%2.%3"/>
      <w:lvlJc w:val="left"/>
      <w:pPr>
        <w:ind w:left="1434" w:hanging="720"/>
      </w:pPr>
      <w:rPr>
        <w:rFonts w:hint="default"/>
      </w:rPr>
    </w:lvl>
    <w:lvl w:ilvl="3">
      <w:start w:val="1"/>
      <w:numFmt w:val="lowerLetter"/>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376" w:hanging="2520"/>
      </w:pPr>
      <w:rPr>
        <w:rFonts w:hint="default"/>
      </w:rPr>
    </w:lvl>
  </w:abstractNum>
  <w:abstractNum w:abstractNumId="56" w15:restartNumberingAfterBreak="0">
    <w:nsid w:val="5AAB2E8F"/>
    <w:multiLevelType w:val="hybridMultilevel"/>
    <w:tmpl w:val="3E20B338"/>
    <w:lvl w:ilvl="0" w:tplc="DE82B7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60864F13"/>
    <w:multiLevelType w:val="hybridMultilevel"/>
    <w:tmpl w:val="6E2E6748"/>
    <w:lvl w:ilvl="0" w:tplc="8C6C752A">
      <w:start w:val="1"/>
      <w:numFmt w:val="decimal"/>
      <w:pStyle w:val="Felsorols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288364F"/>
    <w:multiLevelType w:val="hybridMultilevel"/>
    <w:tmpl w:val="3F4460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66A067A8"/>
    <w:multiLevelType w:val="hybridMultilevel"/>
    <w:tmpl w:val="C8F26298"/>
    <w:lvl w:ilvl="0" w:tplc="4C3636B2">
      <w:start w:val="1911"/>
      <w:numFmt w:val="decimal"/>
      <w:lvlText w:val="%1"/>
      <w:lvlJc w:val="center"/>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6AF1ACB"/>
    <w:multiLevelType w:val="hybridMultilevel"/>
    <w:tmpl w:val="359E5422"/>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61" w15:restartNumberingAfterBreak="0">
    <w:nsid w:val="69093E3B"/>
    <w:multiLevelType w:val="hybridMultilevel"/>
    <w:tmpl w:val="3F96BC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B794DD3"/>
    <w:multiLevelType w:val="multilevel"/>
    <w:tmpl w:val="D17401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C247FDC"/>
    <w:multiLevelType w:val="hybridMultilevel"/>
    <w:tmpl w:val="F97CA402"/>
    <w:lvl w:ilvl="0" w:tplc="66E82FD6">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DEF2CC3"/>
    <w:multiLevelType w:val="multilevel"/>
    <w:tmpl w:val="DA2661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ECF5A1D"/>
    <w:multiLevelType w:val="hybridMultilevel"/>
    <w:tmpl w:val="25A6965E"/>
    <w:lvl w:ilvl="0" w:tplc="5AFE57CE">
      <w:start w:val="1"/>
      <w:numFmt w:val="decimal"/>
      <w:lvlText w:val="%1"/>
      <w:lvlJc w:val="left"/>
      <w:pPr>
        <w:ind w:left="502" w:hanging="360"/>
      </w:pPr>
      <w:rPr>
        <w:rFonts w:hint="default"/>
      </w:rPr>
    </w:lvl>
    <w:lvl w:ilvl="1" w:tplc="040E0019" w:tentative="1">
      <w:start w:val="1"/>
      <w:numFmt w:val="lowerLetter"/>
      <w:lvlText w:val="%2."/>
      <w:lvlJc w:val="left"/>
      <w:pPr>
        <w:ind w:left="1294" w:hanging="360"/>
      </w:pPr>
    </w:lvl>
    <w:lvl w:ilvl="2" w:tplc="040E001B" w:tentative="1">
      <w:start w:val="1"/>
      <w:numFmt w:val="lowerRoman"/>
      <w:lvlText w:val="%3."/>
      <w:lvlJc w:val="right"/>
      <w:pPr>
        <w:ind w:left="2014" w:hanging="180"/>
      </w:pPr>
    </w:lvl>
    <w:lvl w:ilvl="3" w:tplc="32AA0C7A" w:tentative="1">
      <w:start w:val="1"/>
      <w:numFmt w:val="decimal"/>
      <w:lvlText w:val="%4."/>
      <w:lvlJc w:val="left"/>
      <w:pPr>
        <w:ind w:left="2734" w:hanging="360"/>
      </w:pPr>
    </w:lvl>
    <w:lvl w:ilvl="4" w:tplc="040E0019" w:tentative="1">
      <w:start w:val="1"/>
      <w:numFmt w:val="lowerLetter"/>
      <w:lvlText w:val="%5."/>
      <w:lvlJc w:val="left"/>
      <w:pPr>
        <w:ind w:left="3454" w:hanging="360"/>
      </w:pPr>
    </w:lvl>
    <w:lvl w:ilvl="5" w:tplc="040E001B" w:tentative="1">
      <w:start w:val="1"/>
      <w:numFmt w:val="lowerRoman"/>
      <w:lvlText w:val="%6."/>
      <w:lvlJc w:val="right"/>
      <w:pPr>
        <w:ind w:left="4174" w:hanging="180"/>
      </w:pPr>
    </w:lvl>
    <w:lvl w:ilvl="6" w:tplc="040E000F" w:tentative="1">
      <w:start w:val="1"/>
      <w:numFmt w:val="decimal"/>
      <w:lvlText w:val="%7."/>
      <w:lvlJc w:val="left"/>
      <w:pPr>
        <w:ind w:left="4894" w:hanging="360"/>
      </w:pPr>
    </w:lvl>
    <w:lvl w:ilvl="7" w:tplc="040E0019" w:tentative="1">
      <w:start w:val="1"/>
      <w:numFmt w:val="lowerLetter"/>
      <w:lvlText w:val="%8."/>
      <w:lvlJc w:val="left"/>
      <w:pPr>
        <w:ind w:left="5614" w:hanging="360"/>
      </w:pPr>
    </w:lvl>
    <w:lvl w:ilvl="8" w:tplc="040E001B" w:tentative="1">
      <w:start w:val="1"/>
      <w:numFmt w:val="lowerRoman"/>
      <w:lvlText w:val="%9."/>
      <w:lvlJc w:val="right"/>
      <w:pPr>
        <w:ind w:left="6334" w:hanging="180"/>
      </w:pPr>
    </w:lvl>
  </w:abstractNum>
  <w:abstractNum w:abstractNumId="66" w15:restartNumberingAfterBreak="0">
    <w:nsid w:val="707468E0"/>
    <w:multiLevelType w:val="hybridMultilevel"/>
    <w:tmpl w:val="38D6DF9E"/>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67" w15:restartNumberingAfterBreak="0">
    <w:nsid w:val="707E568A"/>
    <w:multiLevelType w:val="hybridMultilevel"/>
    <w:tmpl w:val="383807F4"/>
    <w:lvl w:ilvl="0" w:tplc="32AA15B6">
      <w:start w:val="1"/>
      <w:numFmt w:val="decimal"/>
      <w:pStyle w:val="Irodalomjegyzkfelsorolsnmhh"/>
      <w:lvlText w:val="[%1]"/>
      <w:lvlJc w:val="left"/>
      <w:pPr>
        <w:ind w:left="360"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68" w15:restartNumberingAfterBreak="0">
    <w:nsid w:val="756E5ADA"/>
    <w:multiLevelType w:val="hybridMultilevel"/>
    <w:tmpl w:val="C2EA3E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9" w15:restartNumberingAfterBreak="0">
    <w:nsid w:val="7A4C7E35"/>
    <w:multiLevelType w:val="hybridMultilevel"/>
    <w:tmpl w:val="1B48FC5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num w:numId="1">
    <w:abstractNumId w:val="62"/>
  </w:num>
  <w:num w:numId="2">
    <w:abstractNumId w:val="62"/>
  </w:num>
  <w:num w:numId="3">
    <w:abstractNumId w:val="62"/>
  </w:num>
  <w:num w:numId="4">
    <w:abstractNumId w:val="62"/>
  </w:num>
  <w:num w:numId="5">
    <w:abstractNumId w:val="35"/>
  </w:num>
  <w:num w:numId="6">
    <w:abstractNumId w:val="35"/>
  </w:num>
  <w:num w:numId="7">
    <w:abstractNumId w:val="30"/>
  </w:num>
  <w:num w:numId="8">
    <w:abstractNumId w:val="63"/>
  </w:num>
  <w:num w:numId="9">
    <w:abstractNumId w:val="15"/>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56"/>
  </w:num>
  <w:num w:numId="19">
    <w:abstractNumId w:val="49"/>
  </w:num>
  <w:num w:numId="20">
    <w:abstractNumId w:val="32"/>
  </w:num>
  <w:num w:numId="21">
    <w:abstractNumId w:val="41"/>
  </w:num>
  <w:num w:numId="22">
    <w:abstractNumId w:val="19"/>
  </w:num>
  <w:num w:numId="23">
    <w:abstractNumId w:val="1"/>
  </w:num>
  <w:num w:numId="24">
    <w:abstractNumId w:val="0"/>
  </w:num>
  <w:num w:numId="25">
    <w:abstractNumId w:val="36"/>
  </w:num>
  <w:num w:numId="26">
    <w:abstractNumId w:val="57"/>
  </w:num>
  <w:num w:numId="27">
    <w:abstractNumId w:val="34"/>
  </w:num>
  <w:num w:numId="28">
    <w:abstractNumId w:val="20"/>
  </w:num>
  <w:num w:numId="29">
    <w:abstractNumId w:val="28"/>
  </w:num>
  <w:num w:numId="30">
    <w:abstractNumId w:val="33"/>
  </w:num>
  <w:num w:numId="31">
    <w:abstractNumId w:val="42"/>
  </w:num>
  <w:num w:numId="32">
    <w:abstractNumId w:val="67"/>
  </w:num>
  <w:num w:numId="33">
    <w:abstractNumId w:val="58"/>
  </w:num>
  <w:num w:numId="34">
    <w:abstractNumId w:val="38"/>
  </w:num>
  <w:num w:numId="35">
    <w:abstractNumId w:val="23"/>
  </w:num>
  <w:num w:numId="36">
    <w:abstractNumId w:val="12"/>
  </w:num>
  <w:num w:numId="37">
    <w:abstractNumId w:val="60"/>
  </w:num>
  <w:num w:numId="38">
    <w:abstractNumId w:val="4"/>
  </w:num>
  <w:num w:numId="39">
    <w:abstractNumId w:val="18"/>
  </w:num>
  <w:num w:numId="40">
    <w:abstractNumId w:val="59"/>
  </w:num>
  <w:num w:numId="41">
    <w:abstractNumId w:val="10"/>
  </w:num>
  <w:num w:numId="42">
    <w:abstractNumId w:val="13"/>
  </w:num>
  <w:num w:numId="43">
    <w:abstractNumId w:val="5"/>
  </w:num>
  <w:num w:numId="44">
    <w:abstractNumId w:val="37"/>
  </w:num>
  <w:num w:numId="45">
    <w:abstractNumId w:val="7"/>
  </w:num>
  <w:num w:numId="46">
    <w:abstractNumId w:val="22"/>
  </w:num>
  <w:num w:numId="47">
    <w:abstractNumId w:val="65"/>
  </w:num>
  <w:num w:numId="48">
    <w:abstractNumId w:val="52"/>
  </w:num>
  <w:num w:numId="49">
    <w:abstractNumId w:val="43"/>
  </w:num>
  <w:num w:numId="50">
    <w:abstractNumId w:val="68"/>
  </w:num>
  <w:num w:numId="51">
    <w:abstractNumId w:val="45"/>
  </w:num>
  <w:num w:numId="52">
    <w:abstractNumId w:val="39"/>
  </w:num>
  <w:num w:numId="53">
    <w:abstractNumId w:val="17"/>
  </w:num>
  <w:num w:numId="54">
    <w:abstractNumId w:val="48"/>
  </w:num>
  <w:num w:numId="55">
    <w:abstractNumId w:val="29"/>
  </w:num>
  <w:num w:numId="56">
    <w:abstractNumId w:val="26"/>
  </w:num>
  <w:num w:numId="57">
    <w:abstractNumId w:val="40"/>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51"/>
  </w:num>
  <w:num w:numId="61">
    <w:abstractNumId w:val="66"/>
  </w:num>
  <w:num w:numId="62">
    <w:abstractNumId w:val="25"/>
  </w:num>
  <w:num w:numId="63">
    <w:abstractNumId w:val="64"/>
  </w:num>
  <w:num w:numId="64">
    <w:abstractNumId w:val="24"/>
  </w:num>
  <w:num w:numId="65">
    <w:abstractNumId w:val="27"/>
  </w:num>
  <w:num w:numId="66">
    <w:abstractNumId w:val="8"/>
  </w:num>
  <w:num w:numId="67">
    <w:abstractNumId w:val="61"/>
  </w:num>
  <w:num w:numId="68">
    <w:abstractNumId w:val="53"/>
  </w:num>
  <w:num w:numId="69">
    <w:abstractNumId w:val="9"/>
  </w:num>
  <w:num w:numId="70">
    <w:abstractNumId w:val="21"/>
  </w:num>
  <w:num w:numId="71">
    <w:abstractNumId w:val="3"/>
  </w:num>
  <w:num w:numId="72">
    <w:abstractNumId w:val="11"/>
  </w:num>
  <w:num w:numId="73">
    <w:abstractNumId w:val="44"/>
  </w:num>
  <w:num w:numId="74">
    <w:abstractNumId w:val="54"/>
  </w:num>
  <w:num w:numId="75">
    <w:abstractNumId w:val="31"/>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num>
  <w:num w:numId="78">
    <w:abstractNumId w:val="47"/>
  </w:num>
  <w:num w:numId="79">
    <w:abstractNumId w:val="6"/>
  </w:num>
  <w:num w:numId="80">
    <w:abstractNumId w:val="46"/>
  </w:num>
  <w:num w:numId="81">
    <w:abstractNumId w:val="55"/>
  </w:num>
  <w:num w:numId="82">
    <w:abstractNumId w:val="2"/>
  </w:num>
  <w:num w:numId="83">
    <w:abstractNumId w:val="28"/>
  </w:num>
  <w:num w:numId="84">
    <w:abstractNumId w:val="28"/>
  </w:num>
  <w:num w:numId="85">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79"/>
    <w:rsid w:val="00004F77"/>
    <w:rsid w:val="00007C9D"/>
    <w:rsid w:val="00011730"/>
    <w:rsid w:val="000200DA"/>
    <w:rsid w:val="00027C0E"/>
    <w:rsid w:val="0003045F"/>
    <w:rsid w:val="00031065"/>
    <w:rsid w:val="00031851"/>
    <w:rsid w:val="00035E1D"/>
    <w:rsid w:val="00041388"/>
    <w:rsid w:val="0005034B"/>
    <w:rsid w:val="00052700"/>
    <w:rsid w:val="00052F3B"/>
    <w:rsid w:val="0005360D"/>
    <w:rsid w:val="000539FF"/>
    <w:rsid w:val="000544B2"/>
    <w:rsid w:val="000547B1"/>
    <w:rsid w:val="00064DDA"/>
    <w:rsid w:val="0007682C"/>
    <w:rsid w:val="00086DCE"/>
    <w:rsid w:val="00096F05"/>
    <w:rsid w:val="000A4467"/>
    <w:rsid w:val="000A55EE"/>
    <w:rsid w:val="000B1191"/>
    <w:rsid w:val="000C1A87"/>
    <w:rsid w:val="000C35B6"/>
    <w:rsid w:val="000D0B0A"/>
    <w:rsid w:val="000E02F4"/>
    <w:rsid w:val="000E0FE8"/>
    <w:rsid w:val="000E2DC9"/>
    <w:rsid w:val="000E7111"/>
    <w:rsid w:val="000E782B"/>
    <w:rsid w:val="000F2E37"/>
    <w:rsid w:val="0010133C"/>
    <w:rsid w:val="001055DF"/>
    <w:rsid w:val="0011064A"/>
    <w:rsid w:val="00111B91"/>
    <w:rsid w:val="00112EBF"/>
    <w:rsid w:val="00120DBD"/>
    <w:rsid w:val="0013034F"/>
    <w:rsid w:val="00132507"/>
    <w:rsid w:val="00133E39"/>
    <w:rsid w:val="00136C02"/>
    <w:rsid w:val="0014299B"/>
    <w:rsid w:val="00147296"/>
    <w:rsid w:val="001479E7"/>
    <w:rsid w:val="00150A8F"/>
    <w:rsid w:val="001524F4"/>
    <w:rsid w:val="00156550"/>
    <w:rsid w:val="00172E2E"/>
    <w:rsid w:val="00175C1F"/>
    <w:rsid w:val="00176004"/>
    <w:rsid w:val="00177EA0"/>
    <w:rsid w:val="00181636"/>
    <w:rsid w:val="0018720A"/>
    <w:rsid w:val="00187EEB"/>
    <w:rsid w:val="0019052D"/>
    <w:rsid w:val="001A3BDC"/>
    <w:rsid w:val="001B0569"/>
    <w:rsid w:val="001B379D"/>
    <w:rsid w:val="001B5456"/>
    <w:rsid w:val="001B6E5A"/>
    <w:rsid w:val="001C0301"/>
    <w:rsid w:val="001C3EC9"/>
    <w:rsid w:val="001C5172"/>
    <w:rsid w:val="001C76E1"/>
    <w:rsid w:val="001D161F"/>
    <w:rsid w:val="001E183F"/>
    <w:rsid w:val="001E1AD8"/>
    <w:rsid w:val="001E4194"/>
    <w:rsid w:val="001E5FD0"/>
    <w:rsid w:val="0020290F"/>
    <w:rsid w:val="00202CF5"/>
    <w:rsid w:val="00217ADA"/>
    <w:rsid w:val="00221007"/>
    <w:rsid w:val="00221F22"/>
    <w:rsid w:val="00247462"/>
    <w:rsid w:val="002502C6"/>
    <w:rsid w:val="00251B86"/>
    <w:rsid w:val="00260CB3"/>
    <w:rsid w:val="002615D3"/>
    <w:rsid w:val="00263376"/>
    <w:rsid w:val="002723C1"/>
    <w:rsid w:val="00274A4E"/>
    <w:rsid w:val="0029389B"/>
    <w:rsid w:val="00295A10"/>
    <w:rsid w:val="00296849"/>
    <w:rsid w:val="002A4C44"/>
    <w:rsid w:val="002A65F7"/>
    <w:rsid w:val="002B52A1"/>
    <w:rsid w:val="002C121F"/>
    <w:rsid w:val="002C361E"/>
    <w:rsid w:val="002C712E"/>
    <w:rsid w:val="002E1847"/>
    <w:rsid w:val="002E671D"/>
    <w:rsid w:val="002F3A6D"/>
    <w:rsid w:val="00301E0E"/>
    <w:rsid w:val="00334E46"/>
    <w:rsid w:val="003412A1"/>
    <w:rsid w:val="00355337"/>
    <w:rsid w:val="003712AF"/>
    <w:rsid w:val="00374CA0"/>
    <w:rsid w:val="003808B8"/>
    <w:rsid w:val="003A033D"/>
    <w:rsid w:val="003A1122"/>
    <w:rsid w:val="003A4DD8"/>
    <w:rsid w:val="003A768A"/>
    <w:rsid w:val="003B10BE"/>
    <w:rsid w:val="003B776B"/>
    <w:rsid w:val="003C53E6"/>
    <w:rsid w:val="003C7C94"/>
    <w:rsid w:val="003D2A7A"/>
    <w:rsid w:val="003E3BF8"/>
    <w:rsid w:val="003E75CB"/>
    <w:rsid w:val="00407364"/>
    <w:rsid w:val="00407ED1"/>
    <w:rsid w:val="004102FB"/>
    <w:rsid w:val="0041145C"/>
    <w:rsid w:val="00414891"/>
    <w:rsid w:val="00414DEF"/>
    <w:rsid w:val="00420452"/>
    <w:rsid w:val="00422524"/>
    <w:rsid w:val="00423DF2"/>
    <w:rsid w:val="004275D0"/>
    <w:rsid w:val="00427DE8"/>
    <w:rsid w:val="004308EB"/>
    <w:rsid w:val="00430B47"/>
    <w:rsid w:val="00434D92"/>
    <w:rsid w:val="00440197"/>
    <w:rsid w:val="00442017"/>
    <w:rsid w:val="00444F7E"/>
    <w:rsid w:val="004709B2"/>
    <w:rsid w:val="00477C09"/>
    <w:rsid w:val="004824D5"/>
    <w:rsid w:val="00487B2A"/>
    <w:rsid w:val="00491F9E"/>
    <w:rsid w:val="004942E2"/>
    <w:rsid w:val="004E27BC"/>
    <w:rsid w:val="004E55F3"/>
    <w:rsid w:val="004F04A4"/>
    <w:rsid w:val="004F25E2"/>
    <w:rsid w:val="005068A7"/>
    <w:rsid w:val="0051176C"/>
    <w:rsid w:val="00517579"/>
    <w:rsid w:val="00521B61"/>
    <w:rsid w:val="005243EA"/>
    <w:rsid w:val="00531AF5"/>
    <w:rsid w:val="00532807"/>
    <w:rsid w:val="00532E5A"/>
    <w:rsid w:val="00537B19"/>
    <w:rsid w:val="00537E6B"/>
    <w:rsid w:val="005443A7"/>
    <w:rsid w:val="0055573E"/>
    <w:rsid w:val="00561445"/>
    <w:rsid w:val="0056442F"/>
    <w:rsid w:val="00565FDE"/>
    <w:rsid w:val="0056702B"/>
    <w:rsid w:val="00580851"/>
    <w:rsid w:val="005833AB"/>
    <w:rsid w:val="005947D8"/>
    <w:rsid w:val="00594FCC"/>
    <w:rsid w:val="00596217"/>
    <w:rsid w:val="005A0C65"/>
    <w:rsid w:val="005A2169"/>
    <w:rsid w:val="005B1FA2"/>
    <w:rsid w:val="005C099E"/>
    <w:rsid w:val="005C3306"/>
    <w:rsid w:val="005D0D74"/>
    <w:rsid w:val="005E2911"/>
    <w:rsid w:val="005E5163"/>
    <w:rsid w:val="005F04B2"/>
    <w:rsid w:val="005F14D6"/>
    <w:rsid w:val="00603A44"/>
    <w:rsid w:val="006159D3"/>
    <w:rsid w:val="00626ACE"/>
    <w:rsid w:val="00637ECD"/>
    <w:rsid w:val="00646E97"/>
    <w:rsid w:val="00673892"/>
    <w:rsid w:val="006762F0"/>
    <w:rsid w:val="0067677D"/>
    <w:rsid w:val="006A18B0"/>
    <w:rsid w:val="006A2CB3"/>
    <w:rsid w:val="006A365F"/>
    <w:rsid w:val="006A682B"/>
    <w:rsid w:val="006A70B7"/>
    <w:rsid w:val="006B2150"/>
    <w:rsid w:val="006B5A93"/>
    <w:rsid w:val="006B7414"/>
    <w:rsid w:val="006C0B6B"/>
    <w:rsid w:val="006C1538"/>
    <w:rsid w:val="006C7E2D"/>
    <w:rsid w:val="006D055B"/>
    <w:rsid w:val="006E1262"/>
    <w:rsid w:val="006E5C5B"/>
    <w:rsid w:val="00700BD4"/>
    <w:rsid w:val="00702FCC"/>
    <w:rsid w:val="00713C40"/>
    <w:rsid w:val="0071427B"/>
    <w:rsid w:val="00714B17"/>
    <w:rsid w:val="00721C70"/>
    <w:rsid w:val="00722102"/>
    <w:rsid w:val="00723A9D"/>
    <w:rsid w:val="00726933"/>
    <w:rsid w:val="00726ACA"/>
    <w:rsid w:val="00731308"/>
    <w:rsid w:val="0073287D"/>
    <w:rsid w:val="00733037"/>
    <w:rsid w:val="007357FF"/>
    <w:rsid w:val="00755618"/>
    <w:rsid w:val="00763B3C"/>
    <w:rsid w:val="007827A9"/>
    <w:rsid w:val="00793636"/>
    <w:rsid w:val="007940BD"/>
    <w:rsid w:val="00796A84"/>
    <w:rsid w:val="007A2E3B"/>
    <w:rsid w:val="007B2341"/>
    <w:rsid w:val="007B30DB"/>
    <w:rsid w:val="007B55E4"/>
    <w:rsid w:val="007C45D4"/>
    <w:rsid w:val="007C622B"/>
    <w:rsid w:val="007E4F22"/>
    <w:rsid w:val="007F203A"/>
    <w:rsid w:val="007F48EE"/>
    <w:rsid w:val="007F518E"/>
    <w:rsid w:val="00807C5F"/>
    <w:rsid w:val="00815D6D"/>
    <w:rsid w:val="008168DE"/>
    <w:rsid w:val="008257C5"/>
    <w:rsid w:val="00827BFE"/>
    <w:rsid w:val="00831D9A"/>
    <w:rsid w:val="00836A70"/>
    <w:rsid w:val="00843F16"/>
    <w:rsid w:val="0084474B"/>
    <w:rsid w:val="00847983"/>
    <w:rsid w:val="008613B5"/>
    <w:rsid w:val="00862237"/>
    <w:rsid w:val="00867426"/>
    <w:rsid w:val="008767E1"/>
    <w:rsid w:val="00880050"/>
    <w:rsid w:val="008827A9"/>
    <w:rsid w:val="00886386"/>
    <w:rsid w:val="00893306"/>
    <w:rsid w:val="00896DD2"/>
    <w:rsid w:val="008A0A97"/>
    <w:rsid w:val="008A3453"/>
    <w:rsid w:val="008B0660"/>
    <w:rsid w:val="008B1574"/>
    <w:rsid w:val="008B4D11"/>
    <w:rsid w:val="008B5767"/>
    <w:rsid w:val="008C36D2"/>
    <w:rsid w:val="008C3C16"/>
    <w:rsid w:val="008C63E0"/>
    <w:rsid w:val="008D118F"/>
    <w:rsid w:val="008D1919"/>
    <w:rsid w:val="008D30AE"/>
    <w:rsid w:val="008D44C5"/>
    <w:rsid w:val="008D550A"/>
    <w:rsid w:val="008D5F59"/>
    <w:rsid w:val="008E78EF"/>
    <w:rsid w:val="008F40DD"/>
    <w:rsid w:val="008F7774"/>
    <w:rsid w:val="00900816"/>
    <w:rsid w:val="009166F7"/>
    <w:rsid w:val="00922E0D"/>
    <w:rsid w:val="00926AD6"/>
    <w:rsid w:val="00930A7D"/>
    <w:rsid w:val="00932363"/>
    <w:rsid w:val="00941E4B"/>
    <w:rsid w:val="009452D4"/>
    <w:rsid w:val="00947D16"/>
    <w:rsid w:val="00954F12"/>
    <w:rsid w:val="00964C30"/>
    <w:rsid w:val="00964EC1"/>
    <w:rsid w:val="009678E7"/>
    <w:rsid w:val="00967E7A"/>
    <w:rsid w:val="00973133"/>
    <w:rsid w:val="00973841"/>
    <w:rsid w:val="00977123"/>
    <w:rsid w:val="00981A84"/>
    <w:rsid w:val="00983E9F"/>
    <w:rsid w:val="0099208A"/>
    <w:rsid w:val="00992839"/>
    <w:rsid w:val="00992927"/>
    <w:rsid w:val="009A593A"/>
    <w:rsid w:val="009A59CD"/>
    <w:rsid w:val="009B57FA"/>
    <w:rsid w:val="009C0AF0"/>
    <w:rsid w:val="009C5298"/>
    <w:rsid w:val="009D03D9"/>
    <w:rsid w:val="009D2D9F"/>
    <w:rsid w:val="009D3535"/>
    <w:rsid w:val="009D4022"/>
    <w:rsid w:val="009D432E"/>
    <w:rsid w:val="009D6950"/>
    <w:rsid w:val="009E7932"/>
    <w:rsid w:val="009F3A19"/>
    <w:rsid w:val="009F433D"/>
    <w:rsid w:val="009F690B"/>
    <w:rsid w:val="009F7188"/>
    <w:rsid w:val="00A016D8"/>
    <w:rsid w:val="00A05450"/>
    <w:rsid w:val="00A126A6"/>
    <w:rsid w:val="00A239B5"/>
    <w:rsid w:val="00A336F6"/>
    <w:rsid w:val="00A36DDD"/>
    <w:rsid w:val="00A42101"/>
    <w:rsid w:val="00A46EC4"/>
    <w:rsid w:val="00A56D0C"/>
    <w:rsid w:val="00A57800"/>
    <w:rsid w:val="00A6000D"/>
    <w:rsid w:val="00A65ECD"/>
    <w:rsid w:val="00A70C6D"/>
    <w:rsid w:val="00A72B76"/>
    <w:rsid w:val="00A733CE"/>
    <w:rsid w:val="00A74EFB"/>
    <w:rsid w:val="00A75DAB"/>
    <w:rsid w:val="00A76701"/>
    <w:rsid w:val="00A77B04"/>
    <w:rsid w:val="00A8047A"/>
    <w:rsid w:val="00A843D1"/>
    <w:rsid w:val="00A911D5"/>
    <w:rsid w:val="00A96019"/>
    <w:rsid w:val="00A96819"/>
    <w:rsid w:val="00AA2862"/>
    <w:rsid w:val="00AA3C2D"/>
    <w:rsid w:val="00AA4778"/>
    <w:rsid w:val="00AA47DC"/>
    <w:rsid w:val="00AA73A4"/>
    <w:rsid w:val="00AB2EE5"/>
    <w:rsid w:val="00AB6891"/>
    <w:rsid w:val="00AB7288"/>
    <w:rsid w:val="00AC59A5"/>
    <w:rsid w:val="00AC6808"/>
    <w:rsid w:val="00AE0B66"/>
    <w:rsid w:val="00AE0D67"/>
    <w:rsid w:val="00AE63CA"/>
    <w:rsid w:val="00AF6016"/>
    <w:rsid w:val="00B00DE2"/>
    <w:rsid w:val="00B05124"/>
    <w:rsid w:val="00B24D20"/>
    <w:rsid w:val="00B30331"/>
    <w:rsid w:val="00B3090D"/>
    <w:rsid w:val="00B312BB"/>
    <w:rsid w:val="00B312D7"/>
    <w:rsid w:val="00B35F39"/>
    <w:rsid w:val="00B47447"/>
    <w:rsid w:val="00B4773E"/>
    <w:rsid w:val="00B5106F"/>
    <w:rsid w:val="00B525C2"/>
    <w:rsid w:val="00B529FC"/>
    <w:rsid w:val="00B6079D"/>
    <w:rsid w:val="00B60818"/>
    <w:rsid w:val="00B613D6"/>
    <w:rsid w:val="00B73B22"/>
    <w:rsid w:val="00B765BF"/>
    <w:rsid w:val="00B86588"/>
    <w:rsid w:val="00B91523"/>
    <w:rsid w:val="00B944E9"/>
    <w:rsid w:val="00B956E3"/>
    <w:rsid w:val="00B97269"/>
    <w:rsid w:val="00B97D95"/>
    <w:rsid w:val="00BA47A0"/>
    <w:rsid w:val="00BA53EF"/>
    <w:rsid w:val="00BC3CC1"/>
    <w:rsid w:val="00BC6786"/>
    <w:rsid w:val="00BD5A55"/>
    <w:rsid w:val="00BE2C21"/>
    <w:rsid w:val="00BE2CCE"/>
    <w:rsid w:val="00C14E36"/>
    <w:rsid w:val="00C20E17"/>
    <w:rsid w:val="00C27625"/>
    <w:rsid w:val="00C44441"/>
    <w:rsid w:val="00C552D7"/>
    <w:rsid w:val="00C56362"/>
    <w:rsid w:val="00C61CEF"/>
    <w:rsid w:val="00C664AE"/>
    <w:rsid w:val="00C66DAE"/>
    <w:rsid w:val="00C74881"/>
    <w:rsid w:val="00C86D6D"/>
    <w:rsid w:val="00CA46D4"/>
    <w:rsid w:val="00CA6B29"/>
    <w:rsid w:val="00CB341D"/>
    <w:rsid w:val="00CC1B36"/>
    <w:rsid w:val="00CD0584"/>
    <w:rsid w:val="00CD5192"/>
    <w:rsid w:val="00CE2002"/>
    <w:rsid w:val="00CE5A15"/>
    <w:rsid w:val="00CF03A4"/>
    <w:rsid w:val="00CF389E"/>
    <w:rsid w:val="00CF59EA"/>
    <w:rsid w:val="00D03C6C"/>
    <w:rsid w:val="00D11975"/>
    <w:rsid w:val="00D12E43"/>
    <w:rsid w:val="00D14AC5"/>
    <w:rsid w:val="00D15B5A"/>
    <w:rsid w:val="00D20534"/>
    <w:rsid w:val="00D26F49"/>
    <w:rsid w:val="00D30477"/>
    <w:rsid w:val="00D33548"/>
    <w:rsid w:val="00D37C1D"/>
    <w:rsid w:val="00D41053"/>
    <w:rsid w:val="00D43693"/>
    <w:rsid w:val="00D44A3A"/>
    <w:rsid w:val="00D46C12"/>
    <w:rsid w:val="00D54515"/>
    <w:rsid w:val="00D56062"/>
    <w:rsid w:val="00D57466"/>
    <w:rsid w:val="00D625D3"/>
    <w:rsid w:val="00D63975"/>
    <w:rsid w:val="00D644FD"/>
    <w:rsid w:val="00D659E2"/>
    <w:rsid w:val="00D850E2"/>
    <w:rsid w:val="00D96CED"/>
    <w:rsid w:val="00DB14C0"/>
    <w:rsid w:val="00DB6558"/>
    <w:rsid w:val="00DC0327"/>
    <w:rsid w:val="00DC0CDB"/>
    <w:rsid w:val="00DD42BE"/>
    <w:rsid w:val="00DE5B17"/>
    <w:rsid w:val="00E018A8"/>
    <w:rsid w:val="00E3177D"/>
    <w:rsid w:val="00E67378"/>
    <w:rsid w:val="00E71915"/>
    <w:rsid w:val="00E9113D"/>
    <w:rsid w:val="00E9176B"/>
    <w:rsid w:val="00EA1A18"/>
    <w:rsid w:val="00EB3D55"/>
    <w:rsid w:val="00EC5668"/>
    <w:rsid w:val="00ED05C2"/>
    <w:rsid w:val="00EE02F0"/>
    <w:rsid w:val="00EE3986"/>
    <w:rsid w:val="00EF036F"/>
    <w:rsid w:val="00EF25CE"/>
    <w:rsid w:val="00F26C1C"/>
    <w:rsid w:val="00F32D91"/>
    <w:rsid w:val="00F431E2"/>
    <w:rsid w:val="00F53429"/>
    <w:rsid w:val="00F54787"/>
    <w:rsid w:val="00F54E17"/>
    <w:rsid w:val="00F57A8C"/>
    <w:rsid w:val="00F61B55"/>
    <w:rsid w:val="00F66781"/>
    <w:rsid w:val="00F702B7"/>
    <w:rsid w:val="00F728B3"/>
    <w:rsid w:val="00F77911"/>
    <w:rsid w:val="00F8274E"/>
    <w:rsid w:val="00F83C49"/>
    <w:rsid w:val="00F92470"/>
    <w:rsid w:val="00F942AA"/>
    <w:rsid w:val="00F96453"/>
    <w:rsid w:val="00FA3A54"/>
    <w:rsid w:val="00FC1FD9"/>
    <w:rsid w:val="00FD5791"/>
    <w:rsid w:val="00FE2637"/>
    <w:rsid w:val="00FE55B1"/>
    <w:rsid w:val="00FE66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24DE"/>
  <w15:docId w15:val="{7A84C8CC-7ED0-40AE-A24B-A16E2BCF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Bekezdés"/>
    <w:pPr>
      <w:spacing w:after="120"/>
      <w:jc w:val="both"/>
    </w:pPr>
  </w:style>
  <w:style w:type="paragraph" w:styleId="Cmsor1">
    <w:name w:val="heading 1"/>
    <w:aliases w:val="ECC Heading 1"/>
    <w:basedOn w:val="Norml"/>
    <w:next w:val="Norml"/>
    <w:link w:val="Cmsor1Char"/>
    <w:qFormat/>
    <w:pPr>
      <w:keepNext/>
      <w:keepLines/>
      <w:numPr>
        <w:numId w:val="17"/>
      </w:numPr>
      <w:spacing w:after="240"/>
      <w:outlineLvl w:val="0"/>
    </w:pPr>
    <w:rPr>
      <w:rFonts w:asciiTheme="majorHAnsi" w:eastAsiaTheme="majorEastAsia" w:hAnsiTheme="majorHAnsi" w:cstheme="majorBidi"/>
      <w:b/>
      <w:bCs/>
      <w:color w:val="000000" w:themeColor="text2" w:themeShade="BF"/>
      <w:sz w:val="32"/>
      <w:szCs w:val="28"/>
    </w:rPr>
  </w:style>
  <w:style w:type="paragraph" w:styleId="Cmsor2">
    <w:name w:val="heading 2"/>
    <w:aliases w:val="ECC Heading 2"/>
    <w:basedOn w:val="Norml"/>
    <w:next w:val="Norml"/>
    <w:link w:val="Cmsor2Char"/>
    <w:unhideWhenUsed/>
    <w:qFormat/>
    <w:pPr>
      <w:keepNext/>
      <w:keepLines/>
      <w:numPr>
        <w:ilvl w:val="1"/>
        <w:numId w:val="17"/>
      </w:numPr>
      <w:spacing w:after="240"/>
      <w:outlineLvl w:val="1"/>
    </w:pPr>
    <w:rPr>
      <w:rFonts w:asciiTheme="majorHAnsi" w:eastAsiaTheme="majorEastAsia" w:hAnsiTheme="majorHAnsi" w:cstheme="majorBidi"/>
      <w:b/>
      <w:bCs/>
      <w:color w:val="666666" w:themeColor="text2" w:themeTint="99"/>
      <w:sz w:val="28"/>
      <w:szCs w:val="26"/>
    </w:rPr>
  </w:style>
  <w:style w:type="paragraph" w:styleId="Cmsor3">
    <w:name w:val="heading 3"/>
    <w:aliases w:val="ECC Heading 3"/>
    <w:basedOn w:val="Norml"/>
    <w:next w:val="Norml"/>
    <w:link w:val="Cmsor3Char"/>
    <w:unhideWhenUsed/>
    <w:qFormat/>
    <w:pPr>
      <w:keepNext/>
      <w:keepLines/>
      <w:numPr>
        <w:ilvl w:val="2"/>
        <w:numId w:val="17"/>
      </w:numPr>
      <w:spacing w:after="240"/>
      <w:outlineLvl w:val="2"/>
    </w:pPr>
    <w:rPr>
      <w:rFonts w:asciiTheme="majorHAnsi" w:eastAsiaTheme="majorEastAsia" w:hAnsiTheme="majorHAnsi" w:cstheme="majorBidi"/>
      <w:b/>
      <w:bCs/>
      <w:color w:val="999999" w:themeColor="text2" w:themeTint="66"/>
      <w:sz w:val="24"/>
    </w:rPr>
  </w:style>
  <w:style w:type="paragraph" w:styleId="Cmsor4">
    <w:name w:val="heading 4"/>
    <w:aliases w:val="ECC Heading 4"/>
    <w:basedOn w:val="Norml"/>
    <w:next w:val="Norml"/>
    <w:link w:val="Cmsor4Char"/>
    <w:unhideWhenUsed/>
    <w:qFormat/>
    <w:pPr>
      <w:keepNext/>
      <w:keepLines/>
      <w:numPr>
        <w:ilvl w:val="3"/>
        <w:numId w:val="17"/>
      </w:numPr>
      <w:outlineLvl w:val="3"/>
    </w:pPr>
    <w:rPr>
      <w:rFonts w:asciiTheme="majorHAnsi" w:eastAsiaTheme="majorEastAsia" w:hAnsiTheme="majorHAnsi" w:cstheme="majorBidi"/>
      <w:b/>
      <w:bCs/>
      <w:iCs/>
      <w:color w:val="CCCCCC" w:themeColor="text2" w:themeTint="33"/>
    </w:rPr>
  </w:style>
  <w:style w:type="paragraph" w:styleId="Cmsor5">
    <w:name w:val="heading 5"/>
    <w:basedOn w:val="Norml"/>
    <w:next w:val="Norml"/>
    <w:link w:val="Cmsor5Char"/>
    <w:unhideWhenUsed/>
    <w:qFormat/>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nhideWhenUsed/>
    <w:qFormat/>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nhideWhenUsed/>
    <w:qFormat/>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nhideWhenUsed/>
    <w:qFormat/>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CC Heading 1 Char"/>
    <w:basedOn w:val="Bekezdsalapbettpusa"/>
    <w:link w:val="Cmsor1"/>
    <w:uiPriority w:val="9"/>
    <w:rPr>
      <w:rFonts w:asciiTheme="majorHAnsi" w:eastAsiaTheme="majorEastAsia" w:hAnsiTheme="majorHAnsi" w:cstheme="majorBidi"/>
      <w:b/>
      <w:bCs/>
      <w:color w:val="000000" w:themeColor="text2" w:themeShade="BF"/>
      <w:sz w:val="32"/>
      <w:szCs w:val="28"/>
    </w:rPr>
  </w:style>
  <w:style w:type="paragraph" w:styleId="Tartalomjegyzkcmsora">
    <w:name w:val="TOC Heading"/>
    <w:basedOn w:val="Cmsor1"/>
    <w:next w:val="Norml"/>
    <w:link w:val="TartalomjegyzkcmsoraChar"/>
    <w:uiPriority w:val="39"/>
    <w:unhideWhenUsed/>
    <w:pPr>
      <w:numPr>
        <w:numId w:val="0"/>
      </w:numPr>
      <w:outlineLvl w:val="9"/>
    </w:pPr>
  </w:style>
  <w:style w:type="paragraph" w:styleId="lfej">
    <w:name w:val="header"/>
    <w:aliases w:val="encabezado,he,header odd,header odd1,header odd2,header"/>
    <w:basedOn w:val="Norml"/>
    <w:link w:val="lfejChar"/>
    <w:unhideWhenUsed/>
    <w:pPr>
      <w:tabs>
        <w:tab w:val="center" w:pos="4536"/>
        <w:tab w:val="right" w:pos="9072"/>
      </w:tabs>
      <w:spacing w:after="0" w:line="240" w:lineRule="auto"/>
    </w:pPr>
  </w:style>
  <w:style w:type="paragraph" w:styleId="Listaszerbekezds">
    <w:name w:val="List Paragraph"/>
    <w:basedOn w:val="Norml"/>
    <w:link w:val="ListaszerbekezdsChar"/>
    <w:uiPriority w:val="34"/>
    <w:qFormat/>
    <w:pPr>
      <w:ind w:left="720"/>
      <w:contextualSpacing/>
    </w:pPr>
  </w:style>
  <w:style w:type="character" w:customStyle="1" w:styleId="lfejChar">
    <w:name w:val="Élőfej Char"/>
    <w:aliases w:val="encabezado Char,he Char,header odd Char,header odd1 Char,header odd2 Char,header Char"/>
    <w:basedOn w:val="Bekezdsalapbettpusa"/>
    <w:link w:val="lfej"/>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customStyle="1" w:styleId="Cmnmhh">
    <w:name w:val="Cím_nmhh"/>
    <w:basedOn w:val="Cm"/>
    <w:qFormat/>
    <w:pPr>
      <w:pBdr>
        <w:bottom w:val="none" w:sz="0" w:space="0" w:color="auto"/>
      </w:pBdr>
      <w:spacing w:after="480" w:line="720" w:lineRule="exact"/>
      <w:ind w:left="890"/>
      <w:contextualSpacing w:val="0"/>
      <w:jc w:val="left"/>
    </w:pPr>
    <w:rPr>
      <w:b/>
      <w:color w:val="0556A5"/>
      <w:sz w:val="60"/>
    </w:rPr>
  </w:style>
  <w:style w:type="paragraph" w:customStyle="1" w:styleId="Osztlynmhh">
    <w:name w:val="Osztály_nmhh"/>
    <w:basedOn w:val="Norml"/>
    <w:next w:val="Norml"/>
    <w:qFormat/>
    <w:pPr>
      <w:spacing w:after="0"/>
      <w:ind w:left="890"/>
      <w:jc w:val="left"/>
    </w:pPr>
    <w:rPr>
      <w:caps/>
      <w:color w:val="43525A"/>
      <w:sz w:val="36"/>
    </w:rPr>
  </w:style>
  <w:style w:type="paragraph" w:styleId="Cm">
    <w:name w:val="Title"/>
    <w:basedOn w:val="Norml"/>
    <w:next w:val="Norml"/>
    <w:link w:val="Cm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mChar">
    <w:name w:val="Cím Char"/>
    <w:basedOn w:val="Bekezdsalapbettpusa"/>
    <w:link w:val="Cm"/>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Bortlapegybnmhh">
    <w:name w:val="Borítólap egyéb_nmhh"/>
    <w:basedOn w:val="Norml"/>
    <w:link w:val="BortlapegybnmhhChar"/>
    <w:qFormat/>
    <w:pPr>
      <w:spacing w:after="0"/>
      <w:ind w:left="890"/>
      <w:jc w:val="left"/>
    </w:pPr>
    <w:rPr>
      <w:color w:val="43525A"/>
      <w:sz w:val="30"/>
    </w:rPr>
  </w:style>
  <w:style w:type="paragraph" w:customStyle="1" w:styleId="Tartalomjegyzkcmsoranmhh">
    <w:name w:val="Tartalomjegyzék_címsora_nmhh"/>
    <w:basedOn w:val="Tartalomjegyzkcmsora"/>
    <w:link w:val="TartalomjegyzkcmsoranmhhChar"/>
    <w:qFormat/>
    <w:rPr>
      <w:color w:val="43525A"/>
      <w:sz w:val="36"/>
    </w:rPr>
  </w:style>
  <w:style w:type="character" w:customStyle="1" w:styleId="BortlapegybnmhhChar">
    <w:name w:val="Borítólap egyéb_nmhh Char"/>
    <w:basedOn w:val="Bekezdsalapbettpusa"/>
    <w:link w:val="Bortlapegybnmhh"/>
    <w:rPr>
      <w:color w:val="43525A"/>
      <w:sz w:val="30"/>
    </w:rPr>
  </w:style>
  <w:style w:type="paragraph" w:customStyle="1" w:styleId="Bekezdsnmhh">
    <w:name w:val="Bekezdés_nmhh"/>
    <w:basedOn w:val="Norml"/>
    <w:link w:val="BekezdsnmhhChar"/>
    <w:qFormat/>
    <w:rPr>
      <w:sz w:val="20"/>
      <w:szCs w:val="20"/>
    </w:rPr>
  </w:style>
  <w:style w:type="character" w:customStyle="1" w:styleId="TartalomjegyzkcmsoraChar">
    <w:name w:val="Tartalomjegyzék címsora Char"/>
    <w:basedOn w:val="Cmsor1Char"/>
    <w:link w:val="Tartalomjegyzkcmsora"/>
    <w:uiPriority w:val="39"/>
    <w:rPr>
      <w:rFonts w:asciiTheme="majorHAnsi" w:eastAsiaTheme="majorEastAsia" w:hAnsiTheme="majorHAnsi" w:cstheme="majorBidi"/>
      <w:b/>
      <w:bCs/>
      <w:color w:val="000000" w:themeColor="text2" w:themeShade="BF"/>
      <w:sz w:val="32"/>
      <w:szCs w:val="28"/>
    </w:rPr>
  </w:style>
  <w:style w:type="character" w:customStyle="1" w:styleId="TartalomjegyzkcmsoranmhhChar">
    <w:name w:val="Tartalomjegyzék_címsora_nmhh Char"/>
    <w:basedOn w:val="TartalomjegyzkcmsoraChar"/>
    <w:link w:val="Tartalomjegyzkcmsoranmhh"/>
    <w:rPr>
      <w:rFonts w:asciiTheme="majorHAnsi" w:eastAsiaTheme="majorEastAsia" w:hAnsiTheme="majorHAnsi" w:cstheme="majorBidi"/>
      <w:b/>
      <w:bCs/>
      <w:color w:val="43525A"/>
      <w:sz w:val="36"/>
      <w:szCs w:val="28"/>
    </w:rPr>
  </w:style>
  <w:style w:type="paragraph" w:customStyle="1" w:styleId="Behzottbekezdsnmhh">
    <w:name w:val="Behúzott_bekezdés_nmhh"/>
    <w:basedOn w:val="Norml"/>
    <w:link w:val="BehzottbekezdsnmhhChar"/>
    <w:qFormat/>
    <w:pPr>
      <w:ind w:firstLine="357"/>
    </w:pPr>
    <w:rPr>
      <w:sz w:val="20"/>
      <w:szCs w:val="20"/>
    </w:rPr>
  </w:style>
  <w:style w:type="character" w:customStyle="1" w:styleId="BekezdsnmhhChar">
    <w:name w:val="Bekezdés_nmhh Char"/>
    <w:basedOn w:val="Bekezdsalapbettpusa"/>
    <w:link w:val="Bekezdsnmhh"/>
    <w:rPr>
      <w:sz w:val="20"/>
      <w:szCs w:val="20"/>
    </w:rPr>
  </w:style>
  <w:style w:type="paragraph" w:customStyle="1" w:styleId="Felsorolsbekezdsnmhh">
    <w:name w:val="Felsorolás_bekezdés_nmhh"/>
    <w:basedOn w:val="Norml"/>
    <w:qFormat/>
    <w:pPr>
      <w:ind w:left="709"/>
    </w:pPr>
    <w:rPr>
      <w:color w:val="43525A"/>
      <w:sz w:val="20"/>
      <w:szCs w:val="20"/>
    </w:rPr>
  </w:style>
  <w:style w:type="character" w:customStyle="1" w:styleId="BehzottbekezdsnmhhChar">
    <w:name w:val="Behúzott_bekezdés_nmhh Char"/>
    <w:basedOn w:val="Bekezdsalapbettpusa"/>
    <w:link w:val="Behzottbekezdsnmhh"/>
    <w:rPr>
      <w:sz w:val="20"/>
      <w:szCs w:val="20"/>
    </w:rPr>
  </w:style>
  <w:style w:type="paragraph" w:customStyle="1" w:styleId="Felsorolsnmhh">
    <w:name w:val="Felsorolás_nmhh"/>
    <w:basedOn w:val="Listaszerbekezds"/>
    <w:link w:val="FelsorolsnmhhChar"/>
    <w:qFormat/>
    <w:pPr>
      <w:numPr>
        <w:numId w:val="26"/>
      </w:numPr>
      <w:ind w:left="714" w:hanging="357"/>
    </w:pPr>
    <w:rPr>
      <w:b/>
      <w:color w:val="43525A"/>
      <w:sz w:val="20"/>
      <w:szCs w:val="20"/>
    </w:rPr>
  </w:style>
  <w:style w:type="paragraph" w:customStyle="1" w:styleId="Felsorols1nmhh">
    <w:name w:val="Felsorolás1_nmhh"/>
    <w:basedOn w:val="Listaszerbekezds"/>
    <w:link w:val="Felsorols1nmhhChar"/>
    <w:qFormat/>
    <w:pPr>
      <w:numPr>
        <w:numId w:val="28"/>
      </w:numPr>
      <w:ind w:left="357" w:hanging="357"/>
      <w:contextualSpacing w:val="0"/>
    </w:pPr>
    <w:rPr>
      <w:b/>
      <w:color w:val="43525A"/>
      <w:sz w:val="20"/>
      <w:szCs w:val="20"/>
    </w:rPr>
  </w:style>
  <w:style w:type="character" w:customStyle="1" w:styleId="ListaszerbekezdsChar">
    <w:name w:val="Listaszerű bekezdés Char"/>
    <w:basedOn w:val="Bekezdsalapbettpusa"/>
    <w:link w:val="Listaszerbekezds"/>
    <w:uiPriority w:val="34"/>
  </w:style>
  <w:style w:type="character" w:customStyle="1" w:styleId="FelsorolsnmhhChar">
    <w:name w:val="Felsorolás_nmhh Char"/>
    <w:basedOn w:val="ListaszerbekezdsChar"/>
    <w:link w:val="Felsorolsnmhh"/>
    <w:rPr>
      <w:b/>
      <w:color w:val="43525A"/>
      <w:sz w:val="20"/>
      <w:szCs w:val="20"/>
    </w:rPr>
  </w:style>
  <w:style w:type="character" w:customStyle="1" w:styleId="Cmsor5Char">
    <w:name w:val="Címsor 5 Char"/>
    <w:basedOn w:val="Bekezdsalapbettpusa"/>
    <w:link w:val="Cmsor5"/>
    <w:uiPriority w:val="9"/>
    <w:semiHidden/>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unhideWhenUsed/>
    <w:qFormat/>
    <w:pPr>
      <w:spacing w:line="240" w:lineRule="auto"/>
    </w:pPr>
    <w:rPr>
      <w:b/>
      <w:bCs/>
      <w:color w:val="4F81BD" w:themeColor="accent1"/>
      <w:sz w:val="18"/>
      <w:szCs w:val="18"/>
    </w:rPr>
  </w:style>
  <w:style w:type="paragraph" w:customStyle="1" w:styleId="Felsorols2nmhh">
    <w:name w:val="Felsorolás2_nmhh"/>
    <w:basedOn w:val="Listaszerbekezds"/>
    <w:link w:val="Felsorols2nmhhChar"/>
    <w:qFormat/>
    <w:pPr>
      <w:numPr>
        <w:numId w:val="27"/>
      </w:numPr>
      <w:ind w:left="357" w:hanging="357"/>
    </w:pPr>
    <w:rPr>
      <w:b/>
      <w:color w:val="43525A"/>
      <w:sz w:val="20"/>
      <w:szCs w:val="20"/>
    </w:rPr>
  </w:style>
  <w:style w:type="character" w:customStyle="1" w:styleId="Felsorols1nmhhChar">
    <w:name w:val="Felsorolás1_nmhh Char"/>
    <w:basedOn w:val="ListaszerbekezdsChar"/>
    <w:link w:val="Felsorols1nmhh"/>
    <w:rPr>
      <w:b/>
      <w:color w:val="43525A"/>
      <w:sz w:val="20"/>
      <w:szCs w:val="20"/>
    </w:rPr>
  </w:style>
  <w:style w:type="paragraph" w:customStyle="1" w:styleId="Lista1nmhh">
    <w:name w:val="Lista1_nmhh"/>
    <w:basedOn w:val="Listaszerbekezds"/>
    <w:link w:val="Lista1nmhhChar"/>
    <w:qFormat/>
    <w:pPr>
      <w:numPr>
        <w:numId w:val="30"/>
      </w:numPr>
      <w:spacing w:after="0"/>
      <w:ind w:left="714" w:hanging="357"/>
    </w:pPr>
    <w:rPr>
      <w:color w:val="43525A"/>
      <w:sz w:val="20"/>
      <w:szCs w:val="20"/>
    </w:rPr>
  </w:style>
  <w:style w:type="character" w:customStyle="1" w:styleId="Felsorols2nmhhChar">
    <w:name w:val="Felsorolás2_nmhh Char"/>
    <w:basedOn w:val="ListaszerbekezdsChar"/>
    <w:link w:val="Felsorols2nmhh"/>
    <w:rPr>
      <w:b/>
      <w:color w:val="43525A"/>
      <w:sz w:val="20"/>
      <w:szCs w:val="20"/>
    </w:rPr>
  </w:style>
  <w:style w:type="paragraph" w:customStyle="1" w:styleId="Lista2nmhh">
    <w:name w:val="Lista2_nmhh"/>
    <w:basedOn w:val="Listaszerbekezds"/>
    <w:link w:val="Lista2nmhhChar"/>
    <w:qFormat/>
    <w:pPr>
      <w:numPr>
        <w:numId w:val="31"/>
      </w:numPr>
      <w:spacing w:after="0"/>
    </w:pPr>
    <w:rPr>
      <w:color w:val="43525A"/>
      <w:sz w:val="20"/>
      <w:szCs w:val="20"/>
    </w:rPr>
  </w:style>
  <w:style w:type="character" w:customStyle="1" w:styleId="Lista1nmhhChar">
    <w:name w:val="Lista1_nmhh Char"/>
    <w:basedOn w:val="ListaszerbekezdsChar"/>
    <w:link w:val="Lista1nmhh"/>
    <w:rPr>
      <w:color w:val="43525A"/>
      <w:sz w:val="20"/>
      <w:szCs w:val="20"/>
    </w:rPr>
  </w:style>
  <w:style w:type="paragraph" w:customStyle="1" w:styleId="Cmsorszmozatlannmhh">
    <w:name w:val="Címsor_számozatlan_nmhh"/>
    <w:basedOn w:val="Norml"/>
    <w:next w:val="Behzottbekezdsnmhh"/>
    <w:link w:val="CmsorszmozatlannmhhChar"/>
    <w:qFormat/>
    <w:pPr>
      <w:pageBreakBefore/>
      <w:tabs>
        <w:tab w:val="left" w:pos="6564"/>
      </w:tabs>
      <w:spacing w:after="240"/>
      <w:jc w:val="left"/>
    </w:pPr>
    <w:rPr>
      <w:rFonts w:asciiTheme="majorHAnsi" w:hAnsiTheme="majorHAnsi" w:cstheme="majorHAnsi"/>
      <w:b/>
      <w:color w:val="43525A"/>
      <w:sz w:val="36"/>
      <w:szCs w:val="36"/>
    </w:rPr>
  </w:style>
  <w:style w:type="character" w:customStyle="1" w:styleId="Lista2nmhhChar">
    <w:name w:val="Lista2_nmhh Char"/>
    <w:basedOn w:val="ListaszerbekezdsChar"/>
    <w:link w:val="Lista2nmhh"/>
    <w:rPr>
      <w:color w:val="43525A"/>
      <w:sz w:val="20"/>
      <w:szCs w:val="20"/>
    </w:rPr>
  </w:style>
  <w:style w:type="paragraph" w:customStyle="1" w:styleId="Cmsor1szmozottnmhh">
    <w:name w:val="Címsor1_számozott_nmhh"/>
    <w:basedOn w:val="Listaszerbekezds"/>
    <w:next w:val="Behzottbekezdsnmhh"/>
    <w:link w:val="Cmsor1szmozottnmhhChar"/>
    <w:qFormat/>
    <w:pPr>
      <w:pageBreakBefore/>
      <w:numPr>
        <w:numId w:val="29"/>
      </w:numPr>
      <w:spacing w:after="240"/>
      <w:contextualSpacing w:val="0"/>
      <w:jc w:val="left"/>
      <w:outlineLvl w:val="0"/>
    </w:pPr>
    <w:rPr>
      <w:rFonts w:asciiTheme="majorHAnsi" w:hAnsiTheme="majorHAnsi" w:cstheme="majorHAnsi"/>
      <w:b/>
      <w:color w:val="43525A"/>
      <w:sz w:val="36"/>
      <w:szCs w:val="36"/>
    </w:rPr>
  </w:style>
  <w:style w:type="character" w:customStyle="1" w:styleId="CmsorszmozatlannmhhChar">
    <w:name w:val="Címsor_számozatlan_nmhh Char"/>
    <w:basedOn w:val="Bekezdsalapbettpusa"/>
    <w:link w:val="Cmsorszmozatlannmhh"/>
    <w:rPr>
      <w:rFonts w:asciiTheme="majorHAnsi" w:hAnsiTheme="majorHAnsi" w:cstheme="majorHAnsi"/>
      <w:b/>
      <w:color w:val="43525A"/>
      <w:sz w:val="36"/>
      <w:szCs w:val="36"/>
    </w:rPr>
  </w:style>
  <w:style w:type="paragraph" w:customStyle="1" w:styleId="Cmsor2szmozottnmhh">
    <w:name w:val="Címsor2_számozott_nmhh"/>
    <w:basedOn w:val="Listaszerbekezds"/>
    <w:next w:val="Behzottbekezdsnmhh"/>
    <w:link w:val="Cmsor2szmozottnmhhChar"/>
    <w:qFormat/>
    <w:pPr>
      <w:numPr>
        <w:ilvl w:val="1"/>
        <w:numId w:val="29"/>
      </w:numPr>
      <w:spacing w:after="240"/>
      <w:contextualSpacing w:val="0"/>
      <w:jc w:val="left"/>
      <w:outlineLvl w:val="1"/>
    </w:pPr>
    <w:rPr>
      <w:rFonts w:asciiTheme="majorHAnsi" w:hAnsiTheme="majorHAnsi" w:cstheme="majorHAnsi"/>
      <w:b/>
      <w:color w:val="43525A"/>
      <w:sz w:val="32"/>
      <w:szCs w:val="32"/>
    </w:rPr>
  </w:style>
  <w:style w:type="character" w:customStyle="1" w:styleId="Cmsor1szmozottnmhhChar">
    <w:name w:val="Címsor1_számozott_nmhh Char"/>
    <w:basedOn w:val="ListaszerbekezdsChar"/>
    <w:link w:val="Cmsor1szmozottnmhh"/>
    <w:rPr>
      <w:rFonts w:asciiTheme="majorHAnsi" w:hAnsiTheme="majorHAnsi" w:cstheme="majorHAnsi"/>
      <w:b/>
      <w:color w:val="43525A"/>
      <w:sz w:val="36"/>
      <w:szCs w:val="36"/>
    </w:rPr>
  </w:style>
  <w:style w:type="paragraph" w:customStyle="1" w:styleId="Cmsor3szmozottnmhh">
    <w:name w:val="Címsor3_számozott_nmhh"/>
    <w:basedOn w:val="Listaszerbekezds"/>
    <w:next w:val="Behzottbekezdsnmhh"/>
    <w:link w:val="Cmsor3szmozottnmhhChar"/>
    <w:qFormat/>
    <w:pPr>
      <w:numPr>
        <w:ilvl w:val="2"/>
        <w:numId w:val="29"/>
      </w:numPr>
      <w:spacing w:after="240"/>
      <w:contextualSpacing w:val="0"/>
      <w:jc w:val="left"/>
      <w:outlineLvl w:val="2"/>
    </w:pPr>
    <w:rPr>
      <w:rFonts w:asciiTheme="majorHAnsi" w:hAnsiTheme="majorHAnsi" w:cstheme="majorHAnsi"/>
      <w:b/>
      <w:color w:val="43525A"/>
      <w:sz w:val="28"/>
      <w:szCs w:val="28"/>
    </w:rPr>
  </w:style>
  <w:style w:type="character" w:customStyle="1" w:styleId="Cmsor2szmozottnmhhChar">
    <w:name w:val="Címsor2_számozott_nmhh Char"/>
    <w:basedOn w:val="ListaszerbekezdsChar"/>
    <w:link w:val="Cmsor2szmozottnmhh"/>
    <w:rPr>
      <w:rFonts w:asciiTheme="majorHAnsi" w:hAnsiTheme="majorHAnsi" w:cstheme="majorHAnsi"/>
      <w:b/>
      <w:color w:val="43525A"/>
      <w:sz w:val="32"/>
      <w:szCs w:val="32"/>
    </w:rPr>
  </w:style>
  <w:style w:type="paragraph" w:customStyle="1" w:styleId="Cmsor4szmozottnmhh">
    <w:name w:val="Címsor4_számozott_nmhh"/>
    <w:basedOn w:val="Listaszerbekezds"/>
    <w:next w:val="Behzottbekezdsnmhh"/>
    <w:link w:val="Cmsor4szmozottnmhhChar"/>
    <w:qFormat/>
    <w:pPr>
      <w:numPr>
        <w:ilvl w:val="3"/>
        <w:numId w:val="29"/>
      </w:numPr>
      <w:spacing w:after="240"/>
      <w:contextualSpacing w:val="0"/>
      <w:jc w:val="left"/>
      <w:outlineLvl w:val="3"/>
    </w:pPr>
    <w:rPr>
      <w:rFonts w:asciiTheme="majorHAnsi" w:hAnsiTheme="majorHAnsi" w:cstheme="majorHAnsi"/>
      <w:b/>
      <w:color w:val="43525A"/>
      <w:sz w:val="24"/>
      <w:szCs w:val="24"/>
    </w:rPr>
  </w:style>
  <w:style w:type="character" w:customStyle="1" w:styleId="Cmsor3szmozottnmhhChar">
    <w:name w:val="Címsor3_számozott_nmhh Char"/>
    <w:basedOn w:val="ListaszerbekezdsChar"/>
    <w:link w:val="Cmsor3szmozottnmhh"/>
    <w:rPr>
      <w:rFonts w:asciiTheme="majorHAnsi" w:hAnsiTheme="majorHAnsi" w:cstheme="majorHAnsi"/>
      <w:b/>
      <w:color w:val="43525A"/>
      <w:sz w:val="28"/>
      <w:szCs w:val="28"/>
    </w:rPr>
  </w:style>
  <w:style w:type="paragraph" w:customStyle="1" w:styleId="Irodalomjegyzkfelsorolsnmhh">
    <w:name w:val="Irodalomjegyzék_felsorolás_nmhh"/>
    <w:basedOn w:val="Bekezdsnmhh"/>
    <w:link w:val="IrodalomjegyzkfelsorolsnmhhChar"/>
    <w:qFormat/>
    <w:pPr>
      <w:numPr>
        <w:numId w:val="32"/>
      </w:numPr>
      <w:jc w:val="left"/>
    </w:pPr>
    <w:rPr>
      <w:color w:val="43525A"/>
    </w:rPr>
  </w:style>
  <w:style w:type="character" w:customStyle="1" w:styleId="Cmsor4szmozottnmhhChar">
    <w:name w:val="Címsor4_számozott_nmhh Char"/>
    <w:basedOn w:val="ListaszerbekezdsChar"/>
    <w:link w:val="Cmsor4szmozottnmhh"/>
    <w:rPr>
      <w:rFonts w:asciiTheme="majorHAnsi" w:hAnsiTheme="majorHAnsi" w:cstheme="majorHAnsi"/>
      <w:b/>
      <w:color w:val="43525A"/>
      <w:sz w:val="24"/>
      <w:szCs w:val="24"/>
    </w:rPr>
  </w:style>
  <w:style w:type="paragraph" w:styleId="TJ1">
    <w:name w:val="toc 1"/>
    <w:basedOn w:val="Norml"/>
    <w:next w:val="Norml"/>
    <w:autoRedefine/>
    <w:uiPriority w:val="39"/>
    <w:unhideWhenUsed/>
    <w:pPr>
      <w:spacing w:after="100"/>
    </w:pPr>
  </w:style>
  <w:style w:type="character" w:customStyle="1" w:styleId="IrodalomjegyzkfelsorolsnmhhChar">
    <w:name w:val="Irodalomjegyzék_felsorolás_nmhh Char"/>
    <w:basedOn w:val="BekezdsnmhhChar"/>
    <w:link w:val="Irodalomjegyzkfelsorolsnmhh"/>
    <w:rPr>
      <w:color w:val="43525A"/>
      <w:sz w:val="20"/>
      <w:szCs w:val="20"/>
    </w:rPr>
  </w:style>
  <w:style w:type="character" w:customStyle="1" w:styleId="Cmsor2Char">
    <w:name w:val="Címsor 2 Char"/>
    <w:aliases w:val="ECC Heading 2 Char"/>
    <w:basedOn w:val="Bekezdsalapbettpusa"/>
    <w:link w:val="Cmsor2"/>
    <w:uiPriority w:val="9"/>
    <w:semiHidden/>
    <w:rPr>
      <w:rFonts w:asciiTheme="majorHAnsi" w:eastAsiaTheme="majorEastAsia" w:hAnsiTheme="majorHAnsi" w:cstheme="majorBidi"/>
      <w:b/>
      <w:bCs/>
      <w:color w:val="666666" w:themeColor="text2" w:themeTint="99"/>
      <w:sz w:val="28"/>
      <w:szCs w:val="26"/>
    </w:rPr>
  </w:style>
  <w:style w:type="character" w:customStyle="1" w:styleId="Cmsor3Char">
    <w:name w:val="Címsor 3 Char"/>
    <w:aliases w:val="ECC Heading 3 Char"/>
    <w:basedOn w:val="Bekezdsalapbettpusa"/>
    <w:link w:val="Cmsor3"/>
    <w:uiPriority w:val="9"/>
    <w:semiHidden/>
    <w:rPr>
      <w:rFonts w:asciiTheme="majorHAnsi" w:eastAsiaTheme="majorEastAsia" w:hAnsiTheme="majorHAnsi" w:cstheme="majorBidi"/>
      <w:b/>
      <w:bCs/>
      <w:color w:val="999999" w:themeColor="text2" w:themeTint="66"/>
      <w:sz w:val="24"/>
    </w:rPr>
  </w:style>
  <w:style w:type="character" w:customStyle="1" w:styleId="Cmsor4Char">
    <w:name w:val="Címsor 4 Char"/>
    <w:aliases w:val="ECC Heading 4 Char"/>
    <w:basedOn w:val="Bekezdsalapbettpusa"/>
    <w:link w:val="Cmsor4"/>
    <w:uiPriority w:val="9"/>
    <w:semiHidden/>
    <w:rPr>
      <w:rFonts w:asciiTheme="majorHAnsi" w:eastAsiaTheme="majorEastAsia" w:hAnsiTheme="majorHAnsi" w:cstheme="majorBidi"/>
      <w:b/>
      <w:bCs/>
      <w:iCs/>
      <w:color w:val="CCCCCC" w:themeColor="text2" w:themeTint="33"/>
    </w:rPr>
  </w:style>
  <w:style w:type="paragraph" w:styleId="TJ2">
    <w:name w:val="toc 2"/>
    <w:basedOn w:val="Norml"/>
    <w:next w:val="Norml"/>
    <w:autoRedefine/>
    <w:uiPriority w:val="39"/>
    <w:unhideWhenUsed/>
    <w:pPr>
      <w:spacing w:after="100"/>
      <w:ind w:left="220"/>
    </w:pPr>
  </w:style>
  <w:style w:type="paragraph" w:styleId="TJ3">
    <w:name w:val="toc 3"/>
    <w:basedOn w:val="Norml"/>
    <w:next w:val="Norml"/>
    <w:autoRedefine/>
    <w:uiPriority w:val="39"/>
    <w:unhideWhenUsed/>
    <w:pPr>
      <w:spacing w:after="100"/>
      <w:ind w:left="440"/>
    </w:pPr>
  </w:style>
  <w:style w:type="paragraph" w:customStyle="1" w:styleId="BasicParagraph">
    <w:name w:val="[Basic Paragraph]"/>
    <w:basedOn w:val="Norml"/>
    <w:uiPriority w:val="99"/>
    <w:pPr>
      <w:autoSpaceDE w:val="0"/>
      <w:autoSpaceDN w:val="0"/>
      <w:adjustRightInd w:val="0"/>
      <w:spacing w:after="0" w:line="288" w:lineRule="auto"/>
      <w:jc w:val="left"/>
      <w:textAlignment w:val="center"/>
    </w:pPr>
    <w:rPr>
      <w:rFonts w:ascii="Minion Pro" w:hAnsi="Minion Pro" w:cs="Minion Pro"/>
      <w:color w:val="000000"/>
      <w:sz w:val="24"/>
      <w:szCs w:val="24"/>
      <w:lang w:val="en-GB"/>
    </w:rPr>
  </w:style>
  <w:style w:type="paragraph" w:customStyle="1" w:styleId="Style2">
    <w:name w:val="Style2"/>
    <w:basedOn w:val="Norml"/>
    <w:pPr>
      <w:spacing w:after="240" w:line="720" w:lineRule="exact"/>
      <w:jc w:val="left"/>
    </w:pPr>
    <w:rPr>
      <w:rFonts w:ascii="Arial" w:hAnsi="Arial" w:cstheme="minorBidi"/>
      <w:b/>
      <w:color w:val="911E6C"/>
      <w:sz w:val="60"/>
      <w:szCs w:val="60"/>
    </w:rPr>
  </w:style>
  <w:style w:type="paragraph" w:customStyle="1" w:styleId="Style3">
    <w:name w:val="Style3"/>
    <w:basedOn w:val="Norml"/>
    <w:pPr>
      <w:spacing w:after="160" w:line="440" w:lineRule="exact"/>
      <w:jc w:val="left"/>
    </w:pPr>
    <w:rPr>
      <w:rFonts w:ascii="Arial" w:hAnsi="Arial" w:cstheme="minorBidi"/>
      <w:color w:val="465155"/>
      <w:sz w:val="36"/>
      <w:szCs w:val="36"/>
    </w:rPr>
  </w:style>
  <w:style w:type="table" w:styleId="Rcsostblzat">
    <w:name w:val="Table Grid"/>
    <w:basedOn w:val="Normltblzat"/>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Pr>
      <w:color w:val="808080"/>
    </w:rPr>
  </w:style>
  <w:style w:type="character" w:styleId="Hiperhivatkozs">
    <w:name w:val="Hyperlink"/>
    <w:basedOn w:val="Bekezdsalapbettpusa"/>
    <w:uiPriority w:val="99"/>
    <w:unhideWhenUsed/>
    <w:rPr>
      <w:color w:val="0000FF" w:themeColor="hyperlink"/>
      <w:u w:val="single"/>
    </w:r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table" w:styleId="Tblzatrcsosvilgos">
    <w:name w:val="Grid Table Light"/>
    <w:basedOn w:val="Normltblza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bjegyzetszveg">
    <w:name w:val="footnote text"/>
    <w:aliases w:val="Char,Footnote text,Footnote Text Char Char Char Char,Footnote Text Char Char,Footnote Text Char Char Char Char Char,Footnote Text Char Char Char Char Char Char Char Char,Footnote Text Char Char Char,Footnote Text Char1,Char1 Char, Char"/>
    <w:basedOn w:val="Norml"/>
    <w:link w:val="LbjegyzetszvegChar"/>
    <w:uiPriority w:val="99"/>
    <w:unhideWhenUsed/>
    <w:qFormat/>
    <w:rsid w:val="007B2341"/>
    <w:pPr>
      <w:spacing w:after="0" w:line="240" w:lineRule="auto"/>
    </w:pPr>
    <w:rPr>
      <w:rFonts w:ascii="Arial" w:eastAsia="Times New Roman" w:hAnsi="Arial" w:cs="Times New Roman"/>
      <w:sz w:val="20"/>
      <w:szCs w:val="20"/>
    </w:rPr>
  </w:style>
  <w:style w:type="character" w:customStyle="1" w:styleId="LbjegyzetszvegChar">
    <w:name w:val="Lábjegyzetszöveg Char"/>
    <w:aliases w:val="Char Char,Footnote text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7B2341"/>
    <w:rPr>
      <w:rFonts w:ascii="Arial" w:eastAsia="Times New Roman" w:hAnsi="Arial" w:cs="Times New Roman"/>
      <w:sz w:val="20"/>
      <w:szCs w:val="20"/>
    </w:rPr>
  </w:style>
  <w:style w:type="character" w:styleId="Lbjegyzet-hivatkozs">
    <w:name w:val="footnote reference"/>
    <w:aliases w:val="Footnote symbol,Footnote,Nota"/>
    <w:basedOn w:val="Bekezdsalapbettpusa"/>
    <w:uiPriority w:val="99"/>
    <w:unhideWhenUsed/>
    <w:rsid w:val="007B2341"/>
    <w:rPr>
      <w:vertAlign w:val="superscript"/>
    </w:rPr>
  </w:style>
  <w:style w:type="table" w:customStyle="1" w:styleId="NormalTablePHPDOCX">
    <w:name w:val="Normal Table PHPDOCX"/>
    <w:uiPriority w:val="99"/>
    <w:semiHidden/>
    <w:unhideWhenUsed/>
    <w:qFormat/>
    <w:rsid w:val="00041388"/>
    <w:rPr>
      <w:rFonts w:cstheme="minorBidi"/>
      <w:lang w:val="en-US"/>
    </w:rPr>
    <w:tblPr>
      <w:tblInd w:w="0" w:type="dxa"/>
      <w:tblCellMar>
        <w:top w:w="0" w:type="dxa"/>
        <w:left w:w="108" w:type="dxa"/>
        <w:bottom w:w="0" w:type="dxa"/>
        <w:right w:w="108" w:type="dxa"/>
      </w:tblCellMar>
    </w:tblPr>
  </w:style>
  <w:style w:type="paragraph" w:customStyle="1" w:styleId="fnot1">
    <w:name w:val="fnot1"/>
    <w:basedOn w:val="Norml"/>
    <w:qFormat/>
    <w:rsid w:val="00F54787"/>
    <w:pPr>
      <w:spacing w:after="0" w:line="180" w:lineRule="atLeast"/>
      <w:jc w:val="left"/>
    </w:pPr>
    <w:rPr>
      <w:rFonts w:ascii="Arial" w:eastAsia="Times New Roman" w:hAnsi="Arial" w:cs="Times New Roman"/>
      <w:sz w:val="14"/>
      <w:szCs w:val="20"/>
    </w:rPr>
  </w:style>
  <w:style w:type="paragraph" w:customStyle="1" w:styleId="Hanging035">
    <w:name w:val="Hanging0_35"/>
    <w:basedOn w:val="Norml"/>
    <w:rsid w:val="00F54787"/>
    <w:pPr>
      <w:spacing w:after="0" w:line="240" w:lineRule="auto"/>
      <w:ind w:left="198" w:hanging="198"/>
      <w:jc w:val="left"/>
    </w:pPr>
    <w:rPr>
      <w:rFonts w:ascii="Arial" w:eastAsia="Times New Roman" w:hAnsi="Arial" w:cs="Times New Roman"/>
      <w:sz w:val="14"/>
      <w:szCs w:val="20"/>
      <w:lang w:eastAsia="hu-HU"/>
    </w:rPr>
  </w:style>
  <w:style w:type="character" w:styleId="Jegyzethivatkozs">
    <w:name w:val="annotation reference"/>
    <w:basedOn w:val="Bekezdsalapbettpusa"/>
    <w:uiPriority w:val="99"/>
    <w:unhideWhenUsed/>
    <w:rsid w:val="00F54787"/>
    <w:rPr>
      <w:sz w:val="16"/>
      <w:szCs w:val="16"/>
    </w:rPr>
  </w:style>
  <w:style w:type="paragraph" w:styleId="Jegyzetszveg">
    <w:name w:val="annotation text"/>
    <w:basedOn w:val="Norml"/>
    <w:link w:val="JegyzetszvegChar"/>
    <w:uiPriority w:val="99"/>
    <w:unhideWhenUsed/>
    <w:rsid w:val="00F54787"/>
    <w:pPr>
      <w:spacing w:line="240" w:lineRule="auto"/>
    </w:pPr>
    <w:rPr>
      <w:sz w:val="20"/>
      <w:szCs w:val="20"/>
    </w:rPr>
  </w:style>
  <w:style w:type="character" w:customStyle="1" w:styleId="JegyzetszvegChar">
    <w:name w:val="Jegyzetszöveg Char"/>
    <w:basedOn w:val="Bekezdsalapbettpusa"/>
    <w:link w:val="Jegyzetszveg"/>
    <w:uiPriority w:val="99"/>
    <w:rsid w:val="00F54787"/>
    <w:rPr>
      <w:sz w:val="20"/>
      <w:szCs w:val="20"/>
    </w:rPr>
  </w:style>
  <w:style w:type="paragraph" w:styleId="Megjegyzstrgya">
    <w:name w:val="annotation subject"/>
    <w:basedOn w:val="Jegyzetszveg"/>
    <w:next w:val="Jegyzetszveg"/>
    <w:link w:val="MegjegyzstrgyaChar"/>
    <w:uiPriority w:val="99"/>
    <w:semiHidden/>
    <w:unhideWhenUsed/>
    <w:rsid w:val="00C56362"/>
    <w:rPr>
      <w:b/>
      <w:bCs/>
    </w:rPr>
  </w:style>
  <w:style w:type="character" w:customStyle="1" w:styleId="MegjegyzstrgyaChar">
    <w:name w:val="Megjegyzés tárgya Char"/>
    <w:basedOn w:val="JegyzetszvegChar"/>
    <w:link w:val="Megjegyzstrgya"/>
    <w:uiPriority w:val="99"/>
    <w:semiHidden/>
    <w:rsid w:val="00C56362"/>
    <w:rPr>
      <w:b/>
      <w:bCs/>
      <w:sz w:val="20"/>
      <w:szCs w:val="20"/>
    </w:rPr>
  </w:style>
  <w:style w:type="paragraph" w:customStyle="1" w:styleId="fnot3">
    <w:name w:val="fnot3"/>
    <w:basedOn w:val="fnot1"/>
    <w:qFormat/>
    <w:rsid w:val="007B55E4"/>
    <w:pPr>
      <w:ind w:left="2007"/>
    </w:pPr>
  </w:style>
  <w:style w:type="character" w:customStyle="1" w:styleId="fr">
    <w:name w:val="fr"/>
    <w:basedOn w:val="Bekezdsalapbettpusa"/>
    <w:qFormat/>
    <w:rsid w:val="007B55E4"/>
    <w:rPr>
      <w:b/>
    </w:rPr>
  </w:style>
  <w:style w:type="paragraph" w:customStyle="1" w:styleId="fr1or2">
    <w:name w:val="fr1or2"/>
    <w:basedOn w:val="serv1"/>
    <w:qFormat/>
    <w:rsid w:val="007B55E4"/>
    <w:rPr>
      <w:b/>
    </w:rPr>
  </w:style>
  <w:style w:type="paragraph" w:customStyle="1" w:styleId="frserv3">
    <w:name w:val="frserv3"/>
    <w:basedOn w:val="fnot1"/>
    <w:qFormat/>
    <w:rsid w:val="007B55E4"/>
    <w:pPr>
      <w:tabs>
        <w:tab w:val="left" w:pos="2007"/>
      </w:tabs>
      <w:ind w:left="2121" w:hanging="2121"/>
    </w:pPr>
  </w:style>
  <w:style w:type="paragraph" w:customStyle="1" w:styleId="serv1">
    <w:name w:val="serv1"/>
    <w:basedOn w:val="fnot1"/>
    <w:rsid w:val="007B55E4"/>
    <w:pPr>
      <w:ind w:left="113" w:hanging="113"/>
    </w:pPr>
  </w:style>
  <w:style w:type="paragraph" w:customStyle="1" w:styleId="serv2">
    <w:name w:val="serv2"/>
    <w:basedOn w:val="Norml"/>
    <w:rsid w:val="007B55E4"/>
    <w:pPr>
      <w:spacing w:after="0" w:line="180" w:lineRule="atLeast"/>
      <w:ind w:left="567" w:hanging="113"/>
      <w:jc w:val="left"/>
    </w:pPr>
    <w:rPr>
      <w:rFonts w:ascii="Arial" w:eastAsia="Times New Roman" w:hAnsi="Arial" w:cs="Times New Roman"/>
      <w:sz w:val="14"/>
      <w:szCs w:val="20"/>
    </w:rPr>
  </w:style>
  <w:style w:type="paragraph" w:customStyle="1" w:styleId="serv3">
    <w:name w:val="serv3"/>
    <w:basedOn w:val="fnot3"/>
    <w:rsid w:val="007B55E4"/>
    <w:pPr>
      <w:ind w:left="2120" w:hanging="113"/>
    </w:pPr>
  </w:style>
  <w:style w:type="paragraph" w:customStyle="1" w:styleId="frthead">
    <w:name w:val="frthead"/>
    <w:basedOn w:val="fnot1"/>
    <w:qFormat/>
    <w:rsid w:val="007B55E4"/>
    <w:pPr>
      <w:jc w:val="center"/>
    </w:pPr>
  </w:style>
  <w:style w:type="paragraph" w:styleId="Szvegtrzs">
    <w:name w:val="Body Text"/>
    <w:basedOn w:val="Norml"/>
    <w:link w:val="SzvegtrzsChar"/>
    <w:uiPriority w:val="99"/>
    <w:rsid w:val="007B55E4"/>
    <w:pPr>
      <w:spacing w:after="0" w:line="240" w:lineRule="auto"/>
    </w:pPr>
    <w:rPr>
      <w:rFonts w:ascii="Arial" w:eastAsia="Times New Roman" w:hAnsi="Arial" w:cs="Times New Roman"/>
      <w:sz w:val="24"/>
      <w:szCs w:val="20"/>
    </w:rPr>
  </w:style>
  <w:style w:type="character" w:customStyle="1" w:styleId="SzvegtrzsChar">
    <w:name w:val="Szövegtörzs Char"/>
    <w:basedOn w:val="Bekezdsalapbettpusa"/>
    <w:link w:val="Szvegtrzs"/>
    <w:uiPriority w:val="99"/>
    <w:rsid w:val="007B55E4"/>
    <w:rPr>
      <w:rFonts w:ascii="Arial" w:eastAsia="Times New Roman" w:hAnsi="Arial" w:cs="Times New Roman"/>
      <w:sz w:val="24"/>
      <w:szCs w:val="20"/>
    </w:rPr>
  </w:style>
  <w:style w:type="paragraph" w:customStyle="1" w:styleId="cf0">
    <w:name w:val="cf0"/>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Szvegtrzsbehzssal">
    <w:name w:val="Body Text Indent"/>
    <w:basedOn w:val="Norml"/>
    <w:link w:val="SzvegtrzsbehzssalChar"/>
    <w:rsid w:val="007B55E4"/>
    <w:pPr>
      <w:spacing w:line="240" w:lineRule="auto"/>
      <w:ind w:left="283"/>
      <w:jc w:val="left"/>
    </w:pPr>
    <w:rPr>
      <w:rFonts w:ascii="Times New Roman" w:eastAsia="Times New Roman" w:hAnsi="Times New Roman" w:cs="Times New Roman"/>
      <w:sz w:val="24"/>
      <w:szCs w:val="24"/>
      <w:lang w:val="en-US"/>
    </w:rPr>
  </w:style>
  <w:style w:type="character" w:customStyle="1" w:styleId="SzvegtrzsbehzssalChar">
    <w:name w:val="Szövegtörzs behúzással Char"/>
    <w:basedOn w:val="Bekezdsalapbettpusa"/>
    <w:link w:val="Szvegtrzsbehzssal"/>
    <w:rsid w:val="007B55E4"/>
    <w:rPr>
      <w:rFonts w:ascii="Times New Roman" w:eastAsia="Times New Roman" w:hAnsi="Times New Roman" w:cs="Times New Roman"/>
      <w:sz w:val="24"/>
      <w:szCs w:val="24"/>
      <w:lang w:val="en-US"/>
    </w:rPr>
  </w:style>
  <w:style w:type="character" w:styleId="Kiemels2">
    <w:name w:val="Strong"/>
    <w:basedOn w:val="Bekezdsalapbettpusa"/>
    <w:uiPriority w:val="22"/>
    <w:qFormat/>
    <w:rsid w:val="007B55E4"/>
    <w:rPr>
      <w:b/>
      <w:bCs/>
    </w:rPr>
  </w:style>
  <w:style w:type="character" w:customStyle="1" w:styleId="apple-converted-space">
    <w:name w:val="apple-converted-space"/>
    <w:basedOn w:val="Bekezdsalapbettpusa"/>
    <w:rsid w:val="007B55E4"/>
  </w:style>
  <w:style w:type="character" w:styleId="Mrltotthiperhivatkozs">
    <w:name w:val="FollowedHyperlink"/>
    <w:basedOn w:val="Bekezdsalapbettpusa"/>
    <w:uiPriority w:val="99"/>
    <w:semiHidden/>
    <w:unhideWhenUsed/>
    <w:rsid w:val="007B55E4"/>
    <w:rPr>
      <w:color w:val="800080" w:themeColor="followedHyperlink"/>
      <w:u w:val="single"/>
    </w:rPr>
  </w:style>
  <w:style w:type="paragraph" w:customStyle="1" w:styleId="doc-ti">
    <w:name w:val="doc-ti"/>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Norml1">
    <w:name w:val="Normál1"/>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Szvegtrzs2">
    <w:name w:val="Body Text 2"/>
    <w:basedOn w:val="Norml"/>
    <w:link w:val="Szvegtrzs2Char"/>
    <w:unhideWhenUsed/>
    <w:rsid w:val="007B55E4"/>
    <w:pPr>
      <w:spacing w:line="480" w:lineRule="auto"/>
    </w:pPr>
  </w:style>
  <w:style w:type="character" w:customStyle="1" w:styleId="Szvegtrzs2Char">
    <w:name w:val="Szövegtörzs 2 Char"/>
    <w:basedOn w:val="Bekezdsalapbettpusa"/>
    <w:link w:val="Szvegtrzs2"/>
    <w:rsid w:val="007B55E4"/>
  </w:style>
  <w:style w:type="paragraph" w:styleId="Vltozat">
    <w:name w:val="Revision"/>
    <w:hidden/>
    <w:uiPriority w:val="99"/>
    <w:semiHidden/>
    <w:rsid w:val="007B55E4"/>
    <w:pPr>
      <w:spacing w:after="0" w:line="240" w:lineRule="auto"/>
    </w:pPr>
  </w:style>
  <w:style w:type="paragraph" w:customStyle="1" w:styleId="ECCTablenote">
    <w:name w:val="ECC Table note"/>
    <w:qFormat/>
    <w:rsid w:val="008C63E0"/>
    <w:pPr>
      <w:spacing w:after="0" w:line="240" w:lineRule="auto"/>
      <w:ind w:left="284" w:hanging="284"/>
      <w:jc w:val="both"/>
    </w:pPr>
    <w:rPr>
      <w:rFonts w:ascii="Arial" w:eastAsia="Times New Roman" w:hAnsi="Arial" w:cs="Times New Roman"/>
      <w:sz w:val="16"/>
      <w:szCs w:val="16"/>
      <w:lang w:val="en-GB"/>
    </w:rPr>
  </w:style>
  <w:style w:type="paragraph" w:customStyle="1" w:styleId="ECCFiguregraphcentered">
    <w:name w:val="ECC Figure/graph centered"/>
    <w:next w:val="Norml"/>
    <w:qFormat/>
    <w:rsid w:val="008C63E0"/>
    <w:pPr>
      <w:spacing w:before="240" w:after="240" w:line="240" w:lineRule="auto"/>
      <w:jc w:val="center"/>
    </w:pPr>
    <w:rPr>
      <w:rFonts w:ascii="Arial" w:eastAsia="Times New Roman" w:hAnsi="Arial" w:cs="Times New Roman"/>
      <w:noProof/>
      <w:sz w:val="20"/>
      <w:szCs w:val="20"/>
      <w:lang w:val="de-DE" w:eastAsia="de-DE"/>
      <w14:cntxtAlts/>
    </w:rPr>
  </w:style>
  <w:style w:type="paragraph" w:customStyle="1" w:styleId="ECCTabletext">
    <w:name w:val="ECC Table text"/>
    <w:basedOn w:val="Norml"/>
    <w:qFormat/>
    <w:rsid w:val="008C63E0"/>
    <w:pPr>
      <w:spacing w:after="60" w:line="240" w:lineRule="auto"/>
    </w:pPr>
    <w:rPr>
      <w:rFonts w:ascii="Arial" w:eastAsia="Calibri" w:hAnsi="Arial" w:cs="Times New Roman"/>
      <w:sz w:val="20"/>
      <w:lang w:val="en-GB"/>
    </w:rPr>
  </w:style>
  <w:style w:type="character" w:customStyle="1" w:styleId="ECCHLbold">
    <w:name w:val="ECC HL bold"/>
    <w:uiPriority w:val="1"/>
    <w:qFormat/>
    <w:rsid w:val="008C63E0"/>
    <w:rPr>
      <w:b/>
      <w:bCs w:val="0"/>
    </w:rPr>
  </w:style>
  <w:style w:type="paragraph" w:customStyle="1" w:styleId="Default">
    <w:name w:val="Default"/>
    <w:rsid w:val="008C63E0"/>
    <w:pPr>
      <w:autoSpaceDE w:val="0"/>
      <w:autoSpaceDN w:val="0"/>
      <w:adjustRightInd w:val="0"/>
      <w:spacing w:after="0" w:line="240" w:lineRule="auto"/>
    </w:pPr>
    <w:rPr>
      <w:rFonts w:ascii="EUAlbertina" w:hAnsi="EUAlbertina" w:cs="EUAlbertina"/>
      <w:color w:val="000000"/>
      <w:sz w:val="24"/>
      <w:szCs w:val="24"/>
    </w:rPr>
  </w:style>
  <w:style w:type="paragraph" w:styleId="Szvegtrzsbehzssal3">
    <w:name w:val="Body Text Indent 3"/>
    <w:basedOn w:val="Norml"/>
    <w:link w:val="Szvegtrzsbehzssal3Char"/>
    <w:rsid w:val="008C63E0"/>
    <w:pPr>
      <w:keepNext/>
      <w:keepLines/>
      <w:tabs>
        <w:tab w:val="left" w:pos="1276"/>
      </w:tabs>
      <w:spacing w:line="240" w:lineRule="auto"/>
      <w:ind w:left="1701" w:hanging="1701"/>
    </w:pPr>
    <w:rPr>
      <w:rFonts w:ascii="Arial" w:eastAsia="Times New Roman" w:hAnsi="Arial" w:cs="Times New Roman"/>
      <w:sz w:val="24"/>
      <w:szCs w:val="20"/>
    </w:rPr>
  </w:style>
  <w:style w:type="character" w:customStyle="1" w:styleId="Szvegtrzsbehzssal3Char">
    <w:name w:val="Szövegtörzs behúzással 3 Char"/>
    <w:basedOn w:val="Bekezdsalapbettpusa"/>
    <w:link w:val="Szvegtrzsbehzssal3"/>
    <w:rsid w:val="008C63E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6248">
      <w:bodyDiv w:val="1"/>
      <w:marLeft w:val="0"/>
      <w:marRight w:val="0"/>
      <w:marTop w:val="0"/>
      <w:marBottom w:val="0"/>
      <w:divBdr>
        <w:top w:val="none" w:sz="0" w:space="0" w:color="auto"/>
        <w:left w:val="none" w:sz="0" w:space="0" w:color="auto"/>
        <w:bottom w:val="none" w:sz="0" w:space="0" w:color="auto"/>
        <w:right w:val="none" w:sz="0" w:space="0" w:color="auto"/>
      </w:divBdr>
    </w:div>
    <w:div w:id="54283110">
      <w:bodyDiv w:val="1"/>
      <w:marLeft w:val="0"/>
      <w:marRight w:val="0"/>
      <w:marTop w:val="0"/>
      <w:marBottom w:val="0"/>
      <w:divBdr>
        <w:top w:val="none" w:sz="0" w:space="0" w:color="auto"/>
        <w:left w:val="none" w:sz="0" w:space="0" w:color="auto"/>
        <w:bottom w:val="none" w:sz="0" w:space="0" w:color="auto"/>
        <w:right w:val="none" w:sz="0" w:space="0" w:color="auto"/>
      </w:divBdr>
    </w:div>
    <w:div w:id="168714103">
      <w:bodyDiv w:val="1"/>
      <w:marLeft w:val="0"/>
      <w:marRight w:val="0"/>
      <w:marTop w:val="0"/>
      <w:marBottom w:val="0"/>
      <w:divBdr>
        <w:top w:val="none" w:sz="0" w:space="0" w:color="auto"/>
        <w:left w:val="none" w:sz="0" w:space="0" w:color="auto"/>
        <w:bottom w:val="none" w:sz="0" w:space="0" w:color="auto"/>
        <w:right w:val="none" w:sz="0" w:space="0" w:color="auto"/>
      </w:divBdr>
    </w:div>
    <w:div w:id="375815281">
      <w:bodyDiv w:val="1"/>
      <w:marLeft w:val="0"/>
      <w:marRight w:val="0"/>
      <w:marTop w:val="0"/>
      <w:marBottom w:val="0"/>
      <w:divBdr>
        <w:top w:val="none" w:sz="0" w:space="0" w:color="auto"/>
        <w:left w:val="none" w:sz="0" w:space="0" w:color="auto"/>
        <w:bottom w:val="none" w:sz="0" w:space="0" w:color="auto"/>
        <w:right w:val="none" w:sz="0" w:space="0" w:color="auto"/>
      </w:divBdr>
    </w:div>
    <w:div w:id="507644432">
      <w:bodyDiv w:val="1"/>
      <w:marLeft w:val="0"/>
      <w:marRight w:val="0"/>
      <w:marTop w:val="0"/>
      <w:marBottom w:val="0"/>
      <w:divBdr>
        <w:top w:val="none" w:sz="0" w:space="0" w:color="auto"/>
        <w:left w:val="none" w:sz="0" w:space="0" w:color="auto"/>
        <w:bottom w:val="none" w:sz="0" w:space="0" w:color="auto"/>
        <w:right w:val="none" w:sz="0" w:space="0" w:color="auto"/>
      </w:divBdr>
    </w:div>
    <w:div w:id="932275150">
      <w:bodyDiv w:val="1"/>
      <w:marLeft w:val="0"/>
      <w:marRight w:val="0"/>
      <w:marTop w:val="0"/>
      <w:marBottom w:val="0"/>
      <w:divBdr>
        <w:top w:val="none" w:sz="0" w:space="0" w:color="auto"/>
        <w:left w:val="none" w:sz="0" w:space="0" w:color="auto"/>
        <w:bottom w:val="none" w:sz="0" w:space="0" w:color="auto"/>
        <w:right w:val="none" w:sz="0" w:space="0" w:color="auto"/>
      </w:divBdr>
    </w:div>
    <w:div w:id="1385445612">
      <w:bodyDiv w:val="1"/>
      <w:marLeft w:val="0"/>
      <w:marRight w:val="0"/>
      <w:marTop w:val="0"/>
      <w:marBottom w:val="0"/>
      <w:divBdr>
        <w:top w:val="none" w:sz="0" w:space="0" w:color="auto"/>
        <w:left w:val="none" w:sz="0" w:space="0" w:color="auto"/>
        <w:bottom w:val="none" w:sz="0" w:space="0" w:color="auto"/>
        <w:right w:val="none" w:sz="0" w:space="0" w:color="auto"/>
      </w:divBdr>
    </w:div>
    <w:div w:id="18654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rspg-spectrum.eu/wp-content/uploads/2013/05/RPSG16-032-Opinion_5G.pdf" TargetMode="External"/><Relationship Id="rId3" Type="http://schemas.openxmlformats.org/officeDocument/2006/relationships/hyperlink" Target="http://rspg-spectrum.eu/wp-content/uploads/2013/05/RPSG16-032-Opinion_5G.pdf" TargetMode="External"/><Relationship Id="rId7" Type="http://schemas.openxmlformats.org/officeDocument/2006/relationships/hyperlink" Target="https://digital-strategy.ec.europa.eu/en/library/radio-spectrum-cept-mandates" TargetMode="External"/><Relationship Id="rId2" Type="http://schemas.openxmlformats.org/officeDocument/2006/relationships/hyperlink" Target="https://digital-strategy.ec.europa.eu/en/library/radio-spectrum-cept-mandates" TargetMode="External"/><Relationship Id="rId1" Type="http://schemas.openxmlformats.org/officeDocument/2006/relationships/hyperlink" Target="http://rspg-spectrum.eu/wp-content/uploads/2013/05/RPSG16-032-Opinion_5G.pdf" TargetMode="External"/><Relationship Id="rId6" Type="http://schemas.openxmlformats.org/officeDocument/2006/relationships/hyperlink" Target="https://nmhh.hu/esemeny/207926/Nyilvanos_meghallgatas_a_mobil_halozatok_uzemeltetesere_alkalmas_frekvenciasavok_hasznositasaval_kapcsolatos_szakmai_kerdesekre" TargetMode="External"/><Relationship Id="rId5" Type="http://schemas.openxmlformats.org/officeDocument/2006/relationships/hyperlink" Target="http://nmhh.hu/esemeny/207926/Nyilvanos_meghallgatas_a_mobil_halozatok_uzemeltetesere_alkalmas_frekvenciasavok_hasznositasaval_kapcsolatos_szakmai_kerdesekre" TargetMode="External"/><Relationship Id="rId4" Type="http://schemas.openxmlformats.org/officeDocument/2006/relationships/hyperlink" Target="https://digital-strategy.ec.europa.eu/en/library/radio-spectrum-cept-man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unka\Documents\toth_laszlo\Adminisztracio\Sablonok\SGO_sablon\new_2016\NEW_SGO_sablon_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E85A2A3E904405895CBFB5452ECE0A"/>
        <w:category>
          <w:name w:val="Általános"/>
          <w:gallery w:val="placeholder"/>
        </w:category>
        <w:types>
          <w:type w:val="bbPlcHdr"/>
        </w:types>
        <w:behaviors>
          <w:behavior w:val="content"/>
        </w:behaviors>
        <w:guid w:val="{2BD52FEA-9441-461A-932D-D1FF9081592D}"/>
      </w:docPartPr>
      <w:docPartBody>
        <w:p w:rsidR="00094F06" w:rsidRDefault="004F4D83">
          <w:pPr>
            <w:pStyle w:val="A7E85A2A3E904405895CBFB5452ECE0A"/>
          </w:pPr>
          <w:r>
            <w:t>A dokumentum címének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Arial"/>
    <w:charset w:val="00"/>
    <w:family w:val="auto"/>
    <w:pitch w:val="default"/>
    <w:sig w:usb0="00000005"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06"/>
    <w:rsid w:val="00000F6E"/>
    <w:rsid w:val="00023AD4"/>
    <w:rsid w:val="00027C5B"/>
    <w:rsid w:val="00094F06"/>
    <w:rsid w:val="00215878"/>
    <w:rsid w:val="002E610A"/>
    <w:rsid w:val="00346FAD"/>
    <w:rsid w:val="003F2CDA"/>
    <w:rsid w:val="0043552E"/>
    <w:rsid w:val="004B5192"/>
    <w:rsid w:val="004F4D83"/>
    <w:rsid w:val="005A0834"/>
    <w:rsid w:val="00613576"/>
    <w:rsid w:val="00673B24"/>
    <w:rsid w:val="006D07FD"/>
    <w:rsid w:val="006E7597"/>
    <w:rsid w:val="006F2001"/>
    <w:rsid w:val="00726146"/>
    <w:rsid w:val="007A15D2"/>
    <w:rsid w:val="007C4DD6"/>
    <w:rsid w:val="008353B3"/>
    <w:rsid w:val="00972203"/>
    <w:rsid w:val="009B44AD"/>
    <w:rsid w:val="009E7560"/>
    <w:rsid w:val="00CD02B9"/>
    <w:rsid w:val="00D2103A"/>
    <w:rsid w:val="00ED111A"/>
    <w:rsid w:val="00F56241"/>
    <w:rsid w:val="00FB5907"/>
    <w:rsid w:val="00FF47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7E85A2A3E904405895CBFB5452ECE0A">
    <w:name w:val="A7E85A2A3E904405895CBFB5452ECE0A"/>
  </w:style>
  <w:style w:type="character" w:styleId="Helyrzszveg">
    <w:name w:val="Placeholder Text"/>
    <w:basedOn w:val="Bekezdsalapbettpusa"/>
    <w:uiPriority w:val="99"/>
    <w:semiHidden/>
    <w:rsid w:val="00FF47BA"/>
    <w:rPr>
      <w:color w:val="808080"/>
    </w:rPr>
  </w:style>
  <w:style w:type="paragraph" w:customStyle="1" w:styleId="30DC8A570EDC46E2A7B9493A59A3EDBF">
    <w:name w:val="30DC8A570EDC46E2A7B9493A59A3EDBF"/>
  </w:style>
  <w:style w:type="paragraph" w:customStyle="1" w:styleId="FCC917EE3B024B3F913875042D158217">
    <w:name w:val="FCC917EE3B024B3F913875042D158217"/>
  </w:style>
  <w:style w:type="paragraph" w:customStyle="1" w:styleId="89618385F6F34154844F3F241FA8094E">
    <w:name w:val="89618385F6F34154844F3F241FA8094E"/>
    <w:rsid w:val="00FF4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Egyéni 1. séma">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M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AE6C5-C8D6-45CA-BC61-3AE5C378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NEW_SGO_sablon_2017</Template>
  <TotalTime>28</TotalTime>
  <Pages>24</Pages>
  <Words>7844</Words>
  <Characters>54125</Characters>
  <Application>Microsoft Office Word</Application>
  <DocSecurity>0</DocSecurity>
  <Lines>451</Lines>
  <Paragraphs>123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SGO</dc:creator>
  <cp:lastModifiedBy>Szőgyényi Szilvia</cp:lastModifiedBy>
  <cp:revision>12</cp:revision>
  <dcterms:created xsi:type="dcterms:W3CDTF">2022-02-16T08:51:00Z</dcterms:created>
  <dcterms:modified xsi:type="dcterms:W3CDTF">2022-02-18T10:19:00Z</dcterms:modified>
</cp:coreProperties>
</file>